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4F5C" w14:textId="77777777" w:rsidR="00020D57" w:rsidRPr="00020D57" w:rsidRDefault="00020D57" w:rsidP="00020D57">
      <w:r w:rsidRPr="00020D57">
        <w:rPr>
          <w:b/>
          <w:bCs/>
        </w:rPr>
        <w:t>Sales Summary Report</w:t>
      </w:r>
    </w:p>
    <w:p w14:paraId="61C56924" w14:textId="77777777" w:rsidR="00020D57" w:rsidRPr="00020D57" w:rsidRDefault="00020D57" w:rsidP="00020D57">
      <w:r w:rsidRPr="00020D57">
        <w:rPr>
          <w:b/>
          <w:bCs/>
        </w:rPr>
        <w:t>1. Overview:</w:t>
      </w:r>
      <w:r w:rsidRPr="00020D57">
        <w:t xml:space="preserve"> The "Sales Summary Report" provides a comprehensive analysis of the company's sales performance. It highlights key metrics such as total sales, profit, and quantity sold while offering insights into product performance, customer trends, and regional sales distribution.</w:t>
      </w:r>
    </w:p>
    <w:p w14:paraId="6D5F796B" w14:textId="14C86497" w:rsidR="00020D57" w:rsidRPr="00020D57" w:rsidRDefault="00020D57" w:rsidP="00020D57"/>
    <w:p w14:paraId="02C1FAEE" w14:textId="77777777" w:rsidR="00020D57" w:rsidRPr="00020D57" w:rsidRDefault="00020D57" w:rsidP="00020D57">
      <w:r w:rsidRPr="00020D57">
        <w:rPr>
          <w:b/>
          <w:bCs/>
        </w:rPr>
        <w:t>2. Key Performance Metrics:</w:t>
      </w:r>
    </w:p>
    <w:p w14:paraId="66C43614" w14:textId="77777777" w:rsidR="00020D57" w:rsidRPr="00020D57" w:rsidRDefault="00020D57" w:rsidP="00020D57">
      <w:pPr>
        <w:numPr>
          <w:ilvl w:val="0"/>
          <w:numId w:val="1"/>
        </w:numPr>
      </w:pPr>
      <w:r w:rsidRPr="00020D57">
        <w:rPr>
          <w:b/>
          <w:bCs/>
        </w:rPr>
        <w:t>Total Sales:</w:t>
      </w:r>
      <w:r w:rsidRPr="00020D57">
        <w:t xml:space="preserve"> 2.297K (approximately 2.3 million)</w:t>
      </w:r>
    </w:p>
    <w:p w14:paraId="105B9143" w14:textId="77777777" w:rsidR="00020D57" w:rsidRPr="00020D57" w:rsidRDefault="00020D57" w:rsidP="00020D57">
      <w:pPr>
        <w:numPr>
          <w:ilvl w:val="0"/>
          <w:numId w:val="1"/>
        </w:numPr>
      </w:pPr>
      <w:r w:rsidRPr="00020D57">
        <w:rPr>
          <w:b/>
          <w:bCs/>
        </w:rPr>
        <w:t>Total Profit:</w:t>
      </w:r>
      <w:r w:rsidRPr="00020D57">
        <w:t xml:space="preserve"> 286K</w:t>
      </w:r>
    </w:p>
    <w:p w14:paraId="23E0625A" w14:textId="77777777" w:rsidR="00020D57" w:rsidRPr="00020D57" w:rsidRDefault="00020D57" w:rsidP="00020D57">
      <w:pPr>
        <w:numPr>
          <w:ilvl w:val="0"/>
          <w:numId w:val="1"/>
        </w:numPr>
      </w:pPr>
      <w:r w:rsidRPr="00020D57">
        <w:rPr>
          <w:b/>
          <w:bCs/>
        </w:rPr>
        <w:t>Total Quantity Sold:</w:t>
      </w:r>
      <w:r w:rsidRPr="00020D57">
        <w:t xml:space="preserve"> 38K</w:t>
      </w:r>
    </w:p>
    <w:p w14:paraId="7229D435" w14:textId="77777777" w:rsidR="00020D57" w:rsidRPr="00020D57" w:rsidRDefault="00020D57" w:rsidP="00020D57">
      <w:r w:rsidRPr="00020D57">
        <w:t>These metrics indicate a steady performance across various product categories and customer segments.</w:t>
      </w:r>
    </w:p>
    <w:p w14:paraId="49BEFA54" w14:textId="66C7B7EA" w:rsidR="00020D57" w:rsidRPr="00020D57" w:rsidRDefault="00020D57" w:rsidP="00020D57"/>
    <w:p w14:paraId="3E9632C5" w14:textId="77777777" w:rsidR="00020D57" w:rsidRPr="00020D57" w:rsidRDefault="00020D57" w:rsidP="00020D57">
      <w:r w:rsidRPr="00020D57">
        <w:rPr>
          <w:b/>
          <w:bCs/>
        </w:rPr>
        <w:t>3. Product Performance:</w:t>
      </w:r>
      <w:r w:rsidRPr="00020D57">
        <w:t xml:space="preserve"> The top-performing products in terms of sales volume are:</w:t>
      </w:r>
    </w:p>
    <w:p w14:paraId="232689A2" w14:textId="77777777" w:rsidR="00020D57" w:rsidRPr="00020D57" w:rsidRDefault="00020D57" w:rsidP="00020D57">
      <w:pPr>
        <w:numPr>
          <w:ilvl w:val="0"/>
          <w:numId w:val="2"/>
        </w:numPr>
      </w:pPr>
      <w:r w:rsidRPr="00020D57">
        <w:t>Phones: 380K</w:t>
      </w:r>
    </w:p>
    <w:p w14:paraId="187ACC11" w14:textId="77777777" w:rsidR="00020D57" w:rsidRPr="00020D57" w:rsidRDefault="00020D57" w:rsidP="00020D57">
      <w:pPr>
        <w:numPr>
          <w:ilvl w:val="0"/>
          <w:numId w:val="2"/>
        </w:numPr>
      </w:pPr>
      <w:r w:rsidRPr="00020D57">
        <w:t>Chairs: 328K</w:t>
      </w:r>
    </w:p>
    <w:p w14:paraId="39F37534" w14:textId="77777777" w:rsidR="00020D57" w:rsidRPr="00020D57" w:rsidRDefault="00020D57" w:rsidP="00020D57">
      <w:pPr>
        <w:numPr>
          <w:ilvl w:val="0"/>
          <w:numId w:val="2"/>
        </w:numPr>
      </w:pPr>
      <w:r w:rsidRPr="00020D57">
        <w:t>Storage: 232K</w:t>
      </w:r>
    </w:p>
    <w:p w14:paraId="4BE41B3D" w14:textId="77777777" w:rsidR="00020D57" w:rsidRPr="00020D57" w:rsidRDefault="00020D57" w:rsidP="00020D57">
      <w:pPr>
        <w:numPr>
          <w:ilvl w:val="0"/>
          <w:numId w:val="2"/>
        </w:numPr>
      </w:pPr>
      <w:r w:rsidRPr="00020D57">
        <w:t>Tables: 224K</w:t>
      </w:r>
    </w:p>
    <w:p w14:paraId="08F5DAB7" w14:textId="77777777" w:rsidR="00020D57" w:rsidRPr="00020D57" w:rsidRDefault="00020D57" w:rsidP="00020D57">
      <w:pPr>
        <w:numPr>
          <w:ilvl w:val="0"/>
          <w:numId w:val="2"/>
        </w:numPr>
      </w:pPr>
      <w:r w:rsidRPr="00020D57">
        <w:t>Binders: 167K</w:t>
      </w:r>
    </w:p>
    <w:p w14:paraId="5AD45301" w14:textId="77777777" w:rsidR="00020D57" w:rsidRPr="00020D57" w:rsidRDefault="00020D57" w:rsidP="00020D57">
      <w:r w:rsidRPr="00020D57">
        <w:t xml:space="preserve">Phones have the highest sales, suggesting strong demand. However, profitability and discount strategies should be </w:t>
      </w:r>
      <w:proofErr w:type="spellStart"/>
      <w:r w:rsidRPr="00020D57">
        <w:t>analyzed</w:t>
      </w:r>
      <w:proofErr w:type="spellEnd"/>
      <w:r w:rsidRPr="00020D57">
        <w:t xml:space="preserve"> to ensure sustainable growth.</w:t>
      </w:r>
    </w:p>
    <w:p w14:paraId="1E8133DE" w14:textId="51500327" w:rsidR="00020D57" w:rsidRPr="00020D57" w:rsidRDefault="00020D57" w:rsidP="00020D57"/>
    <w:p w14:paraId="5DAF91B4" w14:textId="77777777" w:rsidR="00020D57" w:rsidRPr="00020D57" w:rsidRDefault="00020D57" w:rsidP="00020D57">
      <w:r w:rsidRPr="00020D57">
        <w:rPr>
          <w:b/>
          <w:bCs/>
        </w:rPr>
        <w:t>4. Category-Wise Sales Contribution:</w:t>
      </w:r>
    </w:p>
    <w:p w14:paraId="3375A03A" w14:textId="77777777" w:rsidR="00020D57" w:rsidRPr="00020D57" w:rsidRDefault="00020D57" w:rsidP="00020D57">
      <w:pPr>
        <w:numPr>
          <w:ilvl w:val="0"/>
          <w:numId w:val="3"/>
        </w:numPr>
      </w:pPr>
      <w:r w:rsidRPr="00020D57">
        <w:rPr>
          <w:b/>
          <w:bCs/>
        </w:rPr>
        <w:t>Technology:</w:t>
      </w:r>
      <w:r w:rsidRPr="00020D57">
        <w:t xml:space="preserve"> 836K</w:t>
      </w:r>
    </w:p>
    <w:p w14:paraId="429091E2" w14:textId="77777777" w:rsidR="00020D57" w:rsidRPr="00020D57" w:rsidRDefault="00020D57" w:rsidP="00020D57">
      <w:pPr>
        <w:numPr>
          <w:ilvl w:val="0"/>
          <w:numId w:val="3"/>
        </w:numPr>
      </w:pPr>
      <w:r w:rsidRPr="00020D57">
        <w:rPr>
          <w:b/>
          <w:bCs/>
        </w:rPr>
        <w:t>Furniture:</w:t>
      </w:r>
      <w:r w:rsidRPr="00020D57">
        <w:t xml:space="preserve"> 742K</w:t>
      </w:r>
    </w:p>
    <w:p w14:paraId="3F396983" w14:textId="77777777" w:rsidR="00020D57" w:rsidRPr="00020D57" w:rsidRDefault="00020D57" w:rsidP="00020D57">
      <w:pPr>
        <w:numPr>
          <w:ilvl w:val="0"/>
          <w:numId w:val="3"/>
        </w:numPr>
      </w:pPr>
      <w:r w:rsidRPr="00020D57">
        <w:rPr>
          <w:b/>
          <w:bCs/>
        </w:rPr>
        <w:t>Office Supplies:</w:t>
      </w:r>
      <w:r w:rsidRPr="00020D57">
        <w:t xml:space="preserve"> 719K</w:t>
      </w:r>
    </w:p>
    <w:p w14:paraId="18919B56" w14:textId="77777777" w:rsidR="00020D57" w:rsidRPr="00020D57" w:rsidRDefault="00020D57" w:rsidP="00020D57">
      <w:r w:rsidRPr="00020D57">
        <w:t>Technology leads in sales, followed closely by Furniture and Office Supplies. This insight is crucial for inventory and pricing strategies.</w:t>
      </w:r>
    </w:p>
    <w:p w14:paraId="2500F66E" w14:textId="0595D67F" w:rsidR="00020D57" w:rsidRPr="00020D57" w:rsidRDefault="00020D57" w:rsidP="00020D57"/>
    <w:p w14:paraId="30FA98AD" w14:textId="77777777" w:rsidR="00020D57" w:rsidRPr="00020D57" w:rsidRDefault="00020D57" w:rsidP="00020D57">
      <w:r w:rsidRPr="00020D57">
        <w:rPr>
          <w:b/>
          <w:bCs/>
        </w:rPr>
        <w:t>5. Customer Segment Performance:</w:t>
      </w:r>
    </w:p>
    <w:p w14:paraId="18BFFFF7" w14:textId="77777777" w:rsidR="00020D57" w:rsidRPr="00020D57" w:rsidRDefault="00020D57" w:rsidP="00020D57">
      <w:pPr>
        <w:numPr>
          <w:ilvl w:val="0"/>
          <w:numId w:val="4"/>
        </w:numPr>
      </w:pPr>
      <w:r w:rsidRPr="00020D57">
        <w:rPr>
          <w:b/>
          <w:bCs/>
        </w:rPr>
        <w:t>Home Office:</w:t>
      </w:r>
      <w:r w:rsidRPr="00020D57">
        <w:t xml:space="preserve"> 430K (19%)</w:t>
      </w:r>
    </w:p>
    <w:p w14:paraId="18CB556A" w14:textId="77777777" w:rsidR="00020D57" w:rsidRPr="00020D57" w:rsidRDefault="00020D57" w:rsidP="00020D57">
      <w:pPr>
        <w:numPr>
          <w:ilvl w:val="0"/>
          <w:numId w:val="4"/>
        </w:numPr>
      </w:pPr>
      <w:r w:rsidRPr="00020D57">
        <w:rPr>
          <w:b/>
          <w:bCs/>
        </w:rPr>
        <w:t>Corporate:</w:t>
      </w:r>
      <w:r w:rsidRPr="00020D57">
        <w:t xml:space="preserve"> 706K (31%)</w:t>
      </w:r>
    </w:p>
    <w:p w14:paraId="4B987D34" w14:textId="77777777" w:rsidR="00020D57" w:rsidRPr="00020D57" w:rsidRDefault="00020D57" w:rsidP="00020D57">
      <w:pPr>
        <w:numPr>
          <w:ilvl w:val="0"/>
          <w:numId w:val="4"/>
        </w:numPr>
      </w:pPr>
      <w:r w:rsidRPr="00020D57">
        <w:rPr>
          <w:b/>
          <w:bCs/>
        </w:rPr>
        <w:t>Consumer:</w:t>
      </w:r>
      <w:r w:rsidRPr="00020D57">
        <w:t xml:space="preserve"> 1.161K (51%)</w:t>
      </w:r>
    </w:p>
    <w:p w14:paraId="3408087C" w14:textId="77777777" w:rsidR="00020D57" w:rsidRPr="00020D57" w:rsidRDefault="00020D57" w:rsidP="00020D57">
      <w:r w:rsidRPr="00020D57">
        <w:lastRenderedPageBreak/>
        <w:t>The Consumer segment contributes the most, emphasizing the need for targeted marketing and customer retention programs.</w:t>
      </w:r>
    </w:p>
    <w:p w14:paraId="333A59A9" w14:textId="60528C1E" w:rsidR="00020D57" w:rsidRPr="00020D57" w:rsidRDefault="00020D57" w:rsidP="00020D57"/>
    <w:p w14:paraId="608E6F5A" w14:textId="77777777" w:rsidR="00020D57" w:rsidRPr="00020D57" w:rsidRDefault="00020D57" w:rsidP="00020D57">
      <w:r w:rsidRPr="00020D57">
        <w:rPr>
          <w:b/>
          <w:bCs/>
        </w:rPr>
        <w:t>6. Regional Sales Distribution:</w:t>
      </w:r>
    </w:p>
    <w:p w14:paraId="5352AA0F" w14:textId="77777777" w:rsidR="00020D57" w:rsidRPr="00020D57" w:rsidRDefault="00020D57" w:rsidP="00020D57">
      <w:pPr>
        <w:numPr>
          <w:ilvl w:val="0"/>
          <w:numId w:val="5"/>
        </w:numPr>
      </w:pPr>
      <w:r w:rsidRPr="00020D57">
        <w:rPr>
          <w:b/>
          <w:bCs/>
        </w:rPr>
        <w:t>West:</w:t>
      </w:r>
      <w:r w:rsidRPr="00020D57">
        <w:t xml:space="preserve"> 725K</w:t>
      </w:r>
    </w:p>
    <w:p w14:paraId="2552DD8A" w14:textId="77777777" w:rsidR="00020D57" w:rsidRPr="00020D57" w:rsidRDefault="00020D57" w:rsidP="00020D57">
      <w:pPr>
        <w:numPr>
          <w:ilvl w:val="0"/>
          <w:numId w:val="5"/>
        </w:numPr>
      </w:pPr>
      <w:r w:rsidRPr="00020D57">
        <w:rPr>
          <w:b/>
          <w:bCs/>
        </w:rPr>
        <w:t>East:</w:t>
      </w:r>
      <w:r w:rsidRPr="00020D57">
        <w:t xml:space="preserve"> 679K</w:t>
      </w:r>
    </w:p>
    <w:p w14:paraId="7709B3AC" w14:textId="77777777" w:rsidR="00020D57" w:rsidRPr="00020D57" w:rsidRDefault="00020D57" w:rsidP="00020D57">
      <w:pPr>
        <w:numPr>
          <w:ilvl w:val="0"/>
          <w:numId w:val="5"/>
        </w:numPr>
      </w:pPr>
      <w:r w:rsidRPr="00020D57">
        <w:rPr>
          <w:b/>
          <w:bCs/>
        </w:rPr>
        <w:t>South:</w:t>
      </w:r>
      <w:r w:rsidRPr="00020D57">
        <w:t xml:space="preserve"> 392K</w:t>
      </w:r>
    </w:p>
    <w:p w14:paraId="4A3EC4B2" w14:textId="77777777" w:rsidR="00020D57" w:rsidRPr="00020D57" w:rsidRDefault="00020D57" w:rsidP="00020D57">
      <w:pPr>
        <w:numPr>
          <w:ilvl w:val="0"/>
          <w:numId w:val="5"/>
        </w:numPr>
      </w:pPr>
      <w:r w:rsidRPr="00020D57">
        <w:rPr>
          <w:b/>
          <w:bCs/>
        </w:rPr>
        <w:t>Central:</w:t>
      </w:r>
      <w:r w:rsidRPr="00020D57">
        <w:t xml:space="preserve"> 501K</w:t>
      </w:r>
    </w:p>
    <w:p w14:paraId="650CBA34" w14:textId="77777777" w:rsidR="00020D57" w:rsidRPr="00020D57" w:rsidRDefault="00020D57" w:rsidP="00020D57">
      <w:r w:rsidRPr="00020D57">
        <w:t>The West region leads in sales, with the South region having the lowest contribution. This data is useful for regional sales strategies and resource allocation.</w:t>
      </w:r>
    </w:p>
    <w:p w14:paraId="3450390E" w14:textId="59D64DC3" w:rsidR="00020D57" w:rsidRPr="00020D57" w:rsidRDefault="00020D57" w:rsidP="00020D57"/>
    <w:p w14:paraId="04A9919A" w14:textId="77777777" w:rsidR="00020D57" w:rsidRPr="00020D57" w:rsidRDefault="00020D57" w:rsidP="00020D57">
      <w:r w:rsidRPr="00020D57">
        <w:rPr>
          <w:b/>
          <w:bCs/>
        </w:rPr>
        <w:t>7. Top Clients:</w:t>
      </w:r>
    </w:p>
    <w:p w14:paraId="7843674E" w14:textId="77777777" w:rsidR="00020D57" w:rsidRPr="00020D57" w:rsidRDefault="00020D57" w:rsidP="00020D57">
      <w:pPr>
        <w:numPr>
          <w:ilvl w:val="0"/>
          <w:numId w:val="6"/>
        </w:numPr>
      </w:pPr>
      <w:r w:rsidRPr="00020D57">
        <w:t>Sean M.: 25,043.05</w:t>
      </w:r>
    </w:p>
    <w:p w14:paraId="4CDF1B8A" w14:textId="77777777" w:rsidR="00020D57" w:rsidRPr="00020D57" w:rsidRDefault="00020D57" w:rsidP="00020D57">
      <w:pPr>
        <w:numPr>
          <w:ilvl w:val="0"/>
          <w:numId w:val="6"/>
        </w:numPr>
      </w:pPr>
      <w:r w:rsidRPr="00020D57">
        <w:t>Tamara: 19,052.22</w:t>
      </w:r>
    </w:p>
    <w:p w14:paraId="26304EE2" w14:textId="77777777" w:rsidR="00020D57" w:rsidRPr="00020D57" w:rsidRDefault="00020D57" w:rsidP="00020D57">
      <w:pPr>
        <w:numPr>
          <w:ilvl w:val="0"/>
          <w:numId w:val="6"/>
        </w:numPr>
      </w:pPr>
      <w:r w:rsidRPr="00020D57">
        <w:t>Raymond: 15,117.34</w:t>
      </w:r>
    </w:p>
    <w:p w14:paraId="264EEE19" w14:textId="77777777" w:rsidR="00020D57" w:rsidRPr="00020D57" w:rsidRDefault="00020D57" w:rsidP="00020D57">
      <w:r w:rsidRPr="00020D57">
        <w:t>Engaging with top clients through loyalty programs and personalized offers can drive further revenue growth.</w:t>
      </w:r>
    </w:p>
    <w:p w14:paraId="3D10FF30" w14:textId="0D721D24" w:rsidR="00020D57" w:rsidRPr="00020D57" w:rsidRDefault="00020D57" w:rsidP="00020D57"/>
    <w:p w14:paraId="501AA090" w14:textId="77777777" w:rsidR="00020D57" w:rsidRPr="00020D57" w:rsidRDefault="00020D57" w:rsidP="00020D57">
      <w:r w:rsidRPr="00020D57">
        <w:rPr>
          <w:b/>
          <w:bCs/>
        </w:rPr>
        <w:t>8. Key Date &amp; Transactions:</w:t>
      </w:r>
    </w:p>
    <w:p w14:paraId="288EA322" w14:textId="77777777" w:rsidR="00020D57" w:rsidRPr="00020D57" w:rsidRDefault="00020D57" w:rsidP="00020D57">
      <w:pPr>
        <w:numPr>
          <w:ilvl w:val="0"/>
          <w:numId w:val="7"/>
        </w:numPr>
      </w:pPr>
      <w:r w:rsidRPr="00020D57">
        <w:rPr>
          <w:b/>
          <w:bCs/>
        </w:rPr>
        <w:t>Golden Date:</w:t>
      </w:r>
      <w:r w:rsidRPr="00020D57">
        <w:t xml:space="preserve"> March 18, 2014</w:t>
      </w:r>
    </w:p>
    <w:p w14:paraId="03151BA2" w14:textId="77777777" w:rsidR="00020D57" w:rsidRPr="00020D57" w:rsidRDefault="00020D57" w:rsidP="00020D57">
      <w:pPr>
        <w:numPr>
          <w:ilvl w:val="0"/>
          <w:numId w:val="7"/>
        </w:numPr>
      </w:pPr>
      <w:r w:rsidRPr="00020D57">
        <w:rPr>
          <w:b/>
          <w:bCs/>
        </w:rPr>
        <w:t>Highest Transaction:</w:t>
      </w:r>
      <w:r w:rsidRPr="00020D57">
        <w:t xml:space="preserve"> 28,106.72</w:t>
      </w:r>
    </w:p>
    <w:p w14:paraId="5BD1C5E1" w14:textId="77777777" w:rsidR="00020D57" w:rsidRPr="00020D57" w:rsidRDefault="00020D57" w:rsidP="00020D57">
      <w:proofErr w:type="spellStart"/>
      <w:r w:rsidRPr="00020D57">
        <w:t>Analyzing</w:t>
      </w:r>
      <w:proofErr w:type="spellEnd"/>
      <w:r w:rsidRPr="00020D57">
        <w:t xml:space="preserve"> factors behind high transactions on specific dates can inform future promotional campaigns.</w:t>
      </w:r>
    </w:p>
    <w:p w14:paraId="19A13324" w14:textId="6DD4A5BF" w:rsidR="00020D57" w:rsidRPr="00020D57" w:rsidRDefault="00020D57" w:rsidP="00020D57"/>
    <w:p w14:paraId="5833B3DC" w14:textId="77777777" w:rsidR="00020D57" w:rsidRPr="00020D57" w:rsidRDefault="00020D57" w:rsidP="00020D57">
      <w:r w:rsidRPr="00020D57">
        <w:rPr>
          <w:b/>
          <w:bCs/>
        </w:rPr>
        <w:t>9. Conclusion &amp; Recommendations:</w:t>
      </w:r>
    </w:p>
    <w:p w14:paraId="5287D936" w14:textId="77777777" w:rsidR="00020D57" w:rsidRPr="00020D57" w:rsidRDefault="00020D57" w:rsidP="00020D57">
      <w:pPr>
        <w:numPr>
          <w:ilvl w:val="0"/>
          <w:numId w:val="8"/>
        </w:numPr>
      </w:pPr>
      <w:r w:rsidRPr="00020D57">
        <w:rPr>
          <w:b/>
          <w:bCs/>
        </w:rPr>
        <w:t>Strengthen Consumer-Focused Marketing:</w:t>
      </w:r>
      <w:r w:rsidRPr="00020D57">
        <w:t xml:space="preserve"> Since consumers contribute the highest sales, targeted advertising and promotions can boost retention.</w:t>
      </w:r>
    </w:p>
    <w:p w14:paraId="40A4C1BC" w14:textId="77777777" w:rsidR="00020D57" w:rsidRPr="00020D57" w:rsidRDefault="00020D57" w:rsidP="00020D57">
      <w:pPr>
        <w:numPr>
          <w:ilvl w:val="0"/>
          <w:numId w:val="8"/>
        </w:numPr>
      </w:pPr>
      <w:r w:rsidRPr="00020D57">
        <w:rPr>
          <w:b/>
          <w:bCs/>
        </w:rPr>
        <w:t>Optimize Regional Strategies:</w:t>
      </w:r>
      <w:r w:rsidRPr="00020D57">
        <w:t xml:space="preserve"> The South region has the lowest sales. Implementing localized promotions or adjusting product offerings might help increase revenue.</w:t>
      </w:r>
    </w:p>
    <w:p w14:paraId="0BA93054" w14:textId="77777777" w:rsidR="00020D57" w:rsidRPr="00020D57" w:rsidRDefault="00020D57" w:rsidP="00020D57">
      <w:pPr>
        <w:numPr>
          <w:ilvl w:val="0"/>
          <w:numId w:val="8"/>
        </w:numPr>
      </w:pPr>
      <w:r w:rsidRPr="00020D57">
        <w:rPr>
          <w:b/>
          <w:bCs/>
        </w:rPr>
        <w:t>Inventory &amp; Supply Chain Management:</w:t>
      </w:r>
      <w:r w:rsidRPr="00020D57">
        <w:t xml:space="preserve"> Phones and Chairs lead in sales, requiring efficient inventory planning to meet demand.</w:t>
      </w:r>
    </w:p>
    <w:p w14:paraId="74AFB09F" w14:textId="77777777" w:rsidR="00020D57" w:rsidRPr="00020D57" w:rsidRDefault="00020D57" w:rsidP="00020D57">
      <w:pPr>
        <w:numPr>
          <w:ilvl w:val="0"/>
          <w:numId w:val="8"/>
        </w:numPr>
      </w:pPr>
      <w:r w:rsidRPr="00020D57">
        <w:rPr>
          <w:b/>
          <w:bCs/>
        </w:rPr>
        <w:t>Client Engagement:</w:t>
      </w:r>
      <w:r w:rsidRPr="00020D57">
        <w:t xml:space="preserve"> Offering exclusive deals to top clients can enhance loyalty and repeat business.</w:t>
      </w:r>
    </w:p>
    <w:p w14:paraId="6B5AD05F" w14:textId="15F8BA6F" w:rsidR="00020D57" w:rsidRDefault="00020D57">
      <w:r w:rsidRPr="00020D57">
        <w:t>By leveraging these insights, the company can enhance its sales strategies and maximize profitability.</w:t>
      </w:r>
    </w:p>
    <w:p w14:paraId="79BF561A" w14:textId="55BAEBE6" w:rsidR="00020D57" w:rsidRDefault="00020D57">
      <w:r>
        <w:rPr>
          <w:noProof/>
        </w:rPr>
        <w:lastRenderedPageBreak/>
        <w:drawing>
          <wp:inline distT="0" distB="0" distL="0" distR="0" wp14:anchorId="7EF8B57C" wp14:editId="4BCC433D">
            <wp:extent cx="5731510" cy="3186430"/>
            <wp:effectExtent l="0" t="0" r="2540" b="0"/>
            <wp:docPr id="118833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37478" name=""/>
                    <pic:cNvPicPr/>
                  </pic:nvPicPr>
                  <pic:blipFill>
                    <a:blip r:embed="rId5"/>
                    <a:stretch>
                      <a:fillRect/>
                    </a:stretch>
                  </pic:blipFill>
                  <pic:spPr>
                    <a:xfrm>
                      <a:off x="0" y="0"/>
                      <a:ext cx="5731510" cy="3186430"/>
                    </a:xfrm>
                    <a:prstGeom prst="rect">
                      <a:avLst/>
                    </a:prstGeom>
                  </pic:spPr>
                </pic:pic>
              </a:graphicData>
            </a:graphic>
          </wp:inline>
        </w:drawing>
      </w:r>
    </w:p>
    <w:sectPr w:rsidR="00020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CD6"/>
    <w:multiLevelType w:val="multilevel"/>
    <w:tmpl w:val="E86A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041B8"/>
    <w:multiLevelType w:val="multilevel"/>
    <w:tmpl w:val="D574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606CB"/>
    <w:multiLevelType w:val="multilevel"/>
    <w:tmpl w:val="B420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96528"/>
    <w:multiLevelType w:val="multilevel"/>
    <w:tmpl w:val="DF2E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16F39"/>
    <w:multiLevelType w:val="multilevel"/>
    <w:tmpl w:val="803C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A384A"/>
    <w:multiLevelType w:val="multilevel"/>
    <w:tmpl w:val="81BC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86C53"/>
    <w:multiLevelType w:val="multilevel"/>
    <w:tmpl w:val="F3B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04C0D"/>
    <w:multiLevelType w:val="multilevel"/>
    <w:tmpl w:val="C0AC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02950">
    <w:abstractNumId w:val="7"/>
  </w:num>
  <w:num w:numId="2" w16cid:durableId="439375848">
    <w:abstractNumId w:val="2"/>
  </w:num>
  <w:num w:numId="3" w16cid:durableId="1483816448">
    <w:abstractNumId w:val="1"/>
  </w:num>
  <w:num w:numId="4" w16cid:durableId="2024164574">
    <w:abstractNumId w:val="6"/>
  </w:num>
  <w:num w:numId="5" w16cid:durableId="402870060">
    <w:abstractNumId w:val="5"/>
  </w:num>
  <w:num w:numId="6" w16cid:durableId="183590555">
    <w:abstractNumId w:val="0"/>
  </w:num>
  <w:num w:numId="7" w16cid:durableId="595525675">
    <w:abstractNumId w:val="3"/>
  </w:num>
  <w:num w:numId="8" w16cid:durableId="1590113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57"/>
    <w:rsid w:val="00020D57"/>
    <w:rsid w:val="00AE2E4A"/>
    <w:rsid w:val="00BC7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E42C"/>
  <w15:chartTrackingRefBased/>
  <w15:docId w15:val="{35164B0E-518C-4E7F-B377-1A630FED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D5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20D5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0D5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20D5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20D5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20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D5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20D5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20D5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20D5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20D5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20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D57"/>
    <w:rPr>
      <w:rFonts w:eastAsiaTheme="majorEastAsia" w:cstheme="majorBidi"/>
      <w:color w:val="272727" w:themeColor="text1" w:themeTint="D8"/>
    </w:rPr>
  </w:style>
  <w:style w:type="paragraph" w:styleId="Title">
    <w:name w:val="Title"/>
    <w:basedOn w:val="Normal"/>
    <w:next w:val="Normal"/>
    <w:link w:val="TitleChar"/>
    <w:uiPriority w:val="10"/>
    <w:qFormat/>
    <w:rsid w:val="00020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D57"/>
    <w:pPr>
      <w:spacing w:before="160"/>
      <w:jc w:val="center"/>
    </w:pPr>
    <w:rPr>
      <w:i/>
      <w:iCs/>
      <w:color w:val="404040" w:themeColor="text1" w:themeTint="BF"/>
    </w:rPr>
  </w:style>
  <w:style w:type="character" w:customStyle="1" w:styleId="QuoteChar">
    <w:name w:val="Quote Char"/>
    <w:basedOn w:val="DefaultParagraphFont"/>
    <w:link w:val="Quote"/>
    <w:uiPriority w:val="29"/>
    <w:rsid w:val="00020D57"/>
    <w:rPr>
      <w:i/>
      <w:iCs/>
      <w:color w:val="404040" w:themeColor="text1" w:themeTint="BF"/>
    </w:rPr>
  </w:style>
  <w:style w:type="paragraph" w:styleId="ListParagraph">
    <w:name w:val="List Paragraph"/>
    <w:basedOn w:val="Normal"/>
    <w:uiPriority w:val="34"/>
    <w:qFormat/>
    <w:rsid w:val="00020D57"/>
    <w:pPr>
      <w:ind w:left="720"/>
      <w:contextualSpacing/>
    </w:pPr>
  </w:style>
  <w:style w:type="character" w:styleId="IntenseEmphasis">
    <w:name w:val="Intense Emphasis"/>
    <w:basedOn w:val="DefaultParagraphFont"/>
    <w:uiPriority w:val="21"/>
    <w:qFormat/>
    <w:rsid w:val="00020D57"/>
    <w:rPr>
      <w:i/>
      <w:iCs/>
      <w:color w:val="2E74B5" w:themeColor="accent1" w:themeShade="BF"/>
    </w:rPr>
  </w:style>
  <w:style w:type="paragraph" w:styleId="IntenseQuote">
    <w:name w:val="Intense Quote"/>
    <w:basedOn w:val="Normal"/>
    <w:next w:val="Normal"/>
    <w:link w:val="IntenseQuoteChar"/>
    <w:uiPriority w:val="30"/>
    <w:qFormat/>
    <w:rsid w:val="00020D5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20D57"/>
    <w:rPr>
      <w:i/>
      <w:iCs/>
      <w:color w:val="2E74B5" w:themeColor="accent1" w:themeShade="BF"/>
    </w:rPr>
  </w:style>
  <w:style w:type="character" w:styleId="IntenseReference">
    <w:name w:val="Intense Reference"/>
    <w:basedOn w:val="DefaultParagraphFont"/>
    <w:uiPriority w:val="32"/>
    <w:qFormat/>
    <w:rsid w:val="00020D5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077364">
      <w:bodyDiv w:val="1"/>
      <w:marLeft w:val="0"/>
      <w:marRight w:val="0"/>
      <w:marTop w:val="0"/>
      <w:marBottom w:val="0"/>
      <w:divBdr>
        <w:top w:val="none" w:sz="0" w:space="0" w:color="auto"/>
        <w:left w:val="none" w:sz="0" w:space="0" w:color="auto"/>
        <w:bottom w:val="none" w:sz="0" w:space="0" w:color="auto"/>
        <w:right w:val="none" w:sz="0" w:space="0" w:color="auto"/>
      </w:divBdr>
    </w:div>
    <w:div w:id="185349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2025-03-23T03:02:00Z</dcterms:created>
  <dcterms:modified xsi:type="dcterms:W3CDTF">2025-03-23T03:07:00Z</dcterms:modified>
</cp:coreProperties>
</file>