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A6E" w:rsidRDefault="00402A6E" w:rsidP="00402A6E">
      <w:pPr>
        <w:pStyle w:val="Heading1"/>
        <w:jc w:val="center"/>
        <w:rPr>
          <w:rFonts w:ascii="Times New Roman" w:hAnsi="Times New Roman" w:cs="Times New Roman"/>
          <w:color w:val="000000" w:themeColor="text1"/>
          <w:sz w:val="48"/>
        </w:rPr>
      </w:pPr>
      <w:proofErr w:type="spellStart"/>
      <w:r w:rsidRPr="00402A6E">
        <w:rPr>
          <w:rFonts w:ascii="Times New Roman" w:hAnsi="Times New Roman" w:cs="Times New Roman"/>
          <w:color w:val="000000" w:themeColor="text1"/>
          <w:sz w:val="48"/>
        </w:rPr>
        <w:t>Fynd</w:t>
      </w:r>
      <w:proofErr w:type="spellEnd"/>
      <w:r w:rsidRPr="00402A6E">
        <w:rPr>
          <w:rFonts w:ascii="Times New Roman" w:hAnsi="Times New Roman" w:cs="Times New Roman"/>
          <w:color w:val="000000" w:themeColor="text1"/>
          <w:sz w:val="48"/>
        </w:rPr>
        <w:t xml:space="preserve"> AI Intern – Take Home Assessment</w:t>
      </w:r>
    </w:p>
    <w:p w:rsidR="007715E6" w:rsidRPr="00402A6E" w:rsidRDefault="00402A6E" w:rsidP="00402A6E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br/>
      </w:r>
      <w:r w:rsidRPr="00402A6E">
        <w:rPr>
          <w:rFonts w:ascii="Times New Roman" w:hAnsi="Times New Roman" w:cs="Times New Roman"/>
          <w:color w:val="000000" w:themeColor="text1"/>
          <w:sz w:val="36"/>
        </w:rPr>
        <w:t>Technical Report</w:t>
      </w:r>
    </w:p>
    <w:p w:rsidR="007715E6" w:rsidRPr="00402A6E" w:rsidRDefault="00402A6E">
      <w:pPr>
        <w:rPr>
          <w:rFonts w:ascii="Times New Roman" w:hAnsi="Times New Roman" w:cs="Times New Roman"/>
          <w:b/>
          <w:color w:val="000000" w:themeColor="text1"/>
        </w:rPr>
      </w:pPr>
      <w:r w:rsidRPr="00402A6E">
        <w:rPr>
          <w:rFonts w:ascii="Times New Roman" w:hAnsi="Times New Roman" w:cs="Times New Roman"/>
          <w:b/>
          <w:color w:val="000000" w:themeColor="text1"/>
        </w:rPr>
        <w:t>Candidate: Kirtan Visnagara</w:t>
      </w:r>
    </w:p>
    <w:p w:rsidR="007715E6" w:rsidRPr="00402A6E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GitHub Repository: https://github.com/kirtanvisnagara05-hue/fynd-ai-intern-assignment</w:t>
      </w:r>
    </w:p>
    <w:p w:rsidR="007715E6" w:rsidRPr="00402A6E" w:rsidRDefault="007715E6">
      <w:pPr>
        <w:rPr>
          <w:rFonts w:ascii="Times New Roman" w:hAnsi="Times New Roman" w:cs="Times New Roman"/>
          <w:color w:val="000000" w:themeColor="text1"/>
        </w:rPr>
      </w:pPr>
    </w:p>
    <w:p w:rsidR="00402A6E" w:rsidRPr="00402A6E" w:rsidRDefault="00402A6E" w:rsidP="00402A6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Task 1 – Rating Prediction via Prompting</w:t>
      </w:r>
    </w:p>
    <w:p w:rsidR="007715E6" w:rsidRPr="00402A6E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The objective of Task 1 was to predict</w:t>
      </w:r>
      <w:r w:rsidRPr="00402A6E">
        <w:rPr>
          <w:rFonts w:ascii="Times New Roman" w:hAnsi="Times New Roman" w:cs="Times New Roman"/>
          <w:color w:val="000000" w:themeColor="text1"/>
        </w:rPr>
        <w:t xml:space="preserve"> star ratings (1–5) for Yelp-style reviews using prompt-based large language models. Multiple prompt strategies were evaluated on a sampled dataset, focusing on accuracy and JSON output validit</w:t>
      </w:r>
      <w:bookmarkStart w:id="0" w:name="_GoBack"/>
      <w:bookmarkEnd w:id="0"/>
      <w:r w:rsidRPr="00402A6E">
        <w:rPr>
          <w:rFonts w:ascii="Times New Roman" w:hAnsi="Times New Roman" w:cs="Times New Roman"/>
          <w:color w:val="000000" w:themeColor="text1"/>
        </w:rPr>
        <w:t>y.</w:t>
      </w:r>
    </w:p>
    <w:p w:rsidR="007715E6" w:rsidRPr="00402A6E" w:rsidRDefault="00402A6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Prompt Strategies Evaluated</w:t>
      </w:r>
    </w:p>
    <w:p w:rsidR="007715E6" w:rsidRPr="00402A6E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• Direct Prompt: Simple zero-sho</w:t>
      </w:r>
      <w:r w:rsidRPr="00402A6E">
        <w:rPr>
          <w:rFonts w:ascii="Times New Roman" w:hAnsi="Times New Roman" w:cs="Times New Roman"/>
          <w:color w:val="000000" w:themeColor="text1"/>
        </w:rPr>
        <w:t>t classification without guidance.</w:t>
      </w:r>
    </w:p>
    <w:p w:rsidR="007715E6" w:rsidRPr="00402A6E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• Rubric-Guided Prompt: Introduced explicit sentiment-to-rating rules.</w:t>
      </w:r>
    </w:p>
    <w:p w:rsidR="007715E6" w:rsidRPr="00402A6E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• CoT-Suppressed Prompt: Structured reasoning with chain-of-thought suppressed.</w:t>
      </w:r>
    </w:p>
    <w:p w:rsidR="007715E6" w:rsidRPr="00402A6E" w:rsidRDefault="00402A6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Evaluation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958"/>
        <w:gridCol w:w="2880"/>
      </w:tblGrid>
      <w:tr w:rsidR="00402A6E" w:rsidRPr="00402A6E" w:rsidTr="00402A6E">
        <w:tc>
          <w:tcPr>
            <w:tcW w:w="2802" w:type="dxa"/>
          </w:tcPr>
          <w:p w:rsidR="007715E6" w:rsidRPr="00402A6E" w:rsidRDefault="00402A6E" w:rsidP="00402A6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b/>
                <w:color w:val="000000" w:themeColor="text1"/>
              </w:rPr>
              <w:t>Prompt Type</w:t>
            </w:r>
          </w:p>
        </w:tc>
        <w:tc>
          <w:tcPr>
            <w:tcW w:w="2958" w:type="dxa"/>
          </w:tcPr>
          <w:p w:rsidR="007715E6" w:rsidRPr="00402A6E" w:rsidRDefault="00402A6E" w:rsidP="00402A6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b/>
                <w:color w:val="000000" w:themeColor="text1"/>
              </w:rPr>
              <w:t>Accuracy (%)</w:t>
            </w:r>
          </w:p>
        </w:tc>
        <w:tc>
          <w:tcPr>
            <w:tcW w:w="2880" w:type="dxa"/>
          </w:tcPr>
          <w:p w:rsidR="007715E6" w:rsidRPr="00402A6E" w:rsidRDefault="00402A6E" w:rsidP="00402A6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b/>
                <w:color w:val="000000" w:themeColor="text1"/>
              </w:rPr>
              <w:t>JSON Validity (%)</w:t>
            </w:r>
          </w:p>
        </w:tc>
      </w:tr>
      <w:tr w:rsidR="00402A6E" w:rsidRPr="00402A6E" w:rsidTr="00402A6E">
        <w:tc>
          <w:tcPr>
            <w:tcW w:w="2802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color w:val="000000" w:themeColor="text1"/>
              </w:rPr>
              <w:t>Direct</w:t>
            </w:r>
          </w:p>
        </w:tc>
        <w:tc>
          <w:tcPr>
            <w:tcW w:w="2958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color w:val="000000" w:themeColor="text1"/>
              </w:rPr>
              <w:t>6.5</w:t>
            </w:r>
          </w:p>
        </w:tc>
        <w:tc>
          <w:tcPr>
            <w:tcW w:w="2880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color w:val="000000" w:themeColor="text1"/>
              </w:rPr>
              <w:t>14.0</w:t>
            </w:r>
          </w:p>
        </w:tc>
      </w:tr>
      <w:tr w:rsidR="00402A6E" w:rsidRPr="00402A6E" w:rsidTr="00402A6E">
        <w:tc>
          <w:tcPr>
            <w:tcW w:w="2802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color w:val="000000" w:themeColor="text1"/>
              </w:rPr>
              <w:t>Rubric</w:t>
            </w:r>
          </w:p>
        </w:tc>
        <w:tc>
          <w:tcPr>
            <w:tcW w:w="2958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color w:val="000000" w:themeColor="text1"/>
              </w:rPr>
              <w:t>41.5</w:t>
            </w:r>
          </w:p>
        </w:tc>
        <w:tc>
          <w:tcPr>
            <w:tcW w:w="2880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color w:val="000000" w:themeColor="text1"/>
              </w:rPr>
              <w:t>65.5</w:t>
            </w:r>
          </w:p>
        </w:tc>
      </w:tr>
      <w:tr w:rsidR="00402A6E" w:rsidRPr="00402A6E" w:rsidTr="00402A6E">
        <w:tc>
          <w:tcPr>
            <w:tcW w:w="2802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02A6E">
              <w:rPr>
                <w:rFonts w:ascii="Times New Roman" w:hAnsi="Times New Roman" w:cs="Times New Roman"/>
                <w:color w:val="000000" w:themeColor="text1"/>
              </w:rPr>
              <w:t>CoT</w:t>
            </w:r>
            <w:proofErr w:type="spellEnd"/>
            <w:r w:rsidRPr="00402A6E">
              <w:rPr>
                <w:rFonts w:ascii="Times New Roman" w:hAnsi="Times New Roman" w:cs="Times New Roman"/>
                <w:color w:val="000000" w:themeColor="text1"/>
              </w:rPr>
              <w:t>-Suppressed</w:t>
            </w:r>
          </w:p>
        </w:tc>
        <w:tc>
          <w:tcPr>
            <w:tcW w:w="2958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color w:val="000000" w:themeColor="text1"/>
              </w:rPr>
              <w:t>54.0</w:t>
            </w:r>
          </w:p>
        </w:tc>
        <w:tc>
          <w:tcPr>
            <w:tcW w:w="2880" w:type="dxa"/>
          </w:tcPr>
          <w:p w:rsidR="007715E6" w:rsidRPr="00402A6E" w:rsidRDefault="00402A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A6E">
              <w:rPr>
                <w:rFonts w:ascii="Times New Roman" w:hAnsi="Times New Roman" w:cs="Times New Roman"/>
                <w:color w:val="000000" w:themeColor="text1"/>
              </w:rPr>
              <w:t>100.0</w:t>
            </w:r>
          </w:p>
        </w:tc>
      </w:tr>
    </w:tbl>
    <w:p w:rsidR="007715E6" w:rsidRPr="00402A6E" w:rsidRDefault="00402A6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Observations &amp; Conclusion (Task 1)</w:t>
      </w:r>
    </w:p>
    <w:p w:rsidR="007715E6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 xml:space="preserve">Direct prompting showed very poor performance due to ambiguity and inconsistent formatting. The rubric-guided prompt significantly improved alignment with human </w:t>
      </w:r>
      <w:r w:rsidRPr="00402A6E">
        <w:rPr>
          <w:rFonts w:ascii="Times New Roman" w:hAnsi="Times New Roman" w:cs="Times New Roman"/>
          <w:color w:val="000000" w:themeColor="text1"/>
        </w:rPr>
        <w:t>ratings. The CoT-suppressed approach achieved the best results, with the highest accuracy and perfect JSON validity.</w:t>
      </w:r>
    </w:p>
    <w:p w:rsidR="00402A6E" w:rsidRPr="00402A6E" w:rsidRDefault="00402A6E">
      <w:pPr>
        <w:rPr>
          <w:rFonts w:ascii="Times New Roman" w:hAnsi="Times New Roman" w:cs="Times New Roman"/>
          <w:color w:val="000000" w:themeColor="text1"/>
        </w:rPr>
      </w:pPr>
    </w:p>
    <w:p w:rsidR="007715E6" w:rsidRPr="00402A6E" w:rsidRDefault="00402A6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Task 2 – AI Feedback System</w:t>
      </w:r>
    </w:p>
    <w:p w:rsidR="007715E6" w:rsidRPr="00402A6E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Task 2 focused on building a production-ready AI feedback system using Streamlit. The application features sepa</w:t>
      </w:r>
      <w:r w:rsidRPr="00402A6E">
        <w:rPr>
          <w:rFonts w:ascii="Times New Roman" w:hAnsi="Times New Roman" w:cs="Times New Roman"/>
          <w:color w:val="000000" w:themeColor="text1"/>
        </w:rPr>
        <w:t xml:space="preserve">rate User and Admin dashboards, persistent storage via Hugging Face </w:t>
      </w:r>
      <w:r w:rsidRPr="00402A6E">
        <w:rPr>
          <w:rFonts w:ascii="Times New Roman" w:hAnsi="Times New Roman" w:cs="Times New Roman"/>
          <w:color w:val="000000" w:themeColor="text1"/>
        </w:rPr>
        <w:lastRenderedPageBreak/>
        <w:t>Datasets, and AI-powered summaries and recommendations generated using OpenRouter-hosted LLMs.</w:t>
      </w:r>
    </w:p>
    <w:p w:rsidR="007715E6" w:rsidRPr="00402A6E" w:rsidRDefault="00402A6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System Design &amp; Behavior</w:t>
      </w:r>
    </w:p>
    <w:p w:rsidR="007715E6" w:rsidRPr="00402A6E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The system dynamically generates AI insights only when missing, ensu</w:t>
      </w:r>
      <w:r w:rsidRPr="00402A6E">
        <w:rPr>
          <w:rFonts w:ascii="Times New Roman" w:hAnsi="Times New Roman" w:cs="Times New Roman"/>
          <w:color w:val="000000" w:themeColor="text1"/>
        </w:rPr>
        <w:t>ring efficiency and consistency. Extra control tokens in LLM outputs are sanitized before storage. Both dashboards are deployed as web-based applications on Hugging Face Spaces.</w:t>
      </w:r>
    </w:p>
    <w:p w:rsidR="007715E6" w:rsidRPr="00402A6E" w:rsidRDefault="00402A6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>Final Remarks</w:t>
      </w:r>
    </w:p>
    <w:p w:rsidR="007715E6" w:rsidRPr="00402A6E" w:rsidRDefault="00402A6E">
      <w:pPr>
        <w:rPr>
          <w:rFonts w:ascii="Times New Roman" w:hAnsi="Times New Roman" w:cs="Times New Roman"/>
          <w:color w:val="000000" w:themeColor="text1"/>
        </w:rPr>
      </w:pPr>
      <w:r w:rsidRPr="00402A6E">
        <w:rPr>
          <w:rFonts w:ascii="Times New Roman" w:hAnsi="Times New Roman" w:cs="Times New Roman"/>
          <w:color w:val="000000" w:themeColor="text1"/>
        </w:rPr>
        <w:t xml:space="preserve">This project demonstrates strong prompt engineering, systematic </w:t>
      </w:r>
      <w:r w:rsidRPr="00402A6E">
        <w:rPr>
          <w:rFonts w:ascii="Times New Roman" w:hAnsi="Times New Roman" w:cs="Times New Roman"/>
          <w:color w:val="000000" w:themeColor="text1"/>
        </w:rPr>
        <w:t>evaluation, and full-stack AI application deployment. The final solutions are robust, interpretable, and suitable for real-world usage.</w:t>
      </w:r>
    </w:p>
    <w:sectPr w:rsidR="007715E6" w:rsidRPr="00402A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A6E"/>
    <w:rsid w:val="007715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75E4D69-CB77-4E70-9778-0803899C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C61C3B-38C9-42B4-91BB-47BF2015E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2025-12-15T20:21:00Z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9f504e9c-b455-4b56-92a9-23a02660aa4e</vt:lpwstr>
  </property>
</Properties>
</file>