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IPC and BNS Blind Expert Review Packet</w:t>
      </w:r>
    </w:p>
    <w:p>
      <w:pPr>
        <w:spacing w:after="320"/>
      </w:pPr>
      <w:r>
        <w:rPr>
          <w:b/>
        </w:rPr>
        <w:t>Independent legal labeling and quality review for 10 evaluation cases</w:t>
      </w:r>
    </w:p>
    <w:p>
      <w:r>
        <w:t>This packet asks a qualified lawyer or law professor to establish independent reference answers before any model output is disclosed. It then provides a separate rubric for reviewing citations, grounding, and IRAC quality after the gold labels have been locked.</w:t>
      </w:r>
    </w:p>
    <w:p>
      <w:r>
        <w:rPr>
          <w:b/>
        </w:rPr>
        <w:t xml:space="preserve">Blind-review rule. </w:t>
      </w:r>
      <w:r>
        <w:t>No model prediction, retrieved provision, citation, or generated IRAC text appears in this packet. Do not request or open those materials during Phase A.</w:t>
      </w:r>
    </w:p>
    <w:p>
      <w:pPr>
        <w:pStyle w:val="Heading2"/>
      </w:pPr>
      <w:r>
        <w:t>Reviewer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Reviewer name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Professional role and qualifications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Institution or practice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Review date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Heading2"/>
      </w:pPr>
      <w:r>
        <w:t>Independent Review Declaration</w:t>
      </w:r>
    </w:p>
    <w:p>
      <w:pPr>
        <w:spacing w:after="60"/>
      </w:pPr>
      <w:r>
        <w:t>[ ] I did not view model predictions before completing Phase A</w:t>
      </w:r>
    </w:p>
    <w:p>
      <w:pPr>
        <w:spacing w:after="60"/>
      </w:pPr>
      <w:r>
        <w:t>[ ] I used independent legal judgment and authoritative materials</w:t>
      </w:r>
    </w:p>
    <w:p>
      <w:pPr>
        <w:spacing w:after="60"/>
      </w:pPr>
      <w:r>
        <w:t>[ ] I identified uncertainty instead of guessing missing facts</w:t>
      </w:r>
    </w:p>
    <w:p>
      <w:r>
        <w:t>Signature: ____________________________________    Date: ____________________</w:t>
      </w:r>
    </w:p>
    <w:p>
      <w:pPr>
        <w:pStyle w:val="Heading2"/>
      </w:pPr>
      <w:r>
        <w:t>What To Return</w:t>
      </w:r>
    </w:p>
    <w:p>
      <w:r>
        <w:t>Return this completed packet and the two completed JSONL forms supplied with it. The project coordinator will run the automated comparison only after both review phases are complete.</w:t>
      </w:r>
    </w:p>
    <w:p>
      <w:r>
        <w:br w:type="page"/>
      </w:r>
    </w:p>
    <w:p>
      <w:pPr>
        <w:pStyle w:val="Heading1"/>
      </w:pPr>
      <w:r>
        <w:t>Review Procedure</w:t>
      </w:r>
    </w:p>
    <w:p>
      <w:pPr>
        <w:pStyle w:val="Heading2"/>
      </w:pPr>
      <w:r>
        <w:t>Phase A Independent Gold Labels</w:t>
      </w:r>
    </w:p>
    <w:p>
      <w:r>
        <w:rPr>
          <w:b/>
        </w:rPr>
        <w:t xml:space="preserve">1. </w:t>
      </w:r>
      <w:r>
        <w:t>Read only the case facts in this packet. Treat omitted facts as unknown and do not infer them from a likely model answer.</w:t>
      </w:r>
    </w:p>
    <w:p>
      <w:r>
        <w:rPr>
          <w:b/>
        </w:rPr>
        <w:t xml:space="preserve">2. </w:t>
      </w:r>
      <w:r>
        <w:t>Consult authoritative legal materials and decide the applicable framework: IPC only, BNS primary, multi-period review, or clarification required.</w:t>
      </w:r>
    </w:p>
    <w:p>
      <w:r>
        <w:rPr>
          <w:b/>
        </w:rPr>
        <w:t xml:space="preserve">3. </w:t>
      </w:r>
      <w:r>
        <w:t>Record the single best provision and up to three acceptable retrieval targets. Include the Top-1 provision in the Top-3 list.</w:t>
      </w:r>
    </w:p>
    <w:p>
      <w:r>
        <w:rPr>
          <w:b/>
        </w:rPr>
        <w:t xml:space="preserve">4. </w:t>
      </w:r>
      <w:r>
        <w:t>Explain ambiguity, assumptions, missing facts, or alternate acceptable provisions in Comments and Corrections.</w:t>
      </w:r>
    </w:p>
    <w:p>
      <w:r>
        <w:rPr>
          <w:b/>
        </w:rPr>
        <w:t xml:space="preserve">5. </w:t>
      </w:r>
      <w:r>
        <w:t>Complete Phase A for all 10 cases, sign the declaration, and return or lock a dated copy before seeing any model output.</w:t>
      </w:r>
    </w:p>
    <w:p>
      <w:pPr>
        <w:pStyle w:val="Heading2"/>
      </w:pPr>
      <w:r>
        <w:t>Phase B Output Quality Review</w:t>
      </w:r>
    </w:p>
    <w:p>
      <w:r>
        <w:t>Phase B starts only after the Phase A answers have been preserved. The coordinator may then provide a separate case-matched output excerpt. The sealed prediction file itself is not part of this packet.</w:t>
      </w:r>
    </w:p>
    <w:p>
      <w:r>
        <w:t>For each case, verify the cited document, page, section, and support for the generated statement. Rate each IRAC component from 0 to 2, assess grounding, and write a correction where needed.</w:t>
      </w:r>
    </w:p>
    <w:p>
      <w:pPr>
        <w:pStyle w:val="Heading2"/>
      </w:pPr>
      <w:r>
        <w:t>Rating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Citation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/ Partly correct / Incorrect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Document, page, provision, and claimed support are checked.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IRAC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0 / 1 / 2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0 incorrect or unsupported; 1 partly correct or incomplete; 2 correct and sufficiently supported.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Grounding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Grounded / Partly grounded / Ungrounded</w:t>
            </w:r>
          </w:p>
        </w:tc>
        <w:tc>
          <w:tcPr>
            <w:tcW w:type="dxa" w:w="51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Measures whether the answer stays within and is supported by authoritative cited text.</w:t>
            </w:r>
          </w:p>
        </w:tc>
      </w:tr>
    </w:tbl>
    <w:p>
      <w:pPr>
        <w:pStyle w:val="Heading2"/>
      </w:pPr>
      <w:r>
        <w:t>Authoritative Materials</w:t>
      </w:r>
    </w:p>
    <w:p>
      <w:pPr>
        <w:pStyle w:val="ListBullet"/>
      </w:pPr>
      <w:r>
        <w:t>The Indian Penal Code, 1860 - Ministry of Home Affairs, Government of India</w:t>
      </w:r>
    </w:p>
    <w:p>
      <w:pPr>
        <w:pStyle w:val="ListBullet"/>
      </w:pPr>
      <w:r>
        <w:t>The Bharatiya Nyaya Sanhita, 2023 - Gazette of India, Ministry of Law and Justice</w:t>
      </w:r>
    </w:p>
    <w:p>
      <w:pPr>
        <w:pStyle w:val="ListBullet"/>
      </w:pPr>
      <w:r>
        <w:t>BNS Commencement Notification S.O. 850(E) - Gazette of India, Ministry of Home Affairs</w:t>
      </w:r>
    </w:p>
    <w:p>
      <w:pPr>
        <w:pStyle w:val="ListBullet"/>
      </w:pPr>
      <w:r>
        <w:t>Comparative Chart of Commonly Used Sections of IPC vis-a-vis BNS - Bureau of Police Research and Development</w:t>
      </w:r>
    </w:p>
    <w:p>
      <w:r>
        <w:t>Use the governing statute and commencement notification as primary authorities. A comparative chart may assist navigation but should not replace verification against the statutory text.</w:t>
      </w:r>
    </w:p>
    <w:p>
      <w:r>
        <w:br w:type="page"/>
      </w:r>
    </w:p>
    <w:p>
      <w:pPr>
        <w:pStyle w:val="Heading1"/>
        <w:keepNext/>
      </w:pPr>
      <w:r>
        <w:t>Case blind-001</w:t>
      </w:r>
    </w:p>
    <w:p>
      <w:r>
        <w:rPr>
          <w:b/>
        </w:rPr>
        <w:t xml:space="preserve">Case facts. </w:t>
      </w:r>
      <w:r>
        <w:t>On 20 June 2024, property was dishonestly moved out of another person's possession without consent.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blind-002</w:t>
      </w:r>
    </w:p>
    <w:p>
      <w:r>
        <w:rPr>
          <w:b/>
        </w:rPr>
        <w:t xml:space="preserve">Case facts. </w:t>
      </w:r>
      <w:r>
        <w:t>On 12 July 2024, movable property was dishonestly taken from another person's possession without consent.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blind-003</w:t>
      </w:r>
    </w:p>
    <w:p>
      <w:r>
        <w:rPr>
          <w:b/>
        </w:rPr>
        <w:t xml:space="preserve">Case facts. </w:t>
      </w:r>
      <w:r>
        <w:t>The alleged act occurred on 18 June 2024 and intentionally caused another person's death.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blind-004</w:t>
      </w:r>
    </w:p>
    <w:p>
      <w:r>
        <w:rPr>
          <w:b/>
        </w:rPr>
        <w:t xml:space="preserve">Case facts. </w:t>
      </w:r>
      <w:r>
        <w:t>On 12 July 2024, a person was deceived and dishonestly induced to deliver property.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blind-005</w:t>
      </w:r>
    </w:p>
    <w:p>
      <w:r>
        <w:rPr>
          <w:b/>
        </w:rPr>
        <w:t xml:space="preserve">Case facts. </w:t>
      </w:r>
      <w:r>
        <w:t>A deceptive course of conduct continued from 20 June 2024 until 12 July 2024 and caused delivery of property.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blind-006</w:t>
      </w:r>
    </w:p>
    <w:p>
      <w:r>
        <w:rPr>
          <w:b/>
        </w:rPr>
        <w:t xml:space="preserve">Case facts. </w:t>
      </w:r>
      <w:r>
        <w:t>A complaint alleges dishonest inducement and delivery of property, but does not state when the conduct occurred.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blind-007</w:t>
      </w:r>
    </w:p>
    <w:p>
      <w:r>
        <w:rPr>
          <w:b/>
        </w:rPr>
        <w:t xml:space="preserve">Case facts. </w:t>
      </w:r>
      <w:r>
        <w:t>On 12 July 2024, a crime syndicate carried out continuing unlawful activity involving repeated serious offences.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blind-008</w:t>
      </w:r>
    </w:p>
    <w:p>
      <w:r>
        <w:rPr>
          <w:b/>
        </w:rPr>
        <w:t xml:space="preserve">Case facts. </w:t>
      </w:r>
      <w:r>
        <w:t>On 12 July 2024, death was allegedly caused by rash and negligent driving and the driver left without reporting the incident.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blind-009</w:t>
      </w:r>
    </w:p>
    <w:p>
      <w:r>
        <w:rPr>
          <w:b/>
        </w:rPr>
        <w:t xml:space="preserve">Case facts. </w:t>
      </w:r>
      <w:r>
        <w:t>On 20 June 2024, repeated unwanted following and electronic monitoring caused fear and distress.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Case blind-010</w:t>
      </w:r>
    </w:p>
    <w:p>
      <w:r>
        <w:rPr>
          <w:b/>
        </w:rPr>
        <w:t xml:space="preserve">Case facts. </w:t>
      </w:r>
      <w:r>
        <w:t>On 12 July 2024, a person was wrongfully prevented from leaving a confined place.</w:t>
      </w:r>
    </w:p>
    <w:p>
      <w:r>
        <w:rPr>
          <w:b/>
        </w:rPr>
        <w:t xml:space="preserve">Scope. </w:t>
      </w:r>
      <w:r>
        <w:t>Base the answer only on these facts. Record any legally material missing information instead of assuming it.</w:t>
      </w:r>
    </w:p>
    <w:p>
      <w:pPr>
        <w:pStyle w:val="Heading2"/>
      </w:pPr>
      <w:r>
        <w:t>Phase A Independent Gold Label</w:t>
      </w:r>
    </w:p>
    <w:p>
      <w:r>
        <w:t>Correct applicable law</w:t>
      </w:r>
    </w:p>
    <w:p>
      <w:pPr>
        <w:spacing w:after="60"/>
      </w:pPr>
      <w:r>
        <w:t>[ ] IPC only   [ ] BNS primary   [ ] Multi-period review   [ ] Clarification required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Decision field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Expert response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Correct Top-1 provision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Code: __________   Section: __________</w:t>
              <w:br/>
              <w:t>Provision title or description: 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Material clarification needed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r>
        <w:t>Acceptable Top-3 provisions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Why this is an acceptable retrieval target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t>Comments and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9893"/>
      </w:tblGrid>
      <w:tr>
        <w:tc>
          <w:tcPr>
            <w:tcW w:type="dxa" w:w="9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p>
      <w:pPr>
        <w:jc w:val="center"/>
      </w:pPr>
      <w:r>
        <w:rPr>
          <w:b/>
          <w:color w:val="8E3030"/>
          <w:sz w:val="18"/>
        </w:rPr>
        <w:t>STOP HERE UNTIL PHASE A HAS BEEN RETURNED OR LOCKED</w:t>
      </w:r>
    </w:p>
    <w:p>
      <w:pPr>
        <w:pStyle w:val="Heading2"/>
      </w:pPr>
      <w:r>
        <w:t>Phase B Citation Grounding and IRAC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46"/>
        <w:gridCol w:w="4946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Expert decision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Citation correctness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Correct   [ ] Partly correct   [ ] Incorrect</w:t>
              <w:br/>
              <w:t>Correct citation or correction: _________________________________________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Grounding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Grounded   [ ] Partly grounded   [ ] Ungrounded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Expert comments</w:t>
            </w:r>
          </w:p>
        </w:tc>
        <w:tc>
          <w:tcPr>
            <w:tcW w:type="dxa" w:w="74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8"/>
        <w:gridCol w:w="3298"/>
        <w:gridCol w:w="3298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IRAC component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6"/>
              </w:rPr>
              <w:t>Reason or correction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Issue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Rule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Conclusion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  <w:t>[ ] 0  [ ] 1  [ ] 2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Return Checklist</w:t>
      </w:r>
    </w:p>
    <w:p>
      <w:r>
        <w:t>Before returning the review, confirm that each case has a Phase A applicable-law decision and provision assessment. Complete Phase B only after Phase A has been preserved and the coordinator has supplied case-matched output excerpts.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73"/>
        <w:gridCol w:w="2473"/>
        <w:gridCol w:w="2473"/>
        <w:gridCol w:w="2473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Phase A complete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Phase B complete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Comments added if needed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blind-006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blind-007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blind-008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blind-009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blind-010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5F7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[ ]</w:t>
            </w:r>
          </w:p>
        </w:tc>
      </w:tr>
    </w:tbl>
    <w:p>
      <w:pPr>
        <w:pStyle w:val="Heading2"/>
      </w:pPr>
      <w:r>
        <w:t>Final Confirmation</w:t>
      </w:r>
    </w:p>
    <w:p>
      <w:pPr>
        <w:spacing w:after="60"/>
      </w:pPr>
      <w:r>
        <w:t>[ ] All Phase A labels were completed before prediction disclosure</w:t>
      </w:r>
    </w:p>
    <w:p>
      <w:pPr>
        <w:spacing w:after="60"/>
      </w:pPr>
      <w:r>
        <w:t>[ ] All Phase B ratings reflect independent expert judgment</w:t>
      </w:r>
    </w:p>
    <w:p>
      <w:r>
        <w:t>Reviewer signature: ______________________________    Date: 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1008" w:bottom="835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>Confidential evaluation material  |  Case labels must be completed independently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5555"/>
        <w:sz w:val="16"/>
      </w:rPr>
      <w:t>IPC and BNS Blind Expert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181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IPC and BNS Blind Expert Review Packet</dc:title>
  <dc:subject>Independent legal labeling and model output quality review</dc:subject>
  <dc:creator/>
  <cp:keywords>IPC, BNS, blind evaluation, expert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