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ra" w:hAnsi="Sora"/>
          <w:b/>
          <w:color w:val="0F172A"/>
          <w:sz w:val="52"/>
        </w:rPr>
        <w:t>The State of Async Work</w:t>
      </w:r>
    </w:p>
    <w:p>
      <w:r>
        <w:rPr>
          <w:i/>
          <w:color w:val="64748B"/>
        </w:rPr>
        <w:t>A 2026 field report for engineering leaders</w:t>
      </w:r>
    </w:p>
    <w:p>
      <w:r>
        <w:rPr>
          <w:color w:val="64748B"/>
          <w:sz w:val="18"/>
        </w:rPr>
        <w:t>docloom studio — 2026</w:t>
      </w:r>
    </w:p>
    <w:p>
      <w:pPr>
        <w:pBdr>
          <w:bottom w:val="single" w:sz="6" w:space="4" w:color="4F46E5"/>
        </w:pBdr>
      </w:pPr>
    </w:p>
    <w:p>
      <w:pPr>
        <w:pStyle w:val="Heading2"/>
      </w:pPr>
      <w:r>
        <w:t>Executive summary</w:t>
      </w:r>
    </w:p>
    <w:p>
      <w:r>
        <w:t>Async work crosses from experiment to operating standard in 2026. Across distributed engineering organizations, the median share of collaboration time spent in scheduled synchronous meetings falls to roughly 18 percent, down from 31 percent in 2022, while written artifacts (design docs, RFCs, recorded Looms, decision logs) now carry the load that live meetings once did. The forcing functions are structural, not cultural: teams span five or more time zones on average, calendar overlap windows compress to under four hours a day, and the cost of interrupting deep work is now measured and managed rather than assumed away. The question facing engineering leaders is no longer whether to work async, but how to instrument it.</w:t>
      </w:r>
    </w:p>
    <w:p>
      <w:r>
        <w:t>The core thesis of this report is direct: written-first, meeting-light teams win on the two metrics that compound (deep work and retention). Teams that codify decisions in durable text and cap synchronous time report a median of 3.2 uninterrupted focus blocks per engineer per day, versus 1.4 for meeting-heavy peers, and they ship review cycles roughly 20 to 30 percent faster because context travels with the artifact instead of trapped in a call. The retention gap is starker: organizations in the top quartile for async maturity show voluntary attrition near 9 percent against 17 percent for the bottom quartile, driven largely by senior engineers who leave environments that fragment their day. Written-first is not slower communication; it is higher-fidelity communication that scales past the timezone wall.</w:t>
      </w:r>
    </w:p>
    <w:p>
      <w:r>
        <w:t>This report covers five areas engineering leaders can act on. First, the deep-work economics: how meeting load, notification volume, and focus fragmentation translate into throughput and defect rates. Second, the written-first operating model: the document types, decision protocols, and review norms that let teams decide without meeting. Third, tooling and the automation layer, including where LLM-assisted drafting and summarization remove documentation tax rather than add noise. Fourth, the retention and hiring signal, quantifying what async maturity does to attrition, geographic reach, and compensation leverage. Fifth, the failure modes: where async degrades into slow ambiguity, and the guardrails (response-time SLAs, escalation paths, deliberate synchronous rituals) that prevent it.</w:t>
      </w:r>
    </w:p>
    <w:p>
      <w:r>
        <w:t>The evidence is consistent across company size and stage, but the gains are not automatic. Async advantage accrues to teams that treat writing as infrastructure and invest in it deliberately; teams that simply cancel meetings without replacing them with durable artifacts get the isolation without the leverage, and they regress. The differentiator is discipline, not tooling spend.</w:t>
      </w:r>
    </w:p>
    <w:p>
      <w:pPr>
        <w:pStyle w:val="ListBullet"/>
      </w:pPr>
      <w:r>
        <w:t>Synchronous meeting time drops to a median 18 percent of collaboration hours in 2026, down from 31 percent in 2022, as timezone overlap windows compress below four hours per day</w:t>
      </w:r>
    </w:p>
    <w:p>
      <w:pPr>
        <w:pStyle w:val="ListBullet"/>
      </w:pPr>
      <w:r>
        <w:t>Written-first teams sustain 3.2 uninterrupted focus blocks per engineer daily versus 1.4 for meeting-heavy teams, and clear review cycles 20 to 30 percent faster</w:t>
      </w:r>
    </w:p>
    <w:p>
      <w:pPr>
        <w:pStyle w:val="ListBullet"/>
      </w:pPr>
      <w:r>
        <w:t>Top-quartile async organizations post roughly 9 percent voluntary attrition against 17 percent in the bottom quartile, concentrated among senior engineers</w:t>
      </w:r>
    </w:p>
    <w:p>
      <w:pPr>
        <w:pStyle w:val="ListBullet"/>
      </w:pPr>
      <w:r>
        <w:t>The report covers five levers: deep-work economics, the written-first operating model, the automation and LLM tooling layer, retention and hiring signal, and async failure modes with guardrails</w:t>
      </w:r>
    </w:p>
    <w:p>
      <w:pPr>
        <w:pStyle w:val="ListBullet"/>
      </w:pPr>
      <w:r>
        <w:t>Async gains require investment: teams that cut meetings without replacing them with durable documents get isolation without leverage and regress on decision speed</w:t>
      </w:r>
    </w:p>
    <w:p>
      <w:pPr>
        <w:pStyle w:val="ListBullet"/>
      </w:pPr>
      <w:r>
        <w:t>Guardrails (response-time SLAs, explicit escalation paths, and a small set of deliberate synchronous rituals) separate high-functioning async from slow ambiguity</w:t>
      </w:r>
    </w:p>
    <w:tbl>
      <w:tblPr>
        <w:tblW w:type="auto" w:w="0"/>
        <w:tblLook w:firstColumn="1" w:firstRow="1" w:lastColumn="0" w:lastRow="0" w:noHBand="0" w:noVBand="1" w:val="04A0"/>
      </w:tblPr>
      <w:tblGrid>
        <w:gridCol w:w="8640"/>
      </w:tblGrid>
      <w:tr>
        <w:tc>
          <w:tcPr>
            <w:tcW w:type="dxa" w:w="8640"/>
            <w:shd w:val="clear" w:fill="F4F6FB"/>
          </w:tcPr>
          <w:p>
            <w:r>
              <w:rPr>
                <w:b/>
                <w:color w:val="0D9488"/>
                <w:sz w:val="18"/>
              </w:rPr>
              <w:t xml:space="preserve">SUCCESS  </w:t>
            </w:r>
            <w:r>
              <w:t>The single most important takeaway: async is won or lost on the quality of writing, not the absence of meetings. Teams that treat documents as infrastructure win on deep work and retention; teams that only delete calendar invites regress.</w:t>
            </w:r>
          </w:p>
        </w:tc>
      </w:tr>
    </w:tbl>
    <w:p/>
    <w:tbl>
      <w:tblPr>
        <w:tblW w:type="auto" w:w="0"/>
        <w:tblLook w:firstColumn="1" w:firstRow="1" w:lastColumn="0" w:lastRow="0" w:noHBand="0" w:noVBand="1" w:val="04A0"/>
      </w:tblPr>
      <w:tblGrid>
        <w:gridCol w:w="2160"/>
        <w:gridCol w:w="2160"/>
        <w:gridCol w:w="2160"/>
        <w:gridCol w:w="2160"/>
      </w:tblGrid>
      <w:tr>
        <w:tc>
          <w:tcPr>
            <w:tcW w:type="dxa" w:w="2160"/>
            <w:shd w:val="clear" w:fill="F4F6FB"/>
          </w:tcPr>
          <w:p>
            <w:r>
              <w:rPr>
                <w:b/>
                <w:color w:val="4F46E5"/>
                <w:sz w:val="32"/>
              </w:rPr>
              <w:t>18%</w:t>
            </w:r>
          </w:p>
          <w:p>
            <w:r>
              <w:rPr>
                <w:color w:val="64748B"/>
                <w:sz w:val="18"/>
              </w:rPr>
              <w:t>sync meeting time</w:t>
            </w:r>
          </w:p>
          <w:p>
            <w:r>
              <w:rPr>
                <w:color w:val="0D9488"/>
                <w:sz w:val="16"/>
              </w:rPr>
              <w:t>from 31% in 2022</w:t>
            </w:r>
          </w:p>
        </w:tc>
        <w:tc>
          <w:tcPr>
            <w:tcW w:type="dxa" w:w="2160"/>
            <w:shd w:val="clear" w:fill="F4F6FB"/>
          </w:tcPr>
          <w:p>
            <w:r>
              <w:rPr>
                <w:b/>
                <w:color w:val="4F46E5"/>
                <w:sz w:val="32"/>
              </w:rPr>
              <w:t>3.2</w:t>
            </w:r>
          </w:p>
          <w:p>
            <w:r>
              <w:rPr>
                <w:color w:val="64748B"/>
                <w:sz w:val="18"/>
              </w:rPr>
              <w:t>focus blocks / engineer / day</w:t>
            </w:r>
          </w:p>
          <w:p>
            <w:r>
              <w:rPr>
                <w:color w:val="0D9488"/>
                <w:sz w:val="16"/>
              </w:rPr>
              <w:t>vs 1.4 meeting-heavy</w:t>
            </w:r>
          </w:p>
        </w:tc>
        <w:tc>
          <w:tcPr>
            <w:tcW w:type="dxa" w:w="2160"/>
            <w:shd w:val="clear" w:fill="F4F6FB"/>
          </w:tcPr>
          <w:p>
            <w:r>
              <w:rPr>
                <w:b/>
                <w:color w:val="4F46E5"/>
                <w:sz w:val="32"/>
              </w:rPr>
              <w:t>9%</w:t>
            </w:r>
          </w:p>
          <w:p>
            <w:r>
              <w:rPr>
                <w:color w:val="64748B"/>
                <w:sz w:val="18"/>
              </w:rPr>
              <w:t>attrition, top quartile</w:t>
            </w:r>
          </w:p>
          <w:p>
            <w:r>
              <w:rPr>
                <w:color w:val="0D9488"/>
                <w:sz w:val="16"/>
              </w:rPr>
              <w:t>vs 17% bottom quartile</w:t>
            </w:r>
          </w:p>
        </w:tc>
        <w:tc>
          <w:tcPr>
            <w:tcW w:type="dxa" w:w="2160"/>
            <w:shd w:val="clear" w:fill="F4F6FB"/>
          </w:tcPr>
          <w:p>
            <w:r>
              <w:rPr>
                <w:b/>
                <w:color w:val="4F46E5"/>
                <w:sz w:val="32"/>
              </w:rPr>
              <w:t>25%</w:t>
            </w:r>
          </w:p>
          <w:p>
            <w:r>
              <w:rPr>
                <w:color w:val="64748B"/>
                <w:sz w:val="18"/>
              </w:rPr>
              <w:t>faster review cycles</w:t>
            </w:r>
          </w:p>
        </w:tc>
      </w:tr>
    </w:tbl>
    <w:p/>
    <w:p>
      <w:r>
        <w:t>Figures in this report draw on a 2026 distributed-work survey</w:t>
      </w:r>
      <w:r>
        <w:t>.</w:t>
      </w:r>
      <w:r>
        <w:rPr>
          <w:color w:val="4F46E5"/>
          <w:vertAlign w:val="superscript"/>
        </w:rPr>
        <w:t>[1]</w:t>
      </w:r>
      <w:r>
        <w:t xml:space="preserve"> Focus-time measures follow the Deep Work Index method</w:t>
      </w:r>
      <w:r>
        <w:t>.</w:t>
      </w:r>
      <w:r>
        <w:rPr>
          <w:color w:val="4F46E5"/>
          <w:vertAlign w:val="superscript"/>
        </w:rPr>
        <w:t>[2]</w:t>
      </w:r>
    </w:p>
    <w:p>
      <w:pPr>
        <w:pStyle w:val="Heading2"/>
      </w:pPr>
      <w:r>
        <w:t>The structural shift</w:t>
      </w:r>
    </w:p>
    <w:p>
      <w:r>
        <w:t>Async is no longer a remote-work accommodation; it is the operating model that distributed engineering economics select for. The mechanism is arithmetic. Once a team spans three or more time zones, the shared synchronous window collapses to 2 to 3 hours per day, and every meeting scheduled inside it consumes the team's scarcest, most contended resource. Organizations that keep sync as the default cap their coordination bandwidth at the size of that window and push the overflow onto individuals' evenings. Async inverts the constraint: it treats the 21 non-overlapping hours as the primary channel and the overlap window as a reserve held for genuinely high-bandwidth exchanges.</w:t>
      </w:r>
    </w:p>
    <w:p>
      <w:r>
        <w:t>The economics of interruption make the same case at the individual level. Refocusing after a context switch costs 15 to 23 minutes, and a working session broken by five status pings or standups loses 1.5 to 2 hours of deep-work capacity. On a team of 40 engineers loaded at 200,000 dollars, that fragmentation is a seven-figure annual leak with no offsetting output. Async work removes the leak structurally by replacing pull-based interruption with push-based, batch-consumed written updates: the reader chooses when to absorb context, so the cost of communication shifts from the interrupted maker to a moment of the reader's choosing.</w:t>
      </w:r>
    </w:p>
    <w:p>
      <w:r>
        <w:t>Remote-first hiring supplies the forcing function. Teams recruiting across 20-plus countries to reach senior talent inherit a geography where no synchronous slot is fair to everyone. At that point written-first stops being a preference and becomes the only equitable coordination protocol, because the alternative systematically taxes whichever region sits outside the meeting's core hours. The companies that hire globally and stay sync-default quietly convert their time-zone advantage into an attrition problem.</w:t>
      </w:r>
    </w:p>
    <w:p>
      <w:r>
        <w:t>What made this durable in 2026 is that the tooling finally matches the model. Linear, Notion, GitHub pull requests, RFC and ADR conventions, and short async video turn every decision into a durable, searchable artifact, and AI summarization has cut the catch-up overhead that once made async feel slower than a call. The result is a measurable reframe of the core metric: high-functioning distributed teams now manage decision latency, the time for a choice to reach a documented and reversible state, rather than response time. That decoupling of progress from calendar overlap is the structural shift, and it is why async is the default rather than the exception.</w:t>
      </w:r>
    </w:p>
    <w:p>
      <w:pPr>
        <w:pStyle w:val="ListBullet"/>
      </w:pPr>
      <w:r>
        <w:t>Time-zone math forces the shift: a team distributed across four hubs (San Francisco, Sao Paulo, Lisbon, Bangalore) shares at most 2 to 3 hours of daily overlap, so treating synchronous time as the coordination default caps the team's usable workday at roughly 30 percent of clock hours.</w:t>
      </w:r>
    </w:p>
    <w:p>
      <w:pPr>
        <w:pStyle w:val="ListBullet"/>
      </w:pPr>
      <w:r>
        <w:t>The interruption tax is now a line item: refocus after a context switch runs 15 to 23 minutes, and a maker fragmented by five sync touchpoints loses 1.5 to 2 hours of deep-work capacity per day, roughly 20 percent of a fully loaded engineer costing 180,000 to 240,000 dollars.</w:t>
      </w:r>
    </w:p>
    <w:p>
      <w:pPr>
        <w:pStyle w:val="ListBullet"/>
      </w:pPr>
      <w:r>
        <w:t>Remote-first hiring inverts the constraint: teams recruit from 20-plus countries to close senior-engineer scarcity, and once headcount spans three or more time zones, no meeting time exists that does not tax someone's evening, making written-first the only equitable default.</w:t>
      </w:r>
    </w:p>
    <w:p>
      <w:pPr>
        <w:pStyle w:val="ListBullet"/>
      </w:pPr>
      <w:r>
        <w:t>Written-first tooling crossed a threshold: Linear, Notion, GitHub PRs, RFC and ADR templates, and Loom turn decisions into durable, searchable artifacts, so the cost of writing a decision down now sits below the cost of re-explaining it synchronously three times.</w:t>
      </w:r>
    </w:p>
    <w:p>
      <w:pPr>
        <w:pStyle w:val="ListBullet"/>
      </w:pPr>
      <w:r>
        <w:t>AI closes the last friction point: thread summarization, PR description generation, and semantic search over docs cut the read-and-catch-up overhead that historically made async feel slower than a quick call.</w:t>
      </w:r>
    </w:p>
    <w:p>
      <w:pPr>
        <w:pStyle w:val="ListBullet"/>
      </w:pPr>
      <w:r>
        <w:t>The metric that moves is decision latency, not response time: mature async teams optimize for a decision reaching a documented, reversible state within 24 hours rather than for instant replies, which decouples throughput from calendar overlap.</w:t>
      </w:r>
    </w:p>
    <w:tbl>
      <w:tblPr>
        <w:tblW w:type="auto" w:w="0"/>
        <w:tblLook w:firstColumn="1" w:firstRow="1" w:lastColumn="0" w:lastRow="0" w:noHBand="0" w:noVBand="1" w:val="04A0"/>
      </w:tblPr>
      <w:tblGrid>
        <w:gridCol w:w="8640"/>
      </w:tblGrid>
      <w:tr>
        <w:tc>
          <w:tcPr>
            <w:tcW w:type="dxa" w:w="8640"/>
            <w:shd w:val="clear" w:fill="F4F6FB"/>
          </w:tcPr>
          <w:p>
            <w:r>
              <w:rPr>
                <w:b/>
                <w:color w:val="4F46E5"/>
                <w:sz w:val="18"/>
              </w:rPr>
              <w:t xml:space="preserve">INFO  </w:t>
            </w:r>
            <w:r>
              <w:t>The tell that a team has actually made the shift: it measures decision latency (time to a documented, reversible decision) instead of response time. The first rewards writing things down once; the second rewards being online, which is exactly the behavior distributed teams cannot afford.</w:t>
            </w:r>
          </w:p>
        </w:tc>
      </w:tr>
    </w:tbl>
    <w:p/>
    <w:p>
      <w:pPr>
        <w:pStyle w:val="Heading2"/>
      </w:pPr>
      <w:r>
        <w:t>The productivity case</w:t>
      </w:r>
    </w:p>
    <w:p>
      <w:r>
        <w:t>The core mechanism is arithmetic on the calendar, not ideology. Deep work requires blocks long enough to load context, hold it, and produce, typically 90 minutes or more. Synchronous coordination fragments the day into pieces too small to reach that threshold. A calendar with three well-spaced 30-minute meetings looks 81 percent open, but if those meetings land at 10:00, 13:00, and 15:30, the longest unbroken block is under two hours and often under one. Async work does not add hours to the day. It defragments them, pushing coordination to the edges or into writing so the middle stays intact.</w:t>
      </w:r>
    </w:p>
    <w:p>
      <w:r>
        <w:t>The cost of the alternative is measurable and larger than it appears. The recovery penalty after an interruption runs to a median of 23 minutes, and attention residue means the switch degrades work on both sides of the meeting, not only the booked time. For an engineer earning a fully loaded 150,000 dollars, four fragmenting interruptions a day at 23 minutes each is roughly 90 minutes of lost productive time daily, on the order of 15,000 to 20,000 dollars of annual capacity per person spent on context reload rather than the meetings themselves. The meetings are not free even when they are short.</w:t>
      </w:r>
    </w:p>
    <w:p>
      <w:r>
        <w:t>Async teams replace synchronous coordination with durable artifacts, and this is what makes the model hold. Decisions move into RFCs and architecture decision records, status moves into written updates read on the reader's schedule, and demos move into recorded video watched at 1.5x. A response-time SLA of 24 to 48 hours removes the ambient pressure to sit in the inbox, which is what actually protects the focus block. The written record also compounds: a decision documented once is read by the timezone that comes online eight hours later without a second meeting, so coverage expands without headcount.</w:t>
      </w:r>
    </w:p>
    <w:p>
      <w:r>
        <w:t>Output measurement changes because presence stops being observable. Teams that go async cannot manage by who is at their desk, so they instrument the flow instead: DORA metrics for delivery health, PR cycle time from first commit to merge, and the count of decisions closed rather than meetings held. The caveats are real and specific. High-bandwidth, high-ambiguity work such as incident response, early product discovery, and conflict resolution is slower in writing and belongs in a synchronous channel. Timezone latency compounds when a decision needs three round trips across a 9-hour gap, turning a 20-minute call into a three-day thread. Junior engineers lose the ambient learning that comes from overhearing senior debate, so onboarding needs deliberate pairing time. And documentation itself is a tax: teams that write everything spend hours maintaining records no one reads. The productivity case is not async everywhere. It is synchronous by exception, defended by default.</w:t>
      </w:r>
    </w:p>
    <w:p>
      <w:pPr>
        <w:pStyle w:val="ListBullet"/>
      </w:pPr>
      <w:r>
        <w:t>Context-switch tax: after an interruption, workers take a median of 23 minutes to return to the original task (Gloria Mark, UC Irvine), and self-report checking communication tools roughly every 6 minutes, leaving few uninterrupted 90-minute stretches in a synchronous day.</w:t>
      </w:r>
    </w:p>
    <w:p>
      <w:pPr>
        <w:pStyle w:val="ListBullet"/>
      </w:pPr>
      <w:r>
        <w:t>Attention residue: switching between tasks leaves part of cognition stuck on the prior task (Sophie Leroy), so a 30-minute meeting dropped into the middle of a coding block degrades the two hours around it, not just the 30 minutes booked.</w:t>
      </w:r>
    </w:p>
    <w:p>
      <w:pPr>
        <w:pStyle w:val="ListBullet"/>
      </w:pPr>
      <w:r>
        <w:t>Calendar fragmentation is the real cost, not raw meeting hours: a manager with five 30-minute meetings spread across an 8-hour day retains zero focus blocks over 90 minutes, while the same five meetings stacked in one morning frees a 4-hour afternoon.</w:t>
      </w:r>
    </w:p>
    <w:p>
      <w:pPr>
        <w:pStyle w:val="ListBullet"/>
      </w:pPr>
      <w:r>
        <w:t>Async teams convert coordination from real time to written artifacts: RFCs, architecture decision records, and recorded walkthroughs replace status meetings, and a 24-to-48-hour response SLA replaces the expectation of instant reply.</w:t>
      </w:r>
    </w:p>
    <w:p>
      <w:pPr>
        <w:pStyle w:val="ListBullet"/>
      </w:pPr>
      <w:r>
        <w:t>Measurement shifts from presence to output: DORA metrics (deployment frequency, lead time for changes, change failure rate, time to restore), PR cycle time, and closed decision docs replace hours-online and meeting attendance as the signal of contribution.</w:t>
      </w:r>
    </w:p>
    <w:p>
      <w:pPr>
        <w:pStyle w:val="ListBullet"/>
      </w:pPr>
      <w:r>
        <w:t>The gains are conditional: focus time only converts to output when work is decomposed into independently shippable units, otherwise saved meeting hours reappear as blocked PRs and coordination debt in the backlog.</w:t>
      </w:r>
    </w:p>
    <w:p>
      <w:pPr>
        <w:ind w:left="360"/>
      </w:pPr>
      <w:r>
        <w:t xml:space="preserve">1. </w:t>
      </w:r>
      <w:r>
        <w:t>Audit calendar fragmentation, not meeting count: measure the longest daily unbroken block per engineer, and target at least one 3-hour and one 90-minute block per person per day.</w:t>
      </w:r>
    </w:p>
    <w:p>
      <w:pPr>
        <w:ind w:left="360"/>
      </w:pPr>
      <w:r>
        <w:t xml:space="preserve">2. </w:t>
      </w:r>
      <w:r>
        <w:t>Consolidate meetings to the edges of the day and adopt one or two no-meeting days per week, protecting the maker schedule rather than the manager schedule.</w:t>
      </w:r>
    </w:p>
    <w:p>
      <w:pPr>
        <w:ind w:left="360"/>
      </w:pPr>
      <w:r>
        <w:t xml:space="preserve">3. </w:t>
      </w:r>
      <w:r>
        <w:t>Set an explicit response SLA of 24 to 48 hours for non-urgent channels so people stop monitoring chat in real time, and reserve a separate paging path for genuine urgency.</w:t>
      </w:r>
    </w:p>
    <w:p>
      <w:pPr>
        <w:ind w:left="360"/>
      </w:pPr>
      <w:r>
        <w:t xml:space="preserve">4. </w:t>
      </w:r>
      <w:r>
        <w:t>Move recurring status, design review, and demos into written RFCs, ADRs, and recorded video, and require a written pre-read before any meeting survives.</w:t>
      </w:r>
    </w:p>
    <w:p>
      <w:pPr>
        <w:ind w:left="360"/>
      </w:pPr>
      <w:r>
        <w:t xml:space="preserve">5. </w:t>
      </w:r>
      <w:r>
        <w:t>Instrument output with DORA metrics and PR cycle time, and retire attendance and hours-online as performance signals.</w:t>
      </w:r>
    </w:p>
    <w:tbl>
      <w:tblPr>
        <w:tblW w:type="auto" w:w="0"/>
        <w:tblLook w:firstColumn="1" w:firstRow="1" w:lastColumn="0" w:lastRow="0" w:noHBand="0" w:noVBand="1" w:val="04A0"/>
      </w:tblPr>
      <w:tblGrid>
        <w:gridCol w:w="8640"/>
      </w:tblGrid>
      <w:tr>
        <w:tc>
          <w:tcPr>
            <w:tcW w:type="dxa" w:w="8640"/>
            <w:shd w:val="clear" w:fill="F4F6FB"/>
          </w:tcPr>
          <w:p>
            <w:r>
              <w:rPr>
                <w:b/>
                <w:color w:val="64748B"/>
                <w:sz w:val="18"/>
              </w:rPr>
              <w:t xml:space="preserve">WARNING  </w:t>
            </w:r>
            <w:r>
              <w:t>Saved meeting hours do not automatically become shipped work. If tasks are not decomposed into independently mergeable units, reclaimed focus time reappears as blocked PRs and coordination debt. Protect the block and fix the dependency graph, or the productivity gain stays theoretical.</w:t>
            </w:r>
          </w:p>
        </w:tc>
      </w:tr>
    </w:tbl>
    <w:p/>
    <w:p>
      <w:r>
        <w:rPr>
          <w:b/>
        </w:rPr>
        <w:t>Uninterrupted focus blocks per engineer per day</w:t>
      </w:r>
    </w:p>
    <w:tbl>
      <w:tblPr>
        <w:tblStyle w:val="TableGrid"/>
        <w:tblW w:type="auto" w:w="0"/>
        <w:tblLook w:firstColumn="1" w:firstRow="1" w:lastColumn="0" w:lastRow="0" w:noHBand="0" w:noVBand="1" w:val="04A0"/>
      </w:tblPr>
      <w:tblGrid>
        <w:gridCol w:w="2880"/>
        <w:gridCol w:w="2880"/>
        <w:gridCol w:w="2880"/>
      </w:tblGrid>
      <w:tr>
        <w:tc>
          <w:tcPr>
            <w:tcW w:type="dxa" w:w="2880"/>
            <w:shd w:val="clear" w:fill="4F46E5"/>
          </w:tcPr>
          <w:p>
            <w:r>
              <w:rPr>
                <w:b/>
                <w:color w:val="FFFFFF"/>
              </w:rPr>
            </w:r>
          </w:p>
        </w:tc>
        <w:tc>
          <w:tcPr>
            <w:tcW w:type="dxa" w:w="2880"/>
            <w:shd w:val="clear" w:fill="4F46E5"/>
          </w:tcPr>
          <w:p>
            <w:r>
              <w:rPr>
                <w:b/>
                <w:color w:val="FFFFFF"/>
              </w:rPr>
              <w:t>Meeting-heavy</w:t>
            </w:r>
          </w:p>
        </w:tc>
        <w:tc>
          <w:tcPr>
            <w:tcW w:type="dxa" w:w="2880"/>
            <w:shd w:val="clear" w:fill="4F46E5"/>
          </w:tcPr>
          <w:p>
            <w:r>
              <w:rPr>
                <w:b/>
                <w:color w:val="FFFFFF"/>
              </w:rPr>
              <w:t>Async-mature</w:t>
            </w:r>
          </w:p>
        </w:tc>
      </w:tr>
      <w:tr>
        <w:tc>
          <w:tcPr>
            <w:tcW w:type="dxa" w:w="2880"/>
          </w:tcPr>
          <w:p>
            <w:r>
              <w:t>blocks / day</w:t>
            </w:r>
          </w:p>
        </w:tc>
        <w:tc>
          <w:tcPr>
            <w:tcW w:type="dxa" w:w="2880"/>
          </w:tcPr>
          <w:p>
            <w:r>
              <w:t>1.4</w:t>
            </w:r>
          </w:p>
        </w:tc>
        <w:tc>
          <w:tcPr>
            <w:tcW w:type="dxa" w:w="2880"/>
          </w:tcPr>
          <w:p>
            <w:r>
              <w:t>3.2</w:t>
            </w:r>
          </w:p>
        </w:tc>
      </w:tr>
    </w:tbl>
    <w:p/>
    <w:p>
      <w:pPr>
        <w:pStyle w:val="Heading2"/>
      </w:pPr>
      <w:r>
        <w:t>The meeting problem</w:t>
      </w:r>
    </w:p>
    <w:p>
      <w:r>
        <w:t>Meeting load rarely arrives as a decision. It accretes. A recurring invite gets created for a real reason, then outlives that reason because nothing in the calendar forces it to justify its own renewal. Attendee lists expand by inclusion norms, never contract by pruning. A 200-person engineering org typically runs 12 to 18 standing meetings per engineer before any project-specific work is scheduled, and the marginal cost of adding one more attendee reads as zero to the organizer while landing as a full hour of fragmented focus on the attendee. The result is a calendar that fills to its visible edges, with deep-work blocks squeezed into the residual gaps between synchronous commitments.</w:t>
      </w:r>
    </w:p>
    <w:p>
      <w:r>
        <w:t>The true cost of a recurring standup is larger than its duration and is the single most instructive number to compute. Take an 8-person team on a daily 30-minute standup. Direct cost is 4 person-hours per day, near 1,000 hours per year at typical loading, which prices out around 120,000 dollars annually at a 120 dollar blended hourly rate. Duration understates the damage because a mid-morning meeting splits a 3-hour maker block into two fragments too short for deep work, and interruption-recovery research puts reattention cost at 15 to 23 minutes per switch. Loaded for context switching, a 30-minute meeting occupies closer to 55 to 75 minutes of each attendee's effective day. Multiply that across a standing cadence and the standup is often the most expensive line item on the team no one has ever costed.</w:t>
      </w:r>
    </w:p>
    <w:p>
      <w:r>
        <w:t>The kill-versus-keep test is directional, not duration-based. Kill any meeting whose payload flows one way: status broadcasts, FYI syncs, readouts where the audience does not respond. These convert cleanly to asynchronous artifacts because their value is the information, not the interaction. Keep meetings where bandwidth and live disagreement do the work: incident response, contested design debate, negotiation, sensitive 1:1s, and the opening phase of an ambiguous project where the goal itself is still being defined. The heuristic that survives contact with reality: if the meeting produces a decision that requires real-time collision, keep it; if it produces a report, replace it.</w:t>
      </w:r>
    </w:p>
    <w:p>
      <w:r>
        <w:t>Async replacements work when they are structured, not merely optional. Written standups earn their keep only with fixed prompts (shipped, blocked, next), a single channel, a hard posting deadline, and an enforced norm that blockers get a same-day reply, otherwise they decay into a wall of unread updates. Decision docs work when they carry an explicit owner, a decision date, and a comment window that closes, converting a 60-minute debate meeting into a 15-minute async review for most participants and a focused synchronous session only for the few who genuinely disagree. Recorded demos at 1.5x to 2x playback let 20 people absorb a 6-minute walkthrough on their own clock rather than blocking a shared 30-minute slot, dropping coordination cost from roughly 10 person-hours to under 3. In each case the async form wins on two axes the meeting cannot match: it produces a searchable trail, and it removes the requirement that everyone be available at the same instant.</w:t>
      </w:r>
    </w:p>
    <w:p>
      <w:pPr>
        <w:pStyle w:val="ListBullet"/>
      </w:pPr>
      <w:r>
        <w:t>A daily 30-minute standup for 8 engineers consumes 4 person-hours per day, roughly 20 hours per week, or about 1,000 hours per year at full loading; at a blended cost of 120 dollars per hour that is 120,000 dollars annually for status that a 5-minute written thread delivers for free.</w:t>
      </w:r>
    </w:p>
    <w:p>
      <w:pPr>
        <w:pStyle w:val="ListBullet"/>
      </w:pPr>
      <w:r>
        <w:t>Context-switch tax compounds the calendar cost: a meeting at 11:00 am fragments the morning into two sub-90-minute blocks, and research on interruption recovery puts reattention cost at 15 to 23 minutes per switch, so the true footprint of a 30-minute meeting runs closer to 55 to 75 minutes per attendee.</w:t>
      </w:r>
    </w:p>
    <w:p>
      <w:pPr>
        <w:pStyle w:val="ListBullet"/>
      </w:pPr>
      <w:r>
        <w:t>Meeting load accretes through defaults, not decisions: recurring invites never expire, attendee lists only grow, and calendars fill to the visible edges, so the median engineer at a 200-person company carries 12 to 18 recurring meetings before a single new project starts.</w:t>
      </w:r>
    </w:p>
    <w:p>
      <w:pPr>
        <w:pStyle w:val="ListBullet"/>
      </w:pPr>
      <w:r>
        <w:t>Kill the meeting when its purpose is one-directional broadcast, status readout, or FYI: written standups, decision docs, and recorded demos deliver the same payload with a searchable trail and zero scheduling overhead.</w:t>
      </w:r>
    </w:p>
    <w:p>
      <w:pPr>
        <w:pStyle w:val="ListBullet"/>
      </w:pPr>
      <w:r>
        <w:t>Keep the meeting when the work is high-bandwidth and generative: incident response, design debate with live disagreement, negotiation, sensitive 1:1s, and the first hour of an ambiguous project where the goal itself is contested.</w:t>
      </w:r>
    </w:p>
    <w:p>
      <w:pPr>
        <w:pStyle w:val="ListBullet"/>
      </w:pPr>
      <w:r>
        <w:t>Written standups work when they answer three fixed prompts (shipped, blocked, next), post to a single channel by a hard time, and carry a norm that blockers get a same-day reply; teams that adopt this reclaim 3 to 5 hours per engineer per week.</w:t>
      </w:r>
    </w:p>
    <w:p>
      <w:pPr>
        <w:pStyle w:val="ListBullet"/>
      </w:pPr>
      <w:r>
        <w:t>Recorded demos at 1.5x to 2x playback let 20 people watch a 6-minute walkthrough on their own schedule instead of 20 people blocking a synchronous 30-minute slot, cutting the coordination cost from 10 person-hours to under 3.</w:t>
      </w:r>
    </w:p>
    <w:p>
      <w:pPr>
        <w:ind w:left="360"/>
      </w:pPr>
      <w:r>
        <w:t xml:space="preserve">1. </w:t>
      </w:r>
      <w:r>
        <w:t>Export every recurring meeting on the team calendar and tag each as broadcast, coordination, or generative decision.</w:t>
      </w:r>
    </w:p>
    <w:p>
      <w:pPr>
        <w:ind w:left="360"/>
      </w:pPr>
      <w:r>
        <w:t xml:space="preserve">2. </w:t>
      </w:r>
      <w:r>
        <w:t>Cancel all broadcast meetings outright and route their content to a written channel with a fixed daily deadline.</w:t>
      </w:r>
    </w:p>
    <w:p>
      <w:pPr>
        <w:ind w:left="360"/>
      </w:pPr>
      <w:r>
        <w:t xml:space="preserve">3. </w:t>
      </w:r>
      <w:r>
        <w:t>Convert coordination meetings to a structured async standup with the three fixed prompts and a same-day-reply norm on blockers.</w:t>
      </w:r>
    </w:p>
    <w:p>
      <w:pPr>
        <w:ind w:left="360"/>
      </w:pPr>
      <w:r>
        <w:t xml:space="preserve">4. </w:t>
      </w:r>
      <w:r>
        <w:t>For each generative decision meeting, require the owner to name the decision it produces; cancel any that cannot.</w:t>
      </w:r>
    </w:p>
    <w:p>
      <w:pPr>
        <w:ind w:left="360"/>
      </w:pPr>
      <w:r>
        <w:t xml:space="preserve">5. </w:t>
      </w:r>
      <w:r>
        <w:t>Replace status-heavy demos with 6-minute recordings posted for 1.5x to 2x playback, reserving live time for questions only.</w:t>
      </w:r>
    </w:p>
    <w:p>
      <w:pPr>
        <w:ind w:left="360"/>
      </w:pPr>
      <w:r>
        <w:t xml:space="preserve">6. </w:t>
      </w:r>
      <w:r>
        <w:t>Re-audit the surviving set every quarter and re-apply the same test, since recurring invites renew without review by default.</w:t>
      </w:r>
    </w:p>
    <w:tbl>
      <w:tblPr>
        <w:tblW w:type="auto" w:w="0"/>
        <w:tblLook w:firstColumn="1" w:firstRow="1" w:lastColumn="0" w:lastRow="0" w:noHBand="0" w:noVBand="1" w:val="04A0"/>
      </w:tblPr>
      <w:tblGrid>
        <w:gridCol w:w="8640"/>
      </w:tblGrid>
      <w:tr>
        <w:tc>
          <w:tcPr>
            <w:tcW w:type="dxa" w:w="8640"/>
            <w:shd w:val="clear" w:fill="F4F6FB"/>
          </w:tcPr>
          <w:p>
            <w:r>
              <w:rPr>
                <w:b/>
                <w:color w:val="64748B"/>
                <w:sz w:val="18"/>
              </w:rPr>
              <w:t xml:space="preserve">WARNING  </w:t>
            </w:r>
            <w:r>
              <w:t>Audit every recurring meeting quarterly with a hard default: any invite whose owner cannot state the decision it produces gets cancelled, not shortened. Recurring meetings are the only line item on a calendar that renews without review.</w:t>
            </w:r>
          </w:p>
        </w:tc>
      </w:tr>
    </w:tbl>
    <w:p/>
    <w:p>
      <w:r>
        <w:rPr>
          <w:b/>
        </w:rPr>
        <w:t>Sync meeting share of collaboration time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4F46E5"/>
          </w:tcPr>
          <w:p>
            <w:r>
              <w:rPr>
                <w:b/>
                <w:color w:val="FFFFFF"/>
              </w:rPr>
            </w:r>
          </w:p>
        </w:tc>
        <w:tc>
          <w:tcPr>
            <w:tcW w:type="dxa" w:w="2160"/>
            <w:shd w:val="clear" w:fill="4F46E5"/>
          </w:tcPr>
          <w:p>
            <w:r>
              <w:rPr>
                <w:b/>
                <w:color w:val="FFFFFF"/>
              </w:rPr>
              <w:t>2022</w:t>
            </w:r>
          </w:p>
        </w:tc>
        <w:tc>
          <w:tcPr>
            <w:tcW w:type="dxa" w:w="2160"/>
            <w:shd w:val="clear" w:fill="4F46E5"/>
          </w:tcPr>
          <w:p>
            <w:r>
              <w:rPr>
                <w:b/>
                <w:color w:val="FFFFFF"/>
              </w:rPr>
              <w:t>2024</w:t>
            </w:r>
          </w:p>
        </w:tc>
        <w:tc>
          <w:tcPr>
            <w:tcW w:type="dxa" w:w="2160"/>
            <w:shd w:val="clear" w:fill="4F46E5"/>
          </w:tcPr>
          <w:p>
            <w:r>
              <w:rPr>
                <w:b/>
                <w:color w:val="FFFFFF"/>
              </w:rPr>
              <w:t>2026</w:t>
            </w:r>
          </w:p>
        </w:tc>
      </w:tr>
      <w:tr>
        <w:tc>
          <w:tcPr>
            <w:tcW w:type="dxa" w:w="2160"/>
          </w:tcPr>
          <w:p>
            <w:r>
              <w:t>% of hours</w:t>
            </w:r>
          </w:p>
        </w:tc>
        <w:tc>
          <w:tcPr>
            <w:tcW w:type="dxa" w:w="2160"/>
          </w:tcPr>
          <w:p>
            <w:r>
              <w:t>31</w:t>
            </w:r>
          </w:p>
        </w:tc>
        <w:tc>
          <w:tcPr>
            <w:tcW w:type="dxa" w:w="2160"/>
          </w:tcPr>
          <w:p>
            <w:r>
              <w:t>24</w:t>
            </w:r>
          </w:p>
        </w:tc>
        <w:tc>
          <w:tcPr>
            <w:tcW w:type="dxa" w:w="2160"/>
          </w:tcPr>
          <w:p>
            <w:r>
              <w:t>18</w:t>
            </w:r>
          </w:p>
        </w:tc>
      </w:tr>
    </w:tbl>
    <w:p>
      <w:r>
        <w:rPr>
          <w:i/>
          <w:color w:val="64748B"/>
          <w:sz w:val="18"/>
        </w:rPr>
        <w:t>Median across surveyed distributed engineering orgs.</w:t>
      </w:r>
    </w:p>
    <w:p>
      <w:pPr>
        <w:pStyle w:val="Heading2"/>
      </w:pPr>
      <w:r>
        <w:t>Adoption across organizations</w:t>
      </w:r>
    </w:p>
    <w:p>
      <w:r>
        <w:t>Adoption tracks stage and size more tightly than industry or geography. Startups born distributed treat writing as the default operating system: teams under 50 people commit 60 to 75 percent of decisions to durable text because synchronous coordination across 3 to 6 time zones is simply unavailable. That advantage decays with scale. Once headcount crosses 300, the median firm settles near 30 percent written-decision coverage, not because tooling degrades but because each new management layer reintroduces presence as a proxy for productivity. Enterprises of 2,000-plus that succeed do so by making async structural, encoding response-time SLAs and default-off notifications into the calendar and the tool stack rather than leaving them to individual taste.</w:t>
      </w:r>
    </w:p>
    <w:p>
      <w:r>
        <w:t>Early and late adopters separate on protocol, not headcount or budget. Early adopters run a written decision log older than a year, publish response-time expectations of 4 to 24 hours by channel, and treat meetings as the escalation path of last resort. Their leaders model the behavior: status flows through threads, not hallway conversations or after-hours DMs. Late adopters own the same licenses for Notion, Loom, and Linear but operate them synchronously, using Slack as a pager and expecting sub-five-minute replies. The gap between these groups is roughly two years of compounding habit, and it shows up in onboarding: async-mature teams get new hires to first meaningful contribution 40 to 60 percent faster because context lives in searchable text rather than in the heads of tenured staff.</w:t>
      </w:r>
    </w:p>
    <w:p>
      <w:r>
        <w:t>The failure modes are symmetric and both stem from decoupling tools from culture. The common one is buying software without retiring the meetings it replaces, which stacks a 5 to 8 hour weekly documentation tax on top of unchanged synchronous load and turns async into pure overhead within two quarters. The rarer but equally corrosive one is strong writing culture with no canonical source of truth, where decisions scatter across DMs and email and effectively vanish. In both cases the tell is the same: adoption gets measured in seats provisioned rather than meetings eliminated or decisions made in writing. The organizations that convert count the second set of numbers and hold managers accountable to them.</w:t>
      </w:r>
    </w:p>
    <w:p>
      <w:pPr>
        <w:pStyle w:val="ListBullet"/>
      </w:pPr>
      <w:r>
        <w:t>Company stage sets the ceiling: seed-to-Series-A startups under 50 people run async by necessity across 3 to 6 time zones, posting 60 to 75 percent of decisions in writing, while pre-IPO firms of 500 to 2,000 stall near 30 percent because middle managers still measure presence.</w:t>
      </w:r>
    </w:p>
    <w:p>
      <w:pPr>
        <w:pStyle w:val="ListBullet"/>
      </w:pPr>
      <w:r>
        <w:t>Org size inverts the return: teams under 30 recover 4 to 6 focus hours per person per week from meeting reduction, but that gain compresses to under 90 minutes past 300 headcount unless async is enforced at the calendar and tooling layer, not left to preference.</w:t>
      </w:r>
    </w:p>
    <w:p>
      <w:pPr>
        <w:pStyle w:val="ListBullet"/>
      </w:pPr>
      <w:r>
        <w:t>Early adopters share three markers: a written decision log (RFC or ADR) older than 18 months, a default-off notification posture, and named response-time SLAs of 4 to 24 hours; late adopters carry none and treat Slack as a synchronous pager.</w:t>
      </w:r>
    </w:p>
    <w:p>
      <w:pPr>
        <w:pStyle w:val="ListBullet"/>
      </w:pPr>
      <w:r>
        <w:t>Regulated and hardware-adjacent sectors lag software by roughly two years: fintech, health, and manufacturing sit at 20 to 35 percent async decision coverage against 55 to 70 percent for pure-play SaaS, driven by audit trails, physical co-location, and legacy approval chains.</w:t>
      </w:r>
    </w:p>
    <w:p>
      <w:pPr>
        <w:pStyle w:val="ListBullet"/>
      </w:pPr>
      <w:r>
        <w:t>Founder behavior is the single largest swing variable: when a CEO answers threads at 11pm and pings for status in DMs, written-first norms collapse inside two quarters regardless of headline tooling investment.</w:t>
      </w:r>
    </w:p>
    <w:p>
      <w:pPr>
        <w:pStyle w:val="ListBullet"/>
      </w:pPr>
      <w:r>
        <w:t>The dominant failure mode is tool adoption without protocol adoption: firms buy Loom, Notion, and Linear, then layer them on top of unchanged meeting loads, producing a documentation tax of 5 to 8 extra hours per week and net-negative satisfaction within 6 months.</w:t>
      </w:r>
    </w:p>
    <w:p>
      <w:pPr>
        <w:pStyle w:val="ListBullet"/>
      </w:pPr>
      <w:r>
        <w:t>Culture-only shops without tooling fail symmetrically: strong writing norms with no single source of truth scatter decisions across DMs and email, and new hires take 40 to 60 percent longer to reach first meaningful contribution.</w:t>
      </w:r>
    </w:p>
    <w:tbl>
      <w:tblPr>
        <w:tblW w:type="auto" w:w="0"/>
        <w:tblLook w:firstColumn="1" w:firstRow="1" w:lastColumn="0" w:lastRow="0" w:noHBand="0" w:noVBand="1" w:val="04A0"/>
      </w:tblPr>
      <w:tblGrid>
        <w:gridCol w:w="8640"/>
      </w:tblGrid>
      <w:tr>
        <w:tc>
          <w:tcPr>
            <w:tcW w:type="dxa" w:w="8640"/>
            <w:shd w:val="clear" w:fill="F4F6FB"/>
          </w:tcPr>
          <w:p>
            <w:r>
              <w:rPr>
                <w:b/>
                <w:color w:val="64748B"/>
                <w:sz w:val="18"/>
              </w:rPr>
              <w:t xml:space="preserve">WARNING  </w:t>
            </w:r>
            <w:r>
              <w:t>The most expensive pattern is the hybrid trap: teams that keep every standing meeting and add async documentation on top, paying the coordination cost of both models while capturing the benefit of neither. Retire the meeting before you fund the tool.</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fill="4F46E5"/>
          </w:tcPr>
          <w:p>
            <w:r>
              <w:rPr>
                <w:b/>
                <w:color w:val="FFFFFF"/>
              </w:rPr>
              <w:t>Async maturity</w:t>
            </w:r>
          </w:p>
        </w:tc>
        <w:tc>
          <w:tcPr>
            <w:tcW w:type="dxa" w:w="2880"/>
            <w:shd w:val="clear" w:fill="4F46E5"/>
          </w:tcPr>
          <w:p>
            <w:r>
              <w:rPr>
                <w:b/>
                <w:color w:val="FFFFFF"/>
              </w:rPr>
              <w:t>Voluntary attrition</w:t>
            </w:r>
          </w:p>
        </w:tc>
        <w:tc>
          <w:tcPr>
            <w:tcW w:type="dxa" w:w="2880"/>
            <w:shd w:val="clear" w:fill="4F46E5"/>
          </w:tcPr>
          <w:p>
            <w:r>
              <w:rPr>
                <w:b/>
                <w:color w:val="FFFFFF"/>
              </w:rPr>
              <w:t>Focus blocks / day</w:t>
            </w:r>
          </w:p>
        </w:tc>
      </w:tr>
      <w:tr>
        <w:tc>
          <w:tcPr>
            <w:tcW w:type="dxa" w:w="2880"/>
          </w:tcPr>
          <w:p>
            <w:r>
              <w:t>Top quartile</w:t>
            </w:r>
          </w:p>
        </w:tc>
        <w:tc>
          <w:tcPr>
            <w:tcW w:type="dxa" w:w="2880"/>
          </w:tcPr>
          <w:p>
            <w:r>
              <w:t>9%</w:t>
            </w:r>
          </w:p>
        </w:tc>
        <w:tc>
          <w:tcPr>
            <w:tcW w:type="dxa" w:w="2880"/>
          </w:tcPr>
          <w:p>
            <w:r>
              <w:t>3.2</w:t>
            </w:r>
          </w:p>
        </w:tc>
      </w:tr>
      <w:tr>
        <w:tc>
          <w:tcPr>
            <w:tcW w:type="dxa" w:w="2880"/>
            <w:shd w:val="clear" w:fill="F4F6FB"/>
          </w:tcPr>
          <w:p>
            <w:r>
              <w:t>Median</w:t>
            </w:r>
          </w:p>
        </w:tc>
        <w:tc>
          <w:tcPr>
            <w:tcW w:type="dxa" w:w="2880"/>
            <w:shd w:val="clear" w:fill="F4F6FB"/>
          </w:tcPr>
          <w:p>
            <w:r>
              <w:t>13%</w:t>
            </w:r>
          </w:p>
        </w:tc>
        <w:tc>
          <w:tcPr>
            <w:tcW w:type="dxa" w:w="2880"/>
            <w:shd w:val="clear" w:fill="F4F6FB"/>
          </w:tcPr>
          <w:p>
            <w:r>
              <w:t>2.3</w:t>
            </w:r>
          </w:p>
        </w:tc>
      </w:tr>
      <w:tr>
        <w:tc>
          <w:tcPr>
            <w:tcW w:type="dxa" w:w="2880"/>
          </w:tcPr>
          <w:p>
            <w:r>
              <w:t>Bottom quartile</w:t>
            </w:r>
          </w:p>
        </w:tc>
        <w:tc>
          <w:tcPr>
            <w:tcW w:type="dxa" w:w="2880"/>
          </w:tcPr>
          <w:p>
            <w:r>
              <w:t>17%</w:t>
            </w:r>
          </w:p>
        </w:tc>
        <w:tc>
          <w:tcPr>
            <w:tcW w:type="dxa" w:w="2880"/>
          </w:tcPr>
          <w:p>
            <w:r>
              <w:t>1.4</w:t>
            </w:r>
          </w:p>
        </w:tc>
      </w:tr>
    </w:tbl>
    <w:p>
      <w:r>
        <w:rPr>
          <w:i/>
          <w:color w:val="64748B"/>
          <w:sz w:val="18"/>
        </w:rPr>
        <w:t>Outcomes by async maturity quartile.</w:t>
      </w:r>
    </w:p>
    <w:p>
      <w:pPr>
        <w:pStyle w:val="Heading2"/>
      </w:pPr>
      <w:r>
        <w:t>A practical playbook</w:t>
      </w:r>
    </w:p>
    <w:p>
      <w:r>
        <w:t>Moving a team to async is a change-management project, not a tooling rollout. Treat it as a 13-week program with weekly checkpoints, a named owner, and two or three metrics that tell you whether the shift is real or cosmetic. The sequence below front-loads the plumbing (where decisions live, how work is written up) and defers the visible change (cutting meetings) until the substrate exists to absorb it. Teams that reverse this order delete meetings first, discover decisions now happen in DMs and hallway threads, and revert within a month.</w:t>
      </w:r>
    </w:p>
    <w:p>
      <w:r>
        <w:t>Budget roughly 3 to 5 hours per engineer per week of transition cost in the first month: writing is slower than talking before it is faster. Expect throughput to dip 10 to 15 percent in weeks 2 through 4, then recover and exceed baseline by week 8 as context-switching and status meetings fall away. Instrument the dip so you can distinguish normal J-curve from genuine dysfunction, and communicate to your own leadership that the dip is planned, not a regression.</w:t>
      </w:r>
    </w:p>
    <w:p>
      <w:pPr>
        <w:pStyle w:val="ListBullet"/>
      </w:pPr>
      <w:r>
        <w:t>Name one owner accountable for the transition and give them 20 percent time for the quarter; diffuse ownership is the most common reason rollouts stall by week 4.</w:t>
      </w:r>
    </w:p>
    <w:p>
      <w:pPr>
        <w:pStyle w:val="ListBullet"/>
      </w:pPr>
      <w:r>
        <w:t>Track three metrics only: median PR or task cycle time, recurring meeting hours per person per week, and a two-question pulse survey on role clarity. More metrics dilute focus and none get acted on.</w:t>
      </w:r>
    </w:p>
    <w:p>
      <w:pPr>
        <w:pStyle w:val="ListBullet"/>
      </w:pPr>
      <w:r>
        <w:t>Sequence plumbing before subtraction: stand up the source of truth and writing norms before cutting a single meeting, or decisions migrate to invisible channels.</w:t>
      </w:r>
    </w:p>
    <w:p>
      <w:pPr>
        <w:pStyle w:val="ListBullet"/>
      </w:pPr>
      <w:r>
        <w:t>Protect exactly one synchronous ritual per week (team sync or social) so async does not read as isolation; fully-async teams report the sharpest belonging declines.</w:t>
      </w:r>
    </w:p>
    <w:p>
      <w:pPr>
        <w:pStyle w:val="ListBullet"/>
      </w:pPr>
      <w:r>
        <w:t>Set explicit response-time expectations in writing; ambiguity about 'how fast' recreates always-on pressure and defeats the purpose of going async.</w:t>
      </w:r>
    </w:p>
    <w:p>
      <w:pPr>
        <w:pStyle w:val="ListBullet"/>
      </w:pPr>
      <w:r>
        <w:t>Default decisions to a written proposal with a decider and a deadline; without a forcing function, async slides into slow.</w:t>
      </w:r>
    </w:p>
    <w:p>
      <w:pPr>
        <w:pStyle w:val="ListBullet"/>
      </w:pPr>
      <w:r>
        <w:t>Communicate a planned 10 to 15 percent throughput dip in weeks 2 to 4 upward and outward so the J-curve is not misread as failure.</w:t>
      </w:r>
    </w:p>
    <w:p>
      <w:pPr>
        <w:ind w:left="360"/>
      </w:pPr>
      <w:r>
        <w:t xml:space="preserve">1. </w:t>
      </w:r>
      <w:r>
        <w:t>Weeks 1 to 2, establish a single source of truth. Pick one system of record for decisions (a docs tool or issue tracker, not chat) and mandate that any decision not written there does not exist. Migrate the three most-referenced ongoing threads first so the tool immediately holds the context people actually need.</w:t>
      </w:r>
    </w:p>
    <w:p>
      <w:pPr>
        <w:ind w:left="360"/>
      </w:pPr>
      <w:r>
        <w:t xml:space="preserve">2. </w:t>
      </w:r>
      <w:r>
        <w:t>Weeks 2 to 3, set written communication defaults. Publish a one-page norms doc: expected response windows (for example, 4 business hours for mentions, 24 hours for reviews), a 'no reply needed' convention, and a rule that any message over a paragraph becomes a document with a link. Model it yourself in every post for the first two weeks.</w:t>
      </w:r>
    </w:p>
    <w:p>
      <w:pPr>
        <w:ind w:left="360"/>
      </w:pPr>
      <w:r>
        <w:t xml:space="preserve">3. </w:t>
      </w:r>
      <w:r>
        <w:t>Weeks 3 to 5, convert status meetings to written updates. Replace standups and weekly status syncs with a threaded update template (shipped, blocked, next, needs-decision). Keep exactly one live meeting per week for the team to protect connection, and measure whether the written updates actually get read via reactions or comments.</w:t>
      </w:r>
    </w:p>
    <w:p>
      <w:pPr>
        <w:ind w:left="360"/>
      </w:pPr>
      <w:r>
        <w:t xml:space="preserve">4. </w:t>
      </w:r>
      <w:r>
        <w:t>Weeks 5 to 7, redesign the decision process. Adopt a lightweight written proposal format (context, options, recommendation, decision-by date) with an explicit review window instead of a meeting. Require a named decider and a deadline on every proposal so async does not become indecision.</w:t>
      </w:r>
    </w:p>
    <w:p>
      <w:pPr>
        <w:ind w:left="360"/>
      </w:pPr>
      <w:r>
        <w:t xml:space="preserve">5. </w:t>
      </w:r>
      <w:r>
        <w:t>Weeks 6 to 8, make code review and handoffs async-first. Set review SLAs, require self-review notes and a short recorded walkthrough for non-trivial changes, and stagger on-call and review coverage across time zones so no change waits on one person's working hours.</w:t>
      </w:r>
    </w:p>
    <w:p>
      <w:pPr>
        <w:ind w:left="360"/>
      </w:pPr>
      <w:r>
        <w:t xml:space="preserve">6. </w:t>
      </w:r>
      <w:r>
        <w:t>Weeks 8 to 10, audit meetings and reclaim calendar time. Cancel every recurring meeting and force reinstatement only with a written agenda and a reason it cannot be async. Publish the before-and-after meeting-hours-per-person number to the team.</w:t>
      </w:r>
    </w:p>
    <w:p>
      <w:pPr>
        <w:ind w:left="360"/>
      </w:pPr>
      <w:r>
        <w:t xml:space="preserve">7. </w:t>
      </w:r>
      <w:r>
        <w:t>Weeks 10 to 13, measure, tune, and codify. Review cycle time, meeting hours per person, and a pulse survey on clarity and autonomy. Fix the two worst friction points, then write the norms into onboarding so the next hire inherits the system instead of the transition.</w:t>
      </w:r>
    </w:p>
    <w:tbl>
      <w:tblPr>
        <w:tblW w:type="auto" w:w="0"/>
        <w:tblLook w:firstColumn="1" w:firstRow="1" w:lastColumn="0" w:lastRow="0" w:noHBand="0" w:noVBand="1" w:val="04A0"/>
      </w:tblPr>
      <w:tblGrid>
        <w:gridCol w:w="8640"/>
      </w:tblGrid>
      <w:tr>
        <w:tc>
          <w:tcPr>
            <w:tcW w:type="dxa" w:w="8640"/>
            <w:shd w:val="clear" w:fill="F4F6FB"/>
          </w:tcPr>
          <w:p>
            <w:r>
              <w:rPr>
                <w:b/>
                <w:color w:val="64748B"/>
                <w:sz w:val="18"/>
              </w:rPr>
              <w:t xml:space="preserve">WARNING  </w:t>
            </w:r>
            <w:r>
              <w:t>Top pitfall: cutting meetings before the written substrate exists. When you delete standups and syncs without a mandated source of truth and clear response-window norms, decisions do not disappear, they relocate to DMs, hallway threads, and whoever happens to be online. The team feels less informed, reintroduces the meetings within a month, and concludes async does not work. Build the plumbing in weeks 1 to 5, then subtract meetings in weeks 8 to 10, never the reverse.</w:t>
            </w:r>
          </w:p>
        </w:tc>
      </w:tr>
    </w:tbl>
    <w:p/>
    <w:p>
      <w:pPr>
        <w:pStyle w:val="Heading2"/>
      </w:pPr>
      <w:r>
        <w:t>Common pitfalls</w:t>
      </w:r>
    </w:p>
    <w:p>
      <w:r>
        <w:t>Async work fails in predictable patterns, and the failures cluster in the transition rather than the destination. Teams do not collapse because writing is hard; they collapse because they layer async habits on top of synchronous defaults and get the overhead of both with the discipline of neither. Every pitfall below shares one root cause: an implicit norm that used to be carried by physical presence never gets made explicit in writing.</w:t>
      </w:r>
    </w:p>
    <w:p>
      <w:r>
        <w:t>The pattern to watch for is regression under stress. A team runs clean async for a quarter, hits an incident or a launch, reverts to real-time DMs and emergency calls, and never switches back. The antidotes are cheap to state and expensive to skip: every one converts an implicit expectation (how fast, who decides, where truth lives) into a written, owned, dated commitment. Do that consistently and the failure modes below stop being structural and become one-off mistakes.</w:t>
      </w:r>
    </w:p>
    <w:p>
      <w:pPr>
        <w:pStyle w:val="ListBullet"/>
      </w:pPr>
      <w:r>
        <w:t>Response-time anxiety: when reply norms stay implicit, people check Slack every 6 to 8 minutes and treat every message as urgent, which reinstates synchronous pressure inside an async tool. Antidote: publish a response-time SLA per channel (DMs 24h, project threads 4h during overlap, incidents 15m) and surface it in status and channel topics so silence stops reading as neglect.</w:t>
      </w:r>
    </w:p>
    <w:p>
      <w:pPr>
        <w:pStyle w:val="ListBullet"/>
      </w:pPr>
      <w:r>
        <w:t>Decision paralysis: threads accumulate 40-plus comments with no owner and no deadline, and choices stall for days waiting for consensus that never arrives. Antidote: attach a DRI, a decision type (one-way vs two-way door), and a hard 'decide by' timestamp to every proposal; default to the DRI deciding if the clock expires.</w:t>
      </w:r>
    </w:p>
    <w:p>
      <w:pPr>
        <w:pStyle w:val="ListBullet"/>
      </w:pPr>
      <w:r>
        <w:t>Documentation rot: written culture generates volume, and 30 to 50 percent of pages go stale within a quarter, so people stop trusting the docs and revert to asking in DMs. Antidote: assign each doc an owner and a review-by date, auto-flag anything untouched for 90 days, and delete aggressively; a smaller trusted corpus beats a large rotting one.</w:t>
      </w:r>
    </w:p>
    <w:p>
      <w:pPr>
        <w:pStyle w:val="ListBullet"/>
      </w:pPr>
      <w:r>
        <w:t>Exclusion of junior staff: seniors thrive on written autonomy while juniors, who learn by osmosis and quick questions, go quiet and stall. Antidote: pair every junior with a named responder, protect 2 to 3 hours of weekly synchronous coaching, and reward question-asking in public channels so it reads as competence, not weakness.</w:t>
      </w:r>
    </w:p>
    <w:p>
      <w:pPr>
        <w:pStyle w:val="ListBullet"/>
      </w:pPr>
      <w:r>
        <w:t>Timezone unfairness: a single 'core hours' block set to headquarters time silently taxes one region with 6am or 10pm meetings, and attrition concentrates there. Antidote: rotate the meeting-load penalty across regions, cap required synchronous overlap at 3 to 4 hours per week, and move status, decisions, and demos to written or recorded form.</w:t>
      </w:r>
    </w:p>
    <w:p>
      <w:pPr>
        <w:pStyle w:val="ListBullet"/>
      </w:pPr>
      <w:r>
        <w:t>Meeting creep disguised as async: teams adopt async tools but keep the full meeting calendar, so the written work becomes pure overhead on top of 20-plus hours of calls. Antidote: audit the calendar quarterly, convert any recurring meeting without a decision or a debate into a written update, and require an agenda-with-questions or the meeting gets cancelled.</w:t>
      </w:r>
    </w:p>
    <w:p>
      <w:pPr>
        <w:pStyle w:val="ListBullet"/>
      </w:pPr>
      <w:r>
        <w:t>Tool sprawl: context fragments across Slack, Notion, Linear, email, and three doc tools, and the average knowledge worker loses roughly 20 minutes per context switch hunting for the current source of truth. Antidote: designate one canonical home per artifact type (decisions, specs, status) and treat everything else as ephemeral chat that is safe to lose.</w:t>
      </w:r>
    </w:p>
    <w:tbl>
      <w:tblPr>
        <w:tblW w:type="auto" w:w="0"/>
        <w:tblLook w:firstColumn="1" w:firstRow="1" w:lastColumn="0" w:lastRow="0" w:noHBand="0" w:noVBand="1" w:val="04A0"/>
      </w:tblPr>
      <w:tblGrid>
        <w:gridCol w:w="8640"/>
      </w:tblGrid>
      <w:tr>
        <w:tc>
          <w:tcPr>
            <w:tcW w:type="dxa" w:w="8640"/>
            <w:shd w:val="clear" w:fill="F4F6FB"/>
          </w:tcPr>
          <w:p>
            <w:r>
              <w:rPr>
                <w:b/>
                <w:color w:val="64748B"/>
                <w:sz w:val="18"/>
              </w:rPr>
              <w:t xml:space="preserve">WARNING  </w:t>
            </w:r>
            <w:r>
              <w:t>The most expensive failure is silent: a team declares itself async, keeps the full meeting calendar, and adds written documentation on top. The result is not less synchronous load, it is more total load, and it burns out exactly the conscientious people who write the most. Before adding any async ritual, delete a synchronous one. Async is a substitution, not an addition.</w:t>
            </w:r>
          </w:p>
        </w:tc>
      </w:tr>
    </w:tbl>
    <w:p/>
    <w:p>
      <w:pPr>
        <w:pStyle w:val="Heading2"/>
      </w:pPr>
      <w:r>
        <w:t>Outlook 2027</w:t>
      </w:r>
    </w:p>
    <w:p>
      <w:r>
        <w:t>The next 18 months bend toward instrumentation, not transformation. The tools that matter in 2027 do not write better prose; they make written work legible enough to review, route, and credit. AI-assisted communication settles into a triage role: assistants summarize threads, extract decisions, flag unanswered questions, and surface the three updates a manager actually needs from forty. The teams that win treat the model as a reader's advocate, compressing signal, rather than a writer's ghost, inflating output. The distinction is measurable in reader trust, which collapses the moment an audience concludes the sender did not think before publishing.</w:t>
      </w:r>
    </w:p>
    <w:p>
      <w:r>
        <w:t>Performance review is where async goes structural. The synchronous calibration meeting, built on memory and advocacy, gives way to an evidence trail: decision documents, proposal reviews, and change descriptions that already exist as a byproduct of doing the work. This is the single highest-leverage change available to engineering leaders in 2027, because it converts the async artifact from overhead into the primary record of contribution. It also redistributes credit. Work that lives in written, linkable form gets rated; work that lives in ephemeral synchronous channels disappears unless deliberately captured. Leaders who do not instrument ambient contribution will under-rate exactly the senior people who hold teams together.</w:t>
      </w:r>
    </w:p>
    <w:p>
      <w:r>
        <w:t>The dominant risk is over-correction, and it arrives in three forms. First, documentation-as-performance: once writing is scored, people optimize the artifact rather than the outcome, producing update inflation, retroactive decision docs, and hedged language engineered to survive review. Second, async absolutism: the belief that any synchronous contact is a process failure, which reliably slows genuinely ambiguous decisions that a single live conversation would resolve. Third, surveillance creep: the written trail that makes review fair also makes monitoring trivial, and the two are separated only by scope and consent.</w:t>
      </w:r>
    </w:p>
    <w:p>
      <w:r>
        <w:t>The measured forecast is that async work in 2027 becomes more accountable and more instrumented without becoming more humane by default. The technology removes excuses about visibility and calibration. It does not decide what to measure, how much writing is enough, or where evidence ends and surveillance begins. Those remain management choices, and the organizations that treat them as such, rather than delegating them to tooling, are the ones that keep their strongest engineers through the transition.</w:t>
      </w:r>
    </w:p>
    <w:p>
      <w:pPr>
        <w:pStyle w:val="ListBullet"/>
      </w:pPr>
      <w:r>
        <w:t>AI-assisted communication moves from drafting to triage: by late 2027, roughly 60 to 70 percent of internal long-form updates pass through an assistant that summarizes, tags decisions, and routes open questions, but the marginal writer still owns the argument. Teams that let the model own the argument see review cycles lengthen, not shorten, because readers stop trusting the source.</w:t>
      </w:r>
    </w:p>
    <w:p>
      <w:pPr>
        <w:pStyle w:val="ListBullet"/>
      </w:pPr>
      <w:r>
        <w:t>Expect a measurable quality split. Documents drafted with AI assistance but human-edited score 15 to 20 percent higher on reader comprehension tests than either pure-human or pure-AI output. The failure mode is volume: assistants make it cheap to produce 2,000-word updates that carry 200 words of signal, and reader time becomes the binding constraint.</w:t>
      </w:r>
    </w:p>
    <w:p>
      <w:pPr>
        <w:pStyle w:val="ListBullet"/>
      </w:pPr>
      <w:r>
        <w:t>Async-native performance review replaces the synchronous calibration meeting with a written evidence trail: linked decision docs, PR descriptions, and design proposals timestamped across two quarters. Early adopters report calibration disputes falling by about a third because the artifact, not the recollection, is the record.</w:t>
      </w:r>
    </w:p>
    <w:p>
      <w:pPr>
        <w:pStyle w:val="ListBullet"/>
      </w:pPr>
      <w:r>
        <w:t>The review shift favors written throughput and penalizes ambient contribution. Staff engineers who unblock others in DMs and hallway equivalents lose visibility unless the system captures that work. Managers who do not instrument it will systematically under-rate their highest-leverage people.</w:t>
      </w:r>
    </w:p>
    <w:p>
      <w:pPr>
        <w:pStyle w:val="ListBullet"/>
      </w:pPr>
      <w:r>
        <w:t>Over-correction risk one, documentation as performance: when writing is the scored artifact, people write for the reviewer, not the reader. Watch for update inflation, defensive hedging, and decision docs authored after the decision to manufacture a paper trail.</w:t>
      </w:r>
    </w:p>
    <w:p>
      <w:pPr>
        <w:pStyle w:val="ListBullet"/>
      </w:pPr>
      <w:r>
        <w:t>Over-correction risk two, async absolutism: banning synchronous contact raises time-to-decision on genuinely ambiguous, high-context problems. The 2026 data already shows decisions requiring three or more reversals resolve 40 percent faster with one live conversation. Treat sync as a scarce, deliberate tool, not a failure.</w:t>
      </w:r>
    </w:p>
    <w:p>
      <w:pPr>
        <w:pStyle w:val="ListBullet"/>
      </w:pPr>
      <w:r>
        <w:t>Over-correction risk three, surveillance creep: the same written trail that enables fair review enables keystroke-level monitoring. The line between evidence and surveillance is consent and scope, and organizations that blur it will pay in attrition among senior ICs first.</w:t>
      </w:r>
    </w:p>
    <w:tbl>
      <w:tblPr>
        <w:tblW w:type="auto" w:w="0"/>
        <w:tblLook w:firstColumn="1" w:firstRow="1" w:lastColumn="0" w:lastRow="0" w:noHBand="0" w:noVBand="1" w:val="04A0"/>
      </w:tblPr>
      <w:tblGrid>
        <w:gridCol w:w="8640"/>
      </w:tblGrid>
      <w:tr>
        <w:tc>
          <w:tcPr>
            <w:tcW w:type="dxa" w:w="8640"/>
            <w:shd w:val="clear" w:fill="F4F6FB"/>
          </w:tcPr>
          <w:p>
            <w:r>
              <w:rPr>
                <w:b/>
                <w:color w:val="64748B"/>
                <w:sz w:val="18"/>
              </w:rPr>
              <w:t xml:space="preserve">WARNING  </w:t>
            </w:r>
            <w:r>
              <w:t>The failure pattern to watch in 2027 is not too little async but too much orthodoxy: scoring the document instead of the outcome, banning sync on principle, and letting the evidence trail slide into surveillance. Each is a well-intentioned correction that costs you senior ICs first.</w:t>
            </w:r>
          </w:p>
        </w:tc>
      </w:tr>
    </w:tbl>
    <w:p/>
    <w:p>
      <w:pPr>
        <w:pStyle w:val="Heading2"/>
      </w:pPr>
      <w:r>
        <w:rPr>
          <w:b/>
        </w:rPr>
        <w:t>Async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4F46E5"/>
          </w:tcPr>
          <w:p>
            <w:r>
              <w:rPr>
                <w:b/>
                <w:color w:val="FFFFFF"/>
              </w:rPr>
              <w:t>Year</w:t>
            </w:r>
          </w:p>
        </w:tc>
        <w:tc>
          <w:tcPr>
            <w:tcW w:type="dxa" w:w="2160"/>
            <w:shd w:val="clear" w:fill="4F46E5"/>
          </w:tcPr>
          <w:p>
            <w:r>
              <w:rPr>
                <w:b/>
                <w:color w:val="FFFFFF"/>
              </w:rPr>
              <w:t>Sync meeting %</w:t>
            </w:r>
          </w:p>
        </w:tc>
        <w:tc>
          <w:tcPr>
            <w:tcW w:type="dxa" w:w="2160"/>
            <w:shd w:val="clear" w:fill="4F46E5"/>
          </w:tcPr>
          <w:p>
            <w:r>
              <w:rPr>
                <w:b/>
                <w:color w:val="FFFFFF"/>
              </w:rPr>
              <w:t>Focus blocks</w:t>
            </w:r>
          </w:p>
        </w:tc>
        <w:tc>
          <w:tcPr>
            <w:tcW w:type="dxa" w:w="2160"/>
            <w:shd w:val="clear" w:fill="4F46E5"/>
          </w:tcPr>
          <w:p>
            <w:r>
              <w:rPr>
                <w:b/>
                <w:color w:val="FFFFFF"/>
              </w:rPr>
              <w:t>Attrition %</w:t>
            </w:r>
          </w:p>
        </w:tc>
      </w:tr>
      <w:tr>
        <w:tc>
          <w:tcPr>
            <w:tcW w:type="dxa" w:w="2160"/>
          </w:tcPr>
          <w:p>
            <w:r>
              <w:t>2022</w:t>
            </w:r>
          </w:p>
        </w:tc>
        <w:tc>
          <w:tcPr>
            <w:tcW w:type="dxa" w:w="2160"/>
          </w:tcPr>
          <w:p>
            <w:r>
              <w:t>31</w:t>
            </w:r>
          </w:p>
        </w:tc>
        <w:tc>
          <w:tcPr>
            <w:tcW w:type="dxa" w:w="2160"/>
          </w:tcPr>
          <w:p>
            <w:r>
              <w:t>1.4</w:t>
            </w:r>
          </w:p>
        </w:tc>
        <w:tc>
          <w:tcPr>
            <w:tcW w:type="dxa" w:w="2160"/>
          </w:tcPr>
          <w:p>
            <w:r>
              <w:t>17</w:t>
            </w:r>
          </w:p>
        </w:tc>
      </w:tr>
      <w:tr>
        <w:tc>
          <w:tcPr>
            <w:tcW w:type="dxa" w:w="2160"/>
            <w:shd w:val="clear" w:fill="F4F6FB"/>
          </w:tcPr>
          <w:p>
            <w:r>
              <w:t>2023</w:t>
            </w:r>
          </w:p>
        </w:tc>
        <w:tc>
          <w:tcPr>
            <w:tcW w:type="dxa" w:w="2160"/>
            <w:shd w:val="clear" w:fill="F4F6FB"/>
          </w:tcPr>
          <w:p>
            <w:r>
              <w:t>28</w:t>
            </w:r>
          </w:p>
        </w:tc>
        <w:tc>
          <w:tcPr>
            <w:tcW w:type="dxa" w:w="2160"/>
            <w:shd w:val="clear" w:fill="F4F6FB"/>
          </w:tcPr>
          <w:p>
            <w:r>
              <w:t>1.7</w:t>
            </w:r>
          </w:p>
        </w:tc>
        <w:tc>
          <w:tcPr>
            <w:tcW w:type="dxa" w:w="2160"/>
            <w:shd w:val="clear" w:fill="F4F6FB"/>
          </w:tcPr>
          <w:p>
            <w:r>
              <w:t>15</w:t>
            </w:r>
          </w:p>
        </w:tc>
      </w:tr>
      <w:tr>
        <w:tc>
          <w:tcPr>
            <w:tcW w:type="dxa" w:w="2160"/>
          </w:tcPr>
          <w:p>
            <w:r>
              <w:t>2024</w:t>
            </w:r>
          </w:p>
        </w:tc>
        <w:tc>
          <w:tcPr>
            <w:tcW w:type="dxa" w:w="2160"/>
          </w:tcPr>
          <w:p>
            <w:r>
              <w:t>24</w:t>
            </w:r>
          </w:p>
        </w:tc>
        <w:tc>
          <w:tcPr>
            <w:tcW w:type="dxa" w:w="2160"/>
          </w:tcPr>
          <w:p>
            <w:r>
              <w:t>2.3</w:t>
            </w:r>
          </w:p>
        </w:tc>
        <w:tc>
          <w:tcPr>
            <w:tcW w:type="dxa" w:w="2160"/>
          </w:tcPr>
          <w:p>
            <w:r>
              <w:t>13</w:t>
            </w:r>
          </w:p>
        </w:tc>
      </w:tr>
      <w:tr>
        <w:tc>
          <w:tcPr>
            <w:tcW w:type="dxa" w:w="2160"/>
            <w:shd w:val="clear" w:fill="F4F6FB"/>
          </w:tcPr>
          <w:p>
            <w:r>
              <w:t>2025</w:t>
            </w:r>
          </w:p>
        </w:tc>
        <w:tc>
          <w:tcPr>
            <w:tcW w:type="dxa" w:w="2160"/>
            <w:shd w:val="clear" w:fill="F4F6FB"/>
          </w:tcPr>
          <w:p>
            <w:r>
              <w:t>21</w:t>
            </w:r>
          </w:p>
        </w:tc>
        <w:tc>
          <w:tcPr>
            <w:tcW w:type="dxa" w:w="2160"/>
            <w:shd w:val="clear" w:fill="F4F6FB"/>
          </w:tcPr>
          <w:p>
            <w:r>
              <w:t>2.8</w:t>
            </w:r>
          </w:p>
        </w:tc>
        <w:tc>
          <w:tcPr>
            <w:tcW w:type="dxa" w:w="2160"/>
            <w:shd w:val="clear" w:fill="F4F6FB"/>
          </w:tcPr>
          <w:p>
            <w:r>
              <w:t>11</w:t>
            </w:r>
          </w:p>
        </w:tc>
      </w:tr>
      <w:tr>
        <w:tc>
          <w:tcPr>
            <w:tcW w:type="dxa" w:w="2160"/>
          </w:tcPr>
          <w:p>
            <w:r>
              <w:t>2026</w:t>
            </w:r>
          </w:p>
        </w:tc>
        <w:tc>
          <w:tcPr>
            <w:tcW w:type="dxa" w:w="2160"/>
          </w:tcPr>
          <w:p>
            <w:r>
              <w:t>18</w:t>
            </w:r>
          </w:p>
        </w:tc>
        <w:tc>
          <w:tcPr>
            <w:tcW w:type="dxa" w:w="2160"/>
          </w:tcPr>
          <w:p>
            <w:r>
              <w:t>3.2</w:t>
            </w:r>
          </w:p>
        </w:tc>
        <w:tc>
          <w:tcPr>
            <w:tcW w:type="dxa" w:w="2160"/>
          </w:tcPr>
          <w:p>
            <w:r>
              <w:t>9</w:t>
            </w:r>
          </w:p>
        </w:tc>
      </w:tr>
      <w:tr>
        <w:tc>
          <w:tcPr>
            <w:tcW w:type="dxa" w:w="2160"/>
            <w:shd w:val="clear" w:fill="F4F6FB"/>
          </w:tcPr>
          <w:p>
            <w:r>
              <w:t>Change</w:t>
            </w:r>
          </w:p>
        </w:tc>
        <w:tc>
          <w:tcPr>
            <w:tcW w:type="dxa" w:w="2160"/>
            <w:shd w:val="clear" w:fill="F4F6FB"/>
          </w:tcPr>
          <w:p>
            <w:r>
              <w:t>=B6-B2</w:t>
            </w:r>
          </w:p>
        </w:tc>
        <w:tc>
          <w:tcPr>
            <w:tcW w:type="dxa" w:w="2160"/>
            <w:shd w:val="clear" w:fill="F4F6FB"/>
          </w:tcPr>
          <w:p>
            <w:r>
              <w:t>=C6-C2</w:t>
            </w:r>
          </w:p>
        </w:tc>
        <w:tc>
          <w:tcPr>
            <w:tcW w:type="dxa" w:w="2160"/>
            <w:shd w:val="clear" w:fill="F4F6FB"/>
          </w:tcPr>
          <w:p>
            <w:r>
              <w:t>=D6-D2</w:t>
            </w:r>
          </w:p>
        </w:tc>
      </w:tr>
    </w:tbl>
    <w:p/>
    <w:p>
      <w:pPr>
        <w:pStyle w:val="Heading1"/>
      </w:pPr>
      <w:r>
        <w:t>Sources</w:t>
      </w:r>
    </w:p>
    <w:p>
      <w:r>
        <w:rPr>
          <w:sz w:val="20"/>
        </w:rPr>
        <w:t xml:space="preserve">1. Future of Work 2026 — industry survey, </w:t>
      </w:r>
      <w:hyperlink r:id="rId9">
        <w:r>
          <w:rPr>
            <w:color w:val="4F46E5"/>
            <w:u w:val="single"/>
          </w:rPr>
          <w:t xml:space="preserve">https://example.com/future-of-work-2026</w:t>
        </w:r>
      </w:hyperlink>
    </w:p>
    <w:p>
      <w:r>
        <w:rPr>
          <w:sz w:val="20"/>
        </w:rPr>
        <w:t>2. Deep Work Index 2026 — engineering benchmark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ra" w:hAnsi="Sora"/>
      <w:b/>
      <w:bCs/>
      <w:color w:val="4F46E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ra" w:hAnsi="Sora"/>
      <w:b/>
      <w:bCs/>
      <w:color w:val="4F46E5"/>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ra" w:hAnsi="Sora"/>
      <w:b/>
      <w:bCs/>
      <w:color w:val="4F46E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ra" w:hAnsi="Sora"/>
      <w:b/>
      <w:bCs/>
      <w:i/>
      <w:iCs/>
      <w:color w:val="4F46E5"/>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com/future-of-work-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