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11827"/>
          <w:sz w:val="52"/>
        </w:rPr>
        <w:t>The State of Async Work</w:t>
      </w:r>
    </w:p>
    <w:p>
      <w:r>
        <w:rPr>
          <w:i/>
          <w:color w:val="6B7280"/>
        </w:rPr>
        <w:t>A 2026 field guide</w:t>
      </w:r>
    </w:p>
    <w:p>
      <w:r>
        <w:rPr>
          <w:color w:val="6B7280"/>
          <w:sz w:val="18"/>
        </w:rPr>
        <w:t>Research desk — 2026</w:t>
      </w:r>
    </w:p>
    <w:p>
      <w:pPr>
        <w:pBdr>
          <w:bottom w:val="single" w:sz="6" w:space="4" w:color="1D4ED8"/>
        </w:pBdr>
      </w:pPr>
    </w:p>
    <w:p>
      <w:r>
        <w:t xml:space="preserve">Remote-first hiring has </w:t>
      </w:r>
      <w:r>
        <w:rPr>
          <w:b/>
        </w:rPr>
        <w:t>doubled since 2020</w:t>
      </w:r>
      <w:r>
        <w:t>, and written-first culture is now the default for distributed teams</w:t>
      </w:r>
      <w:r>
        <w:rPr>
          <w:color w:val="1D4ED8"/>
          <w:vertAlign w:val="superscript"/>
        </w:rPr>
        <w:t>[1]</w:t>
      </w:r>
      <w:r>
        <w:t>.</w:t>
      </w:r>
    </w:p>
    <w:p>
      <w:pPr>
        <w:pStyle w:val="Heading2"/>
      </w:pPr>
      <w:r>
        <w:t>Why it works</w:t>
      </w:r>
    </w:p>
    <w:p>
      <w:pPr>
        <w:pStyle w:val="ListBullet"/>
      </w:pPr>
      <w:r>
        <w:t>Deep-work hours rise when meetings fall</w:t>
      </w:r>
    </w:p>
    <w:p>
      <w:pPr>
        <w:pStyle w:val="ListBullet"/>
      </w:pPr>
      <w:r>
        <w:t>Decisions become searchable, not ephemeral</w:t>
      </w:r>
    </w:p>
    <w:p>
      <w:pPr>
        <w:pStyle w:val="ListBullet"/>
      </w:pPr>
      <w:r>
        <w:t>Time zones stop being a constraint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3F4F6"/>
          </w:tcPr>
          <w:p>
            <w:r>
              <w:rPr>
                <w:b/>
                <w:color w:val="0E9F6E"/>
                <w:sz w:val="18"/>
              </w:rPr>
              <w:t xml:space="preserve">SUCCESS  </w:t>
            </w:r>
            <w:r>
              <w:t>Teams that default to async report 24% more deep-work hours.</w:t>
            </w:r>
          </w:p>
        </w:tc>
      </w:tr>
    </w:tbl>
    <w:p/>
    <w:p>
      <w:pPr>
        <w:pStyle w:val="Heading2"/>
      </w:pPr>
      <w:r>
        <w:t>Adoption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D4ED8"/>
          </w:tcPr>
          <w:p>
            <w:r>
              <w:rPr>
                <w:b/>
                <w:color w:val="FFFFFF"/>
              </w:rPr>
              <w:t>Year</w:t>
            </w:r>
          </w:p>
        </w:tc>
        <w:tc>
          <w:tcPr>
            <w:tcW w:type="dxa" w:w="2880"/>
            <w:shd w:val="clear" w:fill="1D4ED8"/>
          </w:tcPr>
          <w:p>
            <w:r>
              <w:rPr>
                <w:b/>
                <w:color w:val="FFFFFF"/>
              </w:rPr>
              <w:t>Async-first teams</w:t>
            </w:r>
          </w:p>
        </w:tc>
        <w:tc>
          <w:tcPr>
            <w:tcW w:type="dxa" w:w="2880"/>
            <w:shd w:val="clear" w:fill="1D4ED8"/>
          </w:tcPr>
          <w:p>
            <w:r>
              <w:rPr>
                <w:b/>
                <w:color w:val="FFFFFF"/>
              </w:rPr>
              <w:t>Change</w:t>
            </w:r>
          </w:p>
        </w:tc>
      </w:tr>
      <w:tr>
        <w:tc>
          <w:tcPr>
            <w:tcW w:type="dxa" w:w="2880"/>
          </w:tcPr>
          <w:p>
            <w:r>
              <w:t>2024</w:t>
            </w:r>
          </w:p>
        </w:tc>
        <w:tc>
          <w:tcPr>
            <w:tcW w:type="dxa" w:w="2880"/>
          </w:tcPr>
          <w:p>
            <w:r>
              <w:t>31%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  <w:shd w:val="clear" w:fill="F3F4F6"/>
          </w:tcPr>
          <w:p>
            <w:r>
              <w:t>2025</w:t>
            </w:r>
          </w:p>
        </w:tc>
        <w:tc>
          <w:tcPr>
            <w:tcW w:type="dxa" w:w="2880"/>
            <w:shd w:val="clear" w:fill="F3F4F6"/>
          </w:tcPr>
          <w:p>
            <w:r>
              <w:t>44%</w:t>
            </w:r>
          </w:p>
        </w:tc>
        <w:tc>
          <w:tcPr>
            <w:tcW w:type="dxa" w:w="2880"/>
            <w:shd w:val="clear" w:fill="F3F4F6"/>
          </w:tcPr>
          <w:p>
            <w:r>
              <w:t>+13pts</w:t>
            </w:r>
          </w:p>
        </w:tc>
      </w:tr>
      <w:tr>
        <w:tc>
          <w:tcPr>
            <w:tcW w:type="dxa" w:w="2880"/>
          </w:tcPr>
          <w:p>
            <w:r>
              <w:t>2026</w:t>
            </w:r>
          </w:p>
        </w:tc>
        <w:tc>
          <w:tcPr>
            <w:tcW w:type="dxa" w:w="2880"/>
          </w:tcPr>
          <w:p>
            <w:r>
              <w:t>58%</w:t>
            </w:r>
          </w:p>
        </w:tc>
        <w:tc>
          <w:tcPr>
            <w:tcW w:type="dxa" w:w="2880"/>
          </w:tcPr>
          <w:p>
            <w:r>
              <w:t>+14pts</w:t>
            </w:r>
          </w:p>
        </w:tc>
      </w:tr>
    </w:tbl>
    <w:p>
      <w:r>
        <w:rPr>
          <w:i/>
          <w:color w:val="6B7280"/>
          <w:sz w:val="18"/>
        </w:rPr>
        <w:t>Share of surveyed engineering orgs</w:t>
      </w:r>
    </w:p>
    <w:p>
      <w:pPr>
        <w:pStyle w:val="Heading1"/>
      </w:pPr>
      <w:r>
        <w:t>Sources</w:t>
      </w:r>
    </w:p>
    <w:p>
      <w:r>
        <w:rPr>
          <w:sz w:val="20"/>
        </w:rPr>
        <w:t xml:space="preserve">1. Future of Work 2026 — Gartner, </w:t>
      </w:r>
      <w:hyperlink r:id="rId9">
        <w:r>
          <w:rPr>
            <w:color w:val="1D4ED8"/>
            <w:u w:val="single"/>
          </w:rPr>
          <w:t xml:space="preserve">https://example.com/future-of-work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D4ED8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D4ED8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D4ED8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1D4ED8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com/future-of-wor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