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0DDE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80" w:type="dxa"/>
            <w:tcBorders>
              <w:top w:val="nil"/>
              <w:left w:val="nil"/>
              <w:bottom w:val="nil"/>
              <w:right w:val="nil"/>
            </w:tcBorders>
            <w:shd w:val="clear" w:color="auto" w:fill="1B3A6B"/>
            <w:tcMar>
              <w:top w:w="600" w:type="dxa"/>
              <w:left w:w="440" w:type="dxa"/>
              <w:bottom w:w="600" w:type="dxa"/>
              <w:right w:w="440" w:type="dxa"/>
            </w:tcMar>
          </w:tcPr>
          <w:p w14:paraId="228B3481">
            <w:pPr>
              <w:spacing w:before="0" w:after="80"/>
              <w:jc w:val="left"/>
            </w:pPr>
            <w:r>
              <w:rPr>
                <w:rFonts w:ascii="Arial" w:hAnsi="Arial" w:eastAsia="Arial" w:cs="Arial"/>
                <w:b/>
                <w:bCs/>
                <w:color w:val="B0C4D8"/>
                <w:sz w:val="20"/>
                <w:szCs w:val="20"/>
              </w:rPr>
              <w:t>DATA ANALYSIS REPORT</w:t>
            </w:r>
          </w:p>
          <w:p w14:paraId="0A82278C">
            <w:pPr>
              <w:spacing w:before="0" w:after="60"/>
              <w:jc w:val="left"/>
            </w:pPr>
            <w:r>
              <w:rPr>
                <w:rFonts w:ascii="Arial" w:hAnsi="Arial" w:eastAsia="Arial" w:cs="Arial"/>
                <w:b/>
                <w:bCs/>
                <w:color w:val="FFFFFF"/>
                <w:sz w:val="60"/>
                <w:szCs w:val="60"/>
              </w:rPr>
              <w:t>Unlocking Growth:</w:t>
            </w:r>
          </w:p>
          <w:p w14:paraId="505BC390">
            <w:pPr>
              <w:spacing w:before="0" w:after="300"/>
              <w:jc w:val="left"/>
            </w:pPr>
            <w:r>
              <w:rPr>
                <w:rFonts w:ascii="Arial" w:hAnsi="Arial" w:eastAsia="Arial" w:cs="Arial"/>
                <w:b w:val="0"/>
                <w:bCs w:val="0"/>
                <w:color w:val="F4A261"/>
                <w:sz w:val="52"/>
                <w:szCs w:val="52"/>
              </w:rPr>
              <w:t>A Customer Behaviour Story</w:t>
            </w:r>
          </w:p>
          <w:p w14:paraId="12ADE185">
            <w:pPr>
              <w:spacing w:before="0" w:after="30"/>
              <w:jc w:val="left"/>
            </w:pPr>
            <w:r>
              <w:rPr>
                <w:rFonts w:ascii="Arial" w:hAnsi="Arial" w:eastAsia="Arial" w:cs="Arial"/>
                <w:color w:val="B0C4D8"/>
                <w:sz w:val="22"/>
                <w:szCs w:val="22"/>
              </w:rPr>
              <w:t>Olist Brazilian E-Commerce Platform</w:t>
            </w:r>
          </w:p>
          <w:p w14:paraId="7D37CC55">
            <w:pPr>
              <w:spacing w:before="0" w:after="0"/>
              <w:jc w:val="left"/>
            </w:pPr>
            <w:r>
              <w:rPr>
                <w:rFonts w:ascii="Arial" w:hAnsi="Arial" w:eastAsia="Arial" w:cs="Arial"/>
                <w:i/>
                <w:iCs/>
                <w:color w:val="B0C4D8"/>
                <w:sz w:val="22"/>
                <w:szCs w:val="22"/>
              </w:rPr>
              <w:t>April 2026</w:t>
            </w:r>
          </w:p>
        </w:tc>
      </w:tr>
    </w:tbl>
    <w:p w14:paraId="24E95300">
      <w:pPr>
        <w:spacing w:before="0" w:after="0"/>
      </w:pPr>
    </w:p>
    <w:p w14:paraId="65236F6C">
      <w:pPr>
        <w:pBdr>
          <w:bottom w:val="single" w:color="0E7C7B" w:sz="8" w:space="4"/>
        </w:pBdr>
        <w:spacing w:before="360" w:after="120"/>
      </w:pPr>
      <w:r>
        <w:rPr>
          <w:rFonts w:ascii="Arial" w:hAnsi="Arial" w:eastAsia="Arial" w:cs="Arial"/>
          <w:b/>
          <w:bCs/>
          <w:color w:val="1B3A6B"/>
          <w:sz w:val="32"/>
          <w:szCs w:val="32"/>
        </w:rPr>
        <w:t>1. Executive Summary</w:t>
      </w:r>
    </w:p>
    <w:p w14:paraId="2688EFFD">
      <w:pPr>
        <w:spacing w:before="60" w:after="120"/>
        <w:jc w:val="both"/>
      </w:pPr>
      <w:r>
        <w:rPr>
          <w:rFonts w:ascii="Arial" w:hAnsi="Arial" w:eastAsia="Arial" w:cs="Arial"/>
          <w:color w:val="2D3748"/>
          <w:sz w:val="21"/>
          <w:szCs w:val="21"/>
        </w:rPr>
        <w:t xml:space="preserve">This report analyses customer behaviour on Olist, a Brazilian e-commerce marketplace that connects small and medium sellers to customers across the country. Using nine interconnected datasets  covering orders, customers, products, sellers, payments, reviews, and geolocation </w:t>
      </w:r>
      <w:r>
        <w:rPr>
          <w:rFonts w:hint="default" w:cs="Arial"/>
          <w:color w:val="2D3748"/>
          <w:sz w:val="21"/>
          <w:szCs w:val="21"/>
          <w:lang w:val="en-US"/>
        </w:rPr>
        <w:t>.</w:t>
      </w:r>
      <w:r>
        <w:rPr>
          <w:rFonts w:ascii="Arial" w:hAnsi="Arial" w:eastAsia="Arial" w:cs="Arial"/>
          <w:color w:val="2D3748"/>
          <w:sz w:val="21"/>
          <w:szCs w:val="21"/>
        </w:rPr>
        <w:t xml:space="preserve"> </w:t>
      </w:r>
      <w:r>
        <w:rPr>
          <w:rFonts w:hint="default" w:cs="Arial"/>
          <w:color w:val="2D3748"/>
          <w:sz w:val="21"/>
          <w:szCs w:val="21"/>
          <w:lang w:val="en-US"/>
        </w:rPr>
        <w:t>I</w:t>
      </w:r>
      <w:r>
        <w:rPr>
          <w:rFonts w:ascii="Arial" w:hAnsi="Arial" w:eastAsia="Arial" w:cs="Arial"/>
          <w:color w:val="2D3748"/>
          <w:sz w:val="21"/>
          <w:szCs w:val="21"/>
        </w:rPr>
        <w:t xml:space="preserve"> examine how customers shop, what drives satisfaction, and where the business can grow.</w:t>
      </w:r>
    </w:p>
    <w:p w14:paraId="5754BA7E">
      <w:pPr>
        <w:spacing w:before="0" w:after="0"/>
      </w:pPr>
    </w:p>
    <w:p w14:paraId="7093A31B">
      <w:pPr>
        <w:spacing w:before="60" w:after="120"/>
        <w:jc w:val="both"/>
      </w:pPr>
      <w:r>
        <w:rPr>
          <w:rFonts w:hint="default" w:cs="Arial"/>
          <w:color w:val="2D3748"/>
          <w:sz w:val="21"/>
          <w:szCs w:val="21"/>
          <w:lang w:val="en-US"/>
        </w:rPr>
        <w:t xml:space="preserve">My </w:t>
      </w:r>
      <w:r>
        <w:rPr>
          <w:rFonts w:ascii="Arial" w:hAnsi="Arial" w:eastAsia="Arial" w:cs="Arial"/>
          <w:color w:val="2D3748"/>
          <w:sz w:val="21"/>
          <w:szCs w:val="21"/>
        </w:rPr>
        <w:t>analysis focuses exclusively on delivered orders, which provide complete information on the full purchase cycle. Three core findings shape this story:</w:t>
      </w:r>
    </w:p>
    <w:p w14:paraId="3FDA9176">
      <w:pPr>
        <w:spacing w:before="0" w:after="0"/>
      </w:pPr>
    </w:p>
    <w:p w14:paraId="0E95D8B9">
      <w:pPr>
        <w:pStyle w:val="18"/>
        <w:numPr>
          <w:ilvl w:val="0"/>
          <w:numId w:val="1"/>
        </w:numPr>
        <w:spacing w:before="40" w:after="40"/>
      </w:pPr>
      <w:r>
        <w:rPr>
          <w:rFonts w:ascii="Arial" w:hAnsi="Arial" w:eastAsia="Arial" w:cs="Arial"/>
          <w:b/>
          <w:bCs/>
          <w:color w:val="2D3748"/>
          <w:sz w:val="21"/>
          <w:szCs w:val="21"/>
        </w:rPr>
        <w:t>The platform excels at acquisition but struggles with retention:</w:t>
      </w:r>
      <w:r>
        <w:rPr>
          <w:rFonts w:ascii="Arial" w:hAnsi="Arial" w:eastAsia="Arial" w:cs="Arial"/>
          <w:color w:val="2D3748"/>
          <w:sz w:val="21"/>
          <w:szCs w:val="21"/>
        </w:rPr>
        <w:t xml:space="preserve"> a repeat-customer rate of just ~3% means the vast majority of revenue depends on a continuous flow of first-time buyers.</w:t>
      </w:r>
    </w:p>
    <w:p w14:paraId="37B977ED">
      <w:pPr>
        <w:pStyle w:val="18"/>
        <w:numPr>
          <w:ilvl w:val="0"/>
          <w:numId w:val="1"/>
        </w:numPr>
        <w:spacing w:before="40" w:after="40"/>
      </w:pPr>
      <w:r>
        <w:rPr>
          <w:rFonts w:ascii="Arial" w:hAnsi="Arial" w:eastAsia="Arial" w:cs="Arial"/>
          <w:b/>
          <w:bCs/>
          <w:color w:val="2D3748"/>
          <w:sz w:val="21"/>
          <w:szCs w:val="21"/>
        </w:rPr>
        <w:t>Delivery experience is a primary lever for satisfaction:</w:t>
      </w:r>
      <w:r>
        <w:rPr>
          <w:rFonts w:ascii="Arial" w:hAnsi="Arial" w:eastAsia="Arial" w:cs="Arial"/>
          <w:color w:val="2D3748"/>
          <w:sz w:val="21"/>
          <w:szCs w:val="21"/>
        </w:rPr>
        <w:t xml:space="preserve"> late deliveries are statistically linked to significantly lower review scores, and more than one-in-four orders arrive later than the estimated date.</w:t>
      </w:r>
    </w:p>
    <w:p w14:paraId="493AC8BE">
      <w:pPr>
        <w:pStyle w:val="18"/>
        <w:numPr>
          <w:ilvl w:val="0"/>
          <w:numId w:val="1"/>
        </w:numPr>
        <w:spacing w:before="40" w:after="40"/>
      </w:pPr>
      <w:r>
        <w:rPr>
          <w:rFonts w:ascii="Arial" w:hAnsi="Arial" w:eastAsia="Arial" w:cs="Arial"/>
          <w:b/>
          <w:bCs/>
          <w:color w:val="2D3748"/>
          <w:sz w:val="21"/>
          <w:szCs w:val="21"/>
        </w:rPr>
        <w:t xml:space="preserve">High-value customers do exist </w:t>
      </w:r>
      <w:r>
        <w:rPr>
          <w:rFonts w:hint="default" w:cs="Arial"/>
          <w:b/>
          <w:bCs/>
          <w:color w:val="2D3748"/>
          <w:sz w:val="21"/>
          <w:szCs w:val="21"/>
          <w:lang w:val="en-US"/>
        </w:rPr>
        <w:t>:</w:t>
      </w:r>
      <w:r>
        <w:rPr>
          <w:rFonts w:ascii="Arial" w:hAnsi="Arial" w:eastAsia="Arial" w:cs="Arial"/>
          <w:color w:val="2D3748"/>
          <w:sz w:val="21"/>
          <w:szCs w:val="21"/>
        </w:rPr>
        <w:t xml:space="preserve"> repeat buyers spend disproportionately more and belong to higher spending segments  making retention not just a loyalty problem but a revenue imperative.</w:t>
      </w:r>
    </w:p>
    <w:p w14:paraId="63D22CFC">
      <w:pPr>
        <w:spacing w:before="0" w:after="0"/>
      </w:pPr>
    </w:p>
    <w:p w14:paraId="59AF6251">
      <w:pPr>
        <w:spacing w:before="200" w:after="60"/>
      </w:pPr>
      <w:r>
        <w:rPr>
          <w:rFonts w:ascii="Arial" w:hAnsi="Arial" w:eastAsia="Arial" w:cs="Arial"/>
          <w:b/>
          <w:bCs/>
          <w:color w:val="1B3A6B"/>
          <w:sz w:val="22"/>
          <w:szCs w:val="22"/>
        </w:rPr>
        <w:t>Business KPI Snapshot</w:t>
      </w:r>
    </w:p>
    <w:p w14:paraId="09A500D3">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1870"/>
        <w:gridCol w:w="1870"/>
        <w:gridCol w:w="1870"/>
        <w:gridCol w:w="1880"/>
      </w:tblGrid>
      <w:tr w14:paraId="3873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nil"/>
              <w:left w:val="nil"/>
              <w:bottom w:val="nil"/>
              <w:right w:val="nil"/>
            </w:tcBorders>
            <w:shd w:val="clear" w:color="auto" w:fill="F0F4F8"/>
            <w:tcMar>
              <w:top w:w="140" w:type="dxa"/>
              <w:left w:w="160" w:type="dxa"/>
              <w:bottom w:w="140" w:type="dxa"/>
              <w:right w:w="160" w:type="dxa"/>
            </w:tcMar>
          </w:tcPr>
          <w:p w14:paraId="18511871">
            <w:pPr>
              <w:spacing w:before="0" w:after="40"/>
              <w:jc w:val="center"/>
            </w:pPr>
            <w:r>
              <w:rPr>
                <w:rFonts w:ascii="Arial" w:hAnsi="Arial" w:eastAsia="Arial" w:cs="Arial"/>
                <w:b/>
                <w:bCs/>
                <w:color w:val="1B3A6B"/>
                <w:sz w:val="36"/>
                <w:szCs w:val="36"/>
              </w:rPr>
              <w:t>96,478</w:t>
            </w:r>
          </w:p>
          <w:p w14:paraId="723A9BD0">
            <w:pPr>
              <w:jc w:val="center"/>
            </w:pPr>
            <w:r>
              <w:rPr>
                <w:rFonts w:ascii="Arial" w:hAnsi="Arial" w:eastAsia="Arial" w:cs="Arial"/>
                <w:color w:val="718096"/>
                <w:sz w:val="17"/>
                <w:szCs w:val="17"/>
              </w:rPr>
              <w:t>Delivered Orders</w:t>
            </w:r>
          </w:p>
        </w:tc>
        <w:tc>
          <w:tcPr>
            <w:tcW w:w="1870" w:type="dxa"/>
            <w:tcBorders>
              <w:top w:val="nil"/>
              <w:left w:val="nil"/>
              <w:bottom w:val="nil"/>
              <w:right w:val="nil"/>
            </w:tcBorders>
            <w:shd w:val="clear" w:color="auto" w:fill="F0F4F8"/>
            <w:tcMar>
              <w:top w:w="140" w:type="dxa"/>
              <w:left w:w="160" w:type="dxa"/>
              <w:bottom w:w="140" w:type="dxa"/>
              <w:right w:w="160" w:type="dxa"/>
            </w:tcMar>
          </w:tcPr>
          <w:p w14:paraId="272CBDDE">
            <w:pPr>
              <w:spacing w:before="0" w:after="40"/>
              <w:jc w:val="center"/>
            </w:pPr>
            <w:r>
              <w:rPr>
                <w:rFonts w:ascii="Arial" w:hAnsi="Arial" w:eastAsia="Arial" w:cs="Arial"/>
                <w:b/>
                <w:bCs/>
                <w:color w:val="1B3A6B"/>
                <w:sz w:val="36"/>
                <w:szCs w:val="36"/>
              </w:rPr>
              <w:t>93,357</w:t>
            </w:r>
          </w:p>
          <w:p w14:paraId="11795F22">
            <w:pPr>
              <w:jc w:val="center"/>
            </w:pPr>
            <w:r>
              <w:rPr>
                <w:rFonts w:ascii="Arial" w:hAnsi="Arial" w:eastAsia="Arial" w:cs="Arial"/>
                <w:color w:val="718096"/>
                <w:sz w:val="17"/>
                <w:szCs w:val="17"/>
              </w:rPr>
              <w:t>Unique Customers</w:t>
            </w:r>
          </w:p>
        </w:tc>
        <w:tc>
          <w:tcPr>
            <w:tcW w:w="1870" w:type="dxa"/>
            <w:tcBorders>
              <w:top w:val="nil"/>
              <w:left w:val="nil"/>
              <w:bottom w:val="nil"/>
              <w:right w:val="nil"/>
            </w:tcBorders>
            <w:shd w:val="clear" w:color="auto" w:fill="F0F4F8"/>
            <w:tcMar>
              <w:top w:w="140" w:type="dxa"/>
              <w:left w:w="160" w:type="dxa"/>
              <w:bottom w:w="140" w:type="dxa"/>
              <w:right w:w="160" w:type="dxa"/>
            </w:tcMar>
          </w:tcPr>
          <w:p w14:paraId="16586350">
            <w:pPr>
              <w:spacing w:before="0" w:after="40"/>
              <w:jc w:val="center"/>
            </w:pPr>
            <w:r>
              <w:rPr>
                <w:rFonts w:ascii="Arial" w:hAnsi="Arial" w:eastAsia="Arial" w:cs="Arial"/>
                <w:b/>
                <w:bCs/>
                <w:color w:val="1B3A6B"/>
                <w:sz w:val="36"/>
                <w:szCs w:val="36"/>
              </w:rPr>
              <w:t>$1</w:t>
            </w:r>
            <w:r>
              <w:rPr>
                <w:rFonts w:hint="default" w:cs="Arial"/>
                <w:b/>
                <w:bCs/>
                <w:color w:val="1B3A6B"/>
                <w:sz w:val="36"/>
                <w:szCs w:val="36"/>
                <w:lang w:val="en-US"/>
              </w:rPr>
              <w:t>5</w:t>
            </w:r>
            <w:r>
              <w:rPr>
                <w:rFonts w:ascii="Arial" w:hAnsi="Arial" w:eastAsia="Arial" w:cs="Arial"/>
                <w:b/>
                <w:bCs/>
                <w:color w:val="1B3A6B"/>
                <w:sz w:val="36"/>
                <w:szCs w:val="36"/>
              </w:rPr>
              <w:t>.</w:t>
            </w:r>
            <w:r>
              <w:rPr>
                <w:rFonts w:hint="default" w:cs="Arial"/>
                <w:b/>
                <w:bCs/>
                <w:color w:val="1B3A6B"/>
                <w:sz w:val="36"/>
                <w:szCs w:val="36"/>
                <w:lang w:val="en-US"/>
              </w:rPr>
              <w:t>4</w:t>
            </w:r>
            <w:r>
              <w:rPr>
                <w:rFonts w:ascii="Arial" w:hAnsi="Arial" w:eastAsia="Arial" w:cs="Arial"/>
                <w:b/>
                <w:bCs/>
                <w:color w:val="1B3A6B"/>
                <w:sz w:val="36"/>
                <w:szCs w:val="36"/>
              </w:rPr>
              <w:t>M</w:t>
            </w:r>
          </w:p>
          <w:p w14:paraId="5E0592AE">
            <w:pPr>
              <w:jc w:val="center"/>
            </w:pPr>
            <w:r>
              <w:rPr>
                <w:rFonts w:ascii="Arial" w:hAnsi="Arial" w:eastAsia="Arial" w:cs="Arial"/>
                <w:color w:val="718096"/>
                <w:sz w:val="17"/>
                <w:szCs w:val="17"/>
              </w:rPr>
              <w:t>Total Revenue</w:t>
            </w:r>
          </w:p>
        </w:tc>
        <w:tc>
          <w:tcPr>
            <w:tcW w:w="1870" w:type="dxa"/>
            <w:tcBorders>
              <w:top w:val="nil"/>
              <w:left w:val="nil"/>
              <w:bottom w:val="nil"/>
              <w:right w:val="nil"/>
            </w:tcBorders>
            <w:shd w:val="clear" w:color="auto" w:fill="F0F4F8"/>
            <w:tcMar>
              <w:top w:w="140" w:type="dxa"/>
              <w:left w:w="160" w:type="dxa"/>
              <w:bottom w:w="140" w:type="dxa"/>
              <w:right w:w="160" w:type="dxa"/>
            </w:tcMar>
          </w:tcPr>
          <w:p w14:paraId="21F80823">
            <w:pPr>
              <w:spacing w:before="0" w:after="40"/>
              <w:jc w:val="center"/>
              <w:rPr>
                <w:rFonts w:hint="default"/>
                <w:lang w:val="en-US"/>
              </w:rPr>
            </w:pPr>
            <w:r>
              <w:rPr>
                <w:rFonts w:ascii="Arial" w:hAnsi="Arial" w:eastAsia="Arial" w:cs="Arial"/>
                <w:b/>
                <w:bCs/>
                <w:color w:val="1B3A6B"/>
                <w:sz w:val="36"/>
                <w:szCs w:val="36"/>
              </w:rPr>
              <w:t>$1</w:t>
            </w:r>
            <w:r>
              <w:rPr>
                <w:rFonts w:hint="default" w:cs="Arial"/>
                <w:b/>
                <w:bCs/>
                <w:color w:val="1B3A6B"/>
                <w:sz w:val="36"/>
                <w:szCs w:val="36"/>
                <w:lang w:val="en-US"/>
              </w:rPr>
              <w:t>59.86</w:t>
            </w:r>
          </w:p>
          <w:p w14:paraId="7061CBC8">
            <w:pPr>
              <w:jc w:val="center"/>
            </w:pPr>
            <w:r>
              <w:rPr>
                <w:rFonts w:ascii="Arial" w:hAnsi="Arial" w:eastAsia="Arial" w:cs="Arial"/>
                <w:color w:val="718096"/>
                <w:sz w:val="17"/>
                <w:szCs w:val="17"/>
              </w:rPr>
              <w:t>Avg Order Value</w:t>
            </w:r>
          </w:p>
        </w:tc>
        <w:tc>
          <w:tcPr>
            <w:tcW w:w="1880" w:type="dxa"/>
            <w:tcBorders>
              <w:top w:val="nil"/>
              <w:left w:val="nil"/>
              <w:bottom w:val="nil"/>
              <w:right w:val="nil"/>
            </w:tcBorders>
            <w:shd w:val="clear" w:color="auto" w:fill="F0F4F8"/>
            <w:tcMar>
              <w:top w:w="140" w:type="dxa"/>
              <w:left w:w="160" w:type="dxa"/>
              <w:bottom w:w="140" w:type="dxa"/>
              <w:right w:w="160" w:type="dxa"/>
            </w:tcMar>
          </w:tcPr>
          <w:p w14:paraId="46B8D608">
            <w:pPr>
              <w:spacing w:before="0" w:after="40"/>
              <w:jc w:val="center"/>
            </w:pPr>
            <w:r>
              <w:rPr>
                <w:rFonts w:ascii="Arial" w:hAnsi="Arial" w:eastAsia="Arial" w:cs="Arial"/>
                <w:b/>
                <w:bCs/>
                <w:color w:val="1B3A6B"/>
                <w:sz w:val="36"/>
                <w:szCs w:val="36"/>
              </w:rPr>
              <w:t>3%</w:t>
            </w:r>
          </w:p>
          <w:p w14:paraId="1AC3B8E8">
            <w:pPr>
              <w:jc w:val="center"/>
            </w:pPr>
            <w:r>
              <w:rPr>
                <w:rFonts w:ascii="Arial" w:hAnsi="Arial" w:eastAsia="Arial" w:cs="Arial"/>
                <w:color w:val="718096"/>
                <w:sz w:val="17"/>
                <w:szCs w:val="17"/>
              </w:rPr>
              <w:t>Repeat Rate</w:t>
            </w:r>
          </w:p>
        </w:tc>
      </w:tr>
    </w:tbl>
    <w:p w14:paraId="2635C9AC">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B3B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nil"/>
              <w:left w:val="nil"/>
              <w:bottom w:val="nil"/>
              <w:right w:val="nil"/>
            </w:tcBorders>
            <w:shd w:val="clear" w:color="auto" w:fill="F0F4F8"/>
            <w:tcMar>
              <w:top w:w="140" w:type="dxa"/>
              <w:left w:w="160" w:type="dxa"/>
              <w:bottom w:w="140" w:type="dxa"/>
              <w:right w:w="160" w:type="dxa"/>
            </w:tcMar>
          </w:tcPr>
          <w:p w14:paraId="04F3A840">
            <w:pPr>
              <w:spacing w:before="0" w:after="40"/>
              <w:jc w:val="center"/>
            </w:pPr>
            <w:r>
              <w:rPr>
                <w:rFonts w:ascii="Arial" w:hAnsi="Arial" w:eastAsia="Arial" w:cs="Arial"/>
                <w:b/>
                <w:bCs/>
                <w:color w:val="1B3A6B"/>
                <w:sz w:val="36"/>
                <w:szCs w:val="36"/>
              </w:rPr>
              <w:t>4.</w:t>
            </w:r>
            <w:r>
              <w:rPr>
                <w:rFonts w:hint="default" w:cs="Arial"/>
                <w:b/>
                <w:bCs/>
                <w:color w:val="1B3A6B"/>
                <w:sz w:val="36"/>
                <w:szCs w:val="36"/>
                <w:lang w:val="en-US"/>
              </w:rPr>
              <w:t>16</w:t>
            </w:r>
            <w:r>
              <w:rPr>
                <w:rFonts w:ascii="Arial" w:hAnsi="Arial" w:eastAsia="Arial" w:cs="Arial"/>
                <w:b/>
                <w:bCs/>
                <w:color w:val="1B3A6B"/>
                <w:sz w:val="36"/>
                <w:szCs w:val="36"/>
              </w:rPr>
              <w:t xml:space="preserve"> / 5</w:t>
            </w:r>
          </w:p>
          <w:p w14:paraId="5D7F57AC">
            <w:pPr>
              <w:jc w:val="center"/>
            </w:pPr>
            <w:r>
              <w:rPr>
                <w:rFonts w:ascii="Arial" w:hAnsi="Arial" w:eastAsia="Arial" w:cs="Arial"/>
                <w:color w:val="718096"/>
                <w:sz w:val="17"/>
                <w:szCs w:val="17"/>
              </w:rPr>
              <w:t>Avg Review Score</w:t>
            </w:r>
          </w:p>
        </w:tc>
        <w:tc>
          <w:tcPr>
            <w:tcW w:w="3120" w:type="dxa"/>
            <w:tcBorders>
              <w:top w:val="nil"/>
              <w:left w:val="nil"/>
              <w:bottom w:val="nil"/>
              <w:right w:val="nil"/>
            </w:tcBorders>
            <w:shd w:val="clear" w:color="auto" w:fill="F0F4F8"/>
            <w:tcMar>
              <w:top w:w="140" w:type="dxa"/>
              <w:left w:w="160" w:type="dxa"/>
              <w:bottom w:w="140" w:type="dxa"/>
              <w:right w:w="160" w:type="dxa"/>
            </w:tcMar>
          </w:tcPr>
          <w:p w14:paraId="71B6D9D3">
            <w:pPr>
              <w:spacing w:before="0" w:after="40"/>
              <w:jc w:val="center"/>
            </w:pPr>
            <w:r>
              <w:rPr>
                <w:rFonts w:ascii="Arial" w:hAnsi="Arial" w:eastAsia="Arial" w:cs="Arial"/>
                <w:b/>
                <w:bCs/>
                <w:color w:val="1B3A6B"/>
                <w:sz w:val="36"/>
                <w:szCs w:val="36"/>
              </w:rPr>
              <w:t>27%</w:t>
            </w:r>
          </w:p>
          <w:p w14:paraId="4BC734E6">
            <w:pPr>
              <w:jc w:val="center"/>
            </w:pPr>
            <w:r>
              <w:rPr>
                <w:rFonts w:ascii="Arial" w:hAnsi="Arial" w:eastAsia="Arial" w:cs="Arial"/>
                <w:color w:val="718096"/>
                <w:sz w:val="17"/>
                <w:szCs w:val="17"/>
              </w:rPr>
              <w:t>Late Delivery Rate</w:t>
            </w:r>
          </w:p>
        </w:tc>
        <w:tc>
          <w:tcPr>
            <w:tcW w:w="3120" w:type="dxa"/>
            <w:tcBorders>
              <w:top w:val="nil"/>
              <w:left w:val="nil"/>
              <w:bottom w:val="nil"/>
              <w:right w:val="nil"/>
            </w:tcBorders>
            <w:shd w:val="clear" w:color="auto" w:fill="F0F4F8"/>
            <w:tcMar>
              <w:top w:w="140" w:type="dxa"/>
              <w:left w:w="160" w:type="dxa"/>
              <w:bottom w:w="140" w:type="dxa"/>
              <w:right w:w="160" w:type="dxa"/>
            </w:tcMar>
          </w:tcPr>
          <w:p w14:paraId="570F17D0">
            <w:pPr>
              <w:spacing w:before="0" w:after="40"/>
              <w:jc w:val="center"/>
            </w:pPr>
            <w:r>
              <w:rPr>
                <w:rFonts w:ascii="Arial" w:hAnsi="Arial" w:eastAsia="Arial" w:cs="Arial"/>
                <w:b/>
                <w:bCs/>
                <w:color w:val="1B3A6B"/>
                <w:sz w:val="36"/>
                <w:szCs w:val="36"/>
              </w:rPr>
              <w:t>SP (42%)</w:t>
            </w:r>
          </w:p>
          <w:p w14:paraId="6128E1BE">
            <w:pPr>
              <w:jc w:val="center"/>
            </w:pPr>
            <w:r>
              <w:rPr>
                <w:rFonts w:ascii="Arial" w:hAnsi="Arial" w:eastAsia="Arial" w:cs="Arial"/>
                <w:color w:val="718096"/>
                <w:sz w:val="17"/>
                <w:szCs w:val="17"/>
              </w:rPr>
              <w:t>Top State (Revenue)</w:t>
            </w:r>
          </w:p>
        </w:tc>
      </w:tr>
    </w:tbl>
    <w:p w14:paraId="627880DB">
      <w:pPr>
        <w:spacing w:before="0" w:after="0"/>
      </w:pPr>
    </w:p>
    <w:p w14:paraId="3C8E6571">
      <w:pPr>
        <w:pBdr>
          <w:bottom w:val="single" w:color="0E7C7B" w:sz="8" w:space="4"/>
        </w:pBdr>
        <w:spacing w:before="360" w:after="120"/>
        <w:rPr>
          <w:rFonts w:ascii="Arial" w:hAnsi="Arial" w:eastAsia="Arial" w:cs="Arial"/>
          <w:b/>
          <w:bCs/>
          <w:color w:val="1B3A6B"/>
          <w:sz w:val="32"/>
          <w:szCs w:val="32"/>
        </w:rPr>
      </w:pPr>
    </w:p>
    <w:p w14:paraId="68C390E2">
      <w:pPr>
        <w:pBdr>
          <w:bottom w:val="single" w:color="0E7C7B" w:sz="8" w:space="4"/>
        </w:pBdr>
        <w:spacing w:before="360" w:after="120"/>
      </w:pPr>
      <w:r>
        <w:rPr>
          <w:rFonts w:ascii="Arial" w:hAnsi="Arial" w:eastAsia="Arial" w:cs="Arial"/>
          <w:b/>
          <w:bCs/>
          <w:color w:val="1B3A6B"/>
          <w:sz w:val="32"/>
          <w:szCs w:val="32"/>
        </w:rPr>
        <w:t>2. Exploratory Data Analysis</w:t>
      </w:r>
    </w:p>
    <w:p w14:paraId="302F8632">
      <w:pPr>
        <w:spacing w:before="240" w:after="80"/>
      </w:pPr>
      <w:r>
        <w:rPr>
          <w:rFonts w:ascii="Arial" w:hAnsi="Arial" w:eastAsia="Arial" w:cs="Arial"/>
          <w:b/>
          <w:bCs/>
          <w:color w:val="0E7C7B"/>
          <w:sz w:val="26"/>
          <w:szCs w:val="26"/>
        </w:rPr>
        <w:t>2.1 Revenue &amp; Order Trends</w:t>
      </w:r>
    </w:p>
    <w:p w14:paraId="45BCA9C9">
      <w:pPr>
        <w:spacing w:before="60" w:after="120"/>
        <w:jc w:val="both"/>
      </w:pPr>
      <w:r>
        <w:rPr>
          <w:rFonts w:ascii="Arial" w:hAnsi="Arial" w:eastAsia="Arial" w:cs="Arial"/>
          <w:color w:val="2D3748"/>
          <w:sz w:val="21"/>
          <w:szCs w:val="21"/>
        </w:rPr>
        <w:t>Monthly revenue climbed sharply through 2017 and peaked in November 2017, coinciding with Black Friday. A second growth wave carried through mid-2018 before the dataset ends. Order volume and revenue moved in lockstep, suggesting the growth was driven by new customer acquisition rather than increased spend-per-customer.</w:t>
      </w:r>
    </w:p>
    <w:p w14:paraId="3892BBE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23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E7C7B" w:sz="12" w:space="0"/>
              <w:bottom w:val="nil"/>
              <w:right w:val="nil"/>
            </w:tcBorders>
            <w:shd w:val="clear" w:color="auto" w:fill="E8F4F8"/>
            <w:tcMar>
              <w:top w:w="100" w:type="dxa"/>
              <w:left w:w="180" w:type="dxa"/>
              <w:bottom w:w="100" w:type="dxa"/>
              <w:right w:w="180" w:type="dxa"/>
            </w:tcMar>
          </w:tcPr>
          <w:p w14:paraId="28594245">
            <w:pPr>
              <w:spacing w:before="0" w:after="40"/>
            </w:pPr>
            <w:r>
              <w:rPr>
                <w:rFonts w:ascii="Arial" w:hAnsi="Arial" w:eastAsia="Arial" w:cs="Arial"/>
                <w:b/>
                <w:bCs/>
                <w:color w:val="1B3A6B"/>
                <w:sz w:val="19"/>
                <w:szCs w:val="19"/>
              </w:rPr>
              <w:t>Key Pattern — Seasonality</w:t>
            </w:r>
          </w:p>
          <w:p w14:paraId="0A017ECE">
            <w:pPr>
              <w:spacing w:before="0" w:after="0"/>
              <w:jc w:val="both"/>
            </w:pPr>
            <w:r>
              <w:rPr>
                <w:rFonts w:ascii="Arial" w:hAnsi="Arial" w:eastAsia="Arial" w:cs="Arial"/>
                <w:color w:val="2D3748"/>
                <w:sz w:val="20"/>
                <w:szCs w:val="20"/>
              </w:rPr>
              <w:t>November 2017 showed a spike of roughly 2× average monthly revenue. This is a reliable seasonal effect in Brazilian retail. If the business is not running Black Friday/Cyber Monday campaigns, it is leaving significant incremental revenue on the table.</w:t>
            </w:r>
          </w:p>
        </w:tc>
      </w:tr>
    </w:tbl>
    <w:p w14:paraId="558793DE">
      <w:pPr>
        <w:spacing w:before="0" w:after="0"/>
      </w:pPr>
    </w:p>
    <w:p w14:paraId="683CF071">
      <w:pPr>
        <w:spacing w:before="240" w:after="80"/>
      </w:pPr>
      <w:r>
        <w:rPr>
          <w:rFonts w:ascii="Arial" w:hAnsi="Arial" w:eastAsia="Arial" w:cs="Arial"/>
          <w:b/>
          <w:bCs/>
          <w:color w:val="0E7C7B"/>
          <w:sz w:val="26"/>
          <w:szCs w:val="26"/>
        </w:rPr>
        <w:t>2.2 Customer Acquisition vs. Retention</w:t>
      </w:r>
    </w:p>
    <w:p w14:paraId="2AFA1E0F">
      <w:pPr>
        <w:spacing w:before="60" w:after="120"/>
        <w:jc w:val="both"/>
      </w:pPr>
      <w:r>
        <w:rPr>
          <w:rFonts w:ascii="Arial" w:hAnsi="Arial" w:eastAsia="Arial" w:cs="Arial"/>
          <w:color w:val="2D3748"/>
          <w:sz w:val="21"/>
          <w:szCs w:val="21"/>
        </w:rPr>
        <w:t xml:space="preserve">Across the entire period, nearly every active month is dominated by new customers. Returning customer volume is negligible in absolute terms. The chart of new vs. returning customers shows a stacked bar where the returning layer is almost invisible </w:t>
      </w:r>
      <w:r>
        <w:rPr>
          <w:rFonts w:hint="default" w:cs="Arial"/>
          <w:color w:val="2D3748"/>
          <w:sz w:val="21"/>
          <w:szCs w:val="21"/>
          <w:lang w:val="en-US"/>
        </w:rPr>
        <w:t>(</w:t>
      </w:r>
      <w:r>
        <w:rPr>
          <w:rFonts w:ascii="Arial" w:hAnsi="Arial" w:eastAsia="Arial" w:cs="Arial"/>
          <w:color w:val="2D3748"/>
          <w:sz w:val="21"/>
          <w:szCs w:val="21"/>
        </w:rPr>
        <w:t>a strong visual signal that the customer base is a leaky bucket</w:t>
      </w:r>
      <w:r>
        <w:rPr>
          <w:rFonts w:hint="default" w:cs="Arial"/>
          <w:color w:val="2D3748"/>
          <w:sz w:val="21"/>
          <w:szCs w:val="21"/>
          <w:lang w:val="en-US"/>
        </w:rPr>
        <w:t>)</w:t>
      </w:r>
      <w:r>
        <w:rPr>
          <w:rFonts w:ascii="Arial" w:hAnsi="Arial" w:eastAsia="Arial" w:cs="Arial"/>
          <w:color w:val="2D3748"/>
          <w:sz w:val="21"/>
          <w:szCs w:val="21"/>
        </w:rPr>
        <w:t>.</w:t>
      </w:r>
    </w:p>
    <w:p w14:paraId="44996412">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80"/>
        <w:gridCol w:w="2080"/>
        <w:gridCol w:w="2080"/>
      </w:tblGrid>
      <w:tr w14:paraId="552C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60005589">
            <w:pPr>
              <w:jc w:val="center"/>
            </w:pPr>
            <w:r>
              <w:rPr>
                <w:rFonts w:ascii="Arial" w:hAnsi="Arial" w:eastAsia="Arial" w:cs="Arial"/>
                <w:b/>
                <w:bCs/>
                <w:color w:val="FFFFFF"/>
                <w:sz w:val="19"/>
                <w:szCs w:val="19"/>
              </w:rPr>
              <w:t>Customer Type</w:t>
            </w:r>
          </w:p>
        </w:tc>
        <w:tc>
          <w:tcPr>
            <w:tcW w:w="208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5F513A1A">
            <w:pPr>
              <w:jc w:val="center"/>
            </w:pPr>
            <w:r>
              <w:rPr>
                <w:rFonts w:ascii="Arial" w:hAnsi="Arial" w:eastAsia="Arial" w:cs="Arial"/>
                <w:b/>
                <w:bCs/>
                <w:color w:val="FFFFFF"/>
                <w:sz w:val="19"/>
                <w:szCs w:val="19"/>
              </w:rPr>
              <w:t>Count</w:t>
            </w:r>
          </w:p>
        </w:tc>
        <w:tc>
          <w:tcPr>
            <w:tcW w:w="208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180F54C2">
            <w:pPr>
              <w:jc w:val="center"/>
            </w:pPr>
            <w:r>
              <w:rPr>
                <w:rFonts w:ascii="Arial" w:hAnsi="Arial" w:eastAsia="Arial" w:cs="Arial"/>
                <w:b/>
                <w:bCs/>
                <w:color w:val="FFFFFF"/>
                <w:sz w:val="19"/>
                <w:szCs w:val="19"/>
              </w:rPr>
              <w:t>Total Revenue</w:t>
            </w:r>
          </w:p>
        </w:tc>
        <w:tc>
          <w:tcPr>
            <w:tcW w:w="208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1F5EB04D">
            <w:pPr>
              <w:jc w:val="center"/>
            </w:pPr>
            <w:r>
              <w:rPr>
                <w:rFonts w:ascii="Arial" w:hAnsi="Arial" w:eastAsia="Arial" w:cs="Arial"/>
                <w:b/>
                <w:bCs/>
                <w:color w:val="FFFFFF"/>
                <w:sz w:val="19"/>
                <w:szCs w:val="19"/>
              </w:rPr>
              <w:t>Avg Spend / Customer</w:t>
            </w:r>
          </w:p>
        </w:tc>
      </w:tr>
      <w:tr w14:paraId="1246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CA714DD">
            <w:pPr>
              <w:jc w:val="left"/>
            </w:pPr>
            <w:r>
              <w:rPr>
                <w:rFonts w:ascii="Arial" w:hAnsi="Arial" w:eastAsia="Arial" w:cs="Arial"/>
                <w:b w:val="0"/>
                <w:bCs w:val="0"/>
                <w:color w:val="2D3748"/>
                <w:sz w:val="19"/>
                <w:szCs w:val="19"/>
              </w:rPr>
              <w:t>One-time Customer</w:t>
            </w:r>
          </w:p>
        </w:tc>
        <w:tc>
          <w:tcPr>
            <w:tcW w:w="208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FD65975">
            <w:pPr>
              <w:jc w:val="center"/>
            </w:pPr>
            <w:r>
              <w:rPr>
                <w:rFonts w:ascii="Arial" w:hAnsi="Arial" w:eastAsia="Arial" w:cs="Arial"/>
                <w:b w:val="0"/>
                <w:bCs w:val="0"/>
                <w:color w:val="2D3748"/>
                <w:sz w:val="19"/>
                <w:szCs w:val="19"/>
              </w:rPr>
              <w:t>90,557</w:t>
            </w:r>
          </w:p>
        </w:tc>
        <w:tc>
          <w:tcPr>
            <w:tcW w:w="208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83DD154">
            <w:pPr>
              <w:jc w:val="center"/>
            </w:pPr>
            <w:r>
              <w:rPr>
                <w:rFonts w:ascii="Arial" w:hAnsi="Arial" w:eastAsia="Arial" w:cs="Arial"/>
                <w:b w:val="0"/>
                <w:bCs w:val="0"/>
                <w:color w:val="2D3748"/>
                <w:sz w:val="19"/>
                <w:szCs w:val="19"/>
              </w:rPr>
              <w:t>$1</w:t>
            </w:r>
            <w:r>
              <w:rPr>
                <w:rFonts w:hint="default" w:cs="Arial"/>
                <w:b w:val="0"/>
                <w:bCs w:val="0"/>
                <w:color w:val="2D3748"/>
                <w:sz w:val="19"/>
                <w:szCs w:val="19"/>
                <w:lang w:val="en-US"/>
              </w:rPr>
              <w:t>4</w:t>
            </w:r>
            <w:r>
              <w:rPr>
                <w:rFonts w:ascii="Arial" w:hAnsi="Arial" w:eastAsia="Arial" w:cs="Arial"/>
                <w:b w:val="0"/>
                <w:bCs w:val="0"/>
                <w:color w:val="2D3748"/>
                <w:sz w:val="19"/>
                <w:szCs w:val="19"/>
              </w:rPr>
              <w:t>.</w:t>
            </w:r>
            <w:r>
              <w:rPr>
                <w:rFonts w:hint="default" w:cs="Arial"/>
                <w:b w:val="0"/>
                <w:bCs w:val="0"/>
                <w:color w:val="2D3748"/>
                <w:sz w:val="19"/>
                <w:szCs w:val="19"/>
                <w:lang w:val="en-US"/>
              </w:rPr>
              <w:t>4</w:t>
            </w:r>
            <w:r>
              <w:rPr>
                <w:rFonts w:ascii="Arial" w:hAnsi="Arial" w:eastAsia="Arial" w:cs="Arial"/>
                <w:b w:val="0"/>
                <w:bCs w:val="0"/>
                <w:color w:val="2D3748"/>
                <w:sz w:val="19"/>
                <w:szCs w:val="19"/>
              </w:rPr>
              <w:t>M</w:t>
            </w:r>
          </w:p>
        </w:tc>
        <w:tc>
          <w:tcPr>
            <w:tcW w:w="208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679BAF9">
            <w:pPr>
              <w:jc w:val="center"/>
              <w:rPr>
                <w:rFonts w:hint="default"/>
                <w:lang w:val="en-US"/>
              </w:rPr>
            </w:pPr>
            <w:r>
              <w:rPr>
                <w:rFonts w:ascii="Arial" w:hAnsi="Arial" w:eastAsia="Arial" w:cs="Arial"/>
                <w:b w:val="0"/>
                <w:bCs w:val="0"/>
                <w:color w:val="2D3748"/>
                <w:sz w:val="19"/>
                <w:szCs w:val="19"/>
              </w:rPr>
              <w:t>$</w:t>
            </w:r>
            <w:r>
              <w:rPr>
                <w:rFonts w:hint="default" w:cs="Arial"/>
                <w:b w:val="0"/>
                <w:bCs w:val="0"/>
                <w:color w:val="2D3748"/>
                <w:sz w:val="19"/>
                <w:szCs w:val="19"/>
                <w:lang w:val="en-US"/>
              </w:rPr>
              <w:t>160.76</w:t>
            </w:r>
          </w:p>
        </w:tc>
      </w:tr>
      <w:tr w14:paraId="0E4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E1F5936">
            <w:pPr>
              <w:jc w:val="left"/>
            </w:pPr>
            <w:r>
              <w:rPr>
                <w:rFonts w:ascii="Arial" w:hAnsi="Arial" w:eastAsia="Arial" w:cs="Arial"/>
                <w:b/>
                <w:bCs/>
                <w:color w:val="2D3748"/>
                <w:sz w:val="19"/>
                <w:szCs w:val="19"/>
              </w:rPr>
              <w:t>Repeat Customer</w:t>
            </w:r>
          </w:p>
        </w:tc>
        <w:tc>
          <w:tcPr>
            <w:tcW w:w="208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6DE441C9">
            <w:pPr>
              <w:jc w:val="center"/>
              <w:rPr>
                <w:rFonts w:hint="default"/>
                <w:lang w:val="en-US"/>
              </w:rPr>
            </w:pPr>
            <w:r>
              <w:rPr>
                <w:rFonts w:ascii="Arial" w:hAnsi="Arial" w:eastAsia="Arial" w:cs="Arial"/>
                <w:b/>
                <w:bCs/>
                <w:color w:val="2D3748"/>
                <w:sz w:val="19"/>
                <w:szCs w:val="19"/>
              </w:rPr>
              <w:t>2,80</w:t>
            </w:r>
            <w:r>
              <w:rPr>
                <w:rFonts w:hint="default" w:cs="Arial"/>
                <w:b/>
                <w:bCs/>
                <w:color w:val="2D3748"/>
                <w:sz w:val="19"/>
                <w:szCs w:val="19"/>
                <w:lang w:val="en-US"/>
              </w:rPr>
              <w:t>1</w:t>
            </w:r>
          </w:p>
        </w:tc>
        <w:tc>
          <w:tcPr>
            <w:tcW w:w="208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6E306BE7">
            <w:pPr>
              <w:jc w:val="center"/>
              <w:rPr>
                <w:rFonts w:hint="default"/>
                <w:lang w:val="en-US"/>
              </w:rPr>
            </w:pPr>
            <w:r>
              <w:rPr>
                <w:rFonts w:ascii="Arial" w:hAnsi="Arial" w:eastAsia="Arial" w:cs="Arial"/>
                <w:b/>
                <w:bCs/>
                <w:color w:val="2D3748"/>
                <w:sz w:val="19"/>
                <w:szCs w:val="19"/>
              </w:rPr>
              <w:t>$</w:t>
            </w:r>
            <w:r>
              <w:rPr>
                <w:rFonts w:hint="default" w:cs="Arial"/>
                <w:b/>
                <w:bCs/>
                <w:color w:val="2D3748"/>
                <w:sz w:val="19"/>
                <w:szCs w:val="19"/>
                <w:lang w:val="en-US"/>
              </w:rPr>
              <w:t>800K</w:t>
            </w:r>
          </w:p>
        </w:tc>
        <w:tc>
          <w:tcPr>
            <w:tcW w:w="208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2BA744A3">
            <w:pPr>
              <w:jc w:val="center"/>
              <w:rPr>
                <w:rFonts w:hint="default"/>
                <w:lang w:val="en-US"/>
              </w:rPr>
            </w:pPr>
            <w:r>
              <w:rPr>
                <w:rFonts w:ascii="Arial" w:hAnsi="Arial" w:eastAsia="Arial" w:cs="Arial"/>
                <w:b/>
                <w:bCs/>
                <w:color w:val="2D3748"/>
                <w:sz w:val="19"/>
                <w:szCs w:val="19"/>
              </w:rPr>
              <w:t>$</w:t>
            </w:r>
            <w:r>
              <w:rPr>
                <w:rFonts w:hint="default" w:cs="Arial"/>
                <w:b/>
                <w:bCs/>
                <w:color w:val="2D3748"/>
                <w:sz w:val="19"/>
                <w:szCs w:val="19"/>
                <w:lang w:val="en-US"/>
              </w:rPr>
              <w:t>309.59</w:t>
            </w:r>
          </w:p>
        </w:tc>
      </w:tr>
    </w:tbl>
    <w:p w14:paraId="21ADDC3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6F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E7C7B" w:sz="12" w:space="0"/>
              <w:bottom w:val="nil"/>
              <w:right w:val="nil"/>
            </w:tcBorders>
            <w:shd w:val="clear" w:color="auto" w:fill="E8F4F8"/>
            <w:tcMar>
              <w:top w:w="100" w:type="dxa"/>
              <w:left w:w="180" w:type="dxa"/>
              <w:bottom w:w="100" w:type="dxa"/>
              <w:right w:w="180" w:type="dxa"/>
            </w:tcMar>
          </w:tcPr>
          <w:p w14:paraId="4AB5F5C6">
            <w:pPr>
              <w:spacing w:before="0" w:after="40"/>
            </w:pPr>
            <w:r>
              <w:rPr>
                <w:rFonts w:ascii="Arial" w:hAnsi="Arial" w:eastAsia="Arial" w:cs="Arial"/>
                <w:b/>
                <w:bCs/>
                <w:color w:val="1B3A6B"/>
                <w:sz w:val="19"/>
                <w:szCs w:val="19"/>
              </w:rPr>
              <w:t>⚠ Non-Intuitive Pattern: Repeat Customers Punch Far Above Their Weight</w:t>
            </w:r>
          </w:p>
          <w:p w14:paraId="0AA4AAB1">
            <w:pPr>
              <w:spacing w:before="0" w:after="0"/>
              <w:jc w:val="both"/>
            </w:pPr>
            <w:r>
              <w:rPr>
                <w:rFonts w:hint="default" w:ascii="Arial" w:hAnsi="Arial" w:eastAsia="SimSun" w:cs="Arial"/>
                <w:sz w:val="20"/>
                <w:szCs w:val="20"/>
              </w:rPr>
              <w:t>One-time customers account for 97% of the customer base and generate 94.4% of total revenue . At first glance this seems fine</w:t>
            </w:r>
            <w:r>
              <w:rPr>
                <w:rFonts w:hint="default" w:ascii="Arial" w:hAnsi="Arial" w:eastAsia="SimSun" w:cs="Arial"/>
                <w:sz w:val="20"/>
                <w:szCs w:val="20"/>
                <w:lang w:val="en-US"/>
              </w:rPr>
              <w:t xml:space="preserve">, </w:t>
            </w:r>
            <w:r>
              <w:rPr>
                <w:rFonts w:hint="default" w:ascii="Arial" w:hAnsi="Arial" w:eastAsia="SimSun" w:cs="Arial"/>
                <w:sz w:val="20"/>
                <w:szCs w:val="20"/>
              </w:rPr>
              <w:t>if one-time buyers drive most revenue, why worry? The counter-intuitive risk is structural: every month the business must acquire thousands of new customers just to maintain flat revenue. There is virtually no recurring base to fall back on. Repeat customers do spend ~1.9× more per head ($308 vs. $161), but because they are so few (2,801 customers), their total contribution is only 5.6% of revenue. The non-intuitive implication is that even a small shift in repeat rate from 3% to 5% would add meaningful revenue, because each retained customer is worth nearly twice a first-timer on a per-order basis and tends to broaden their spend across categories over time.</w:t>
            </w:r>
          </w:p>
        </w:tc>
      </w:tr>
    </w:tbl>
    <w:p w14:paraId="53F469FB">
      <w:pPr>
        <w:spacing w:before="0" w:after="0"/>
      </w:pPr>
    </w:p>
    <w:p w14:paraId="21E4B8DD">
      <w:pPr>
        <w:spacing w:before="240" w:after="80"/>
        <w:rPr>
          <w:rFonts w:ascii="Arial" w:hAnsi="Arial" w:eastAsia="Arial" w:cs="Arial"/>
          <w:b/>
          <w:bCs/>
          <w:color w:val="0E7C7B"/>
          <w:sz w:val="26"/>
          <w:szCs w:val="26"/>
        </w:rPr>
      </w:pPr>
    </w:p>
    <w:p w14:paraId="5CE422D2">
      <w:pPr>
        <w:spacing w:before="240" w:after="80"/>
        <w:rPr>
          <w:rFonts w:ascii="Arial" w:hAnsi="Arial" w:eastAsia="Arial" w:cs="Arial"/>
          <w:b/>
          <w:bCs/>
          <w:color w:val="0E7C7B"/>
          <w:sz w:val="26"/>
          <w:szCs w:val="26"/>
        </w:rPr>
      </w:pPr>
    </w:p>
    <w:p w14:paraId="1A506D3E">
      <w:pPr>
        <w:spacing w:before="240" w:after="80"/>
        <w:rPr>
          <w:rFonts w:ascii="Arial" w:hAnsi="Arial" w:eastAsia="Arial" w:cs="Arial"/>
          <w:b/>
          <w:bCs/>
          <w:color w:val="0E7C7B"/>
          <w:sz w:val="26"/>
          <w:szCs w:val="26"/>
        </w:rPr>
      </w:pPr>
    </w:p>
    <w:p w14:paraId="270C3B6E">
      <w:pPr>
        <w:spacing w:before="240" w:after="80"/>
        <w:rPr>
          <w:rFonts w:ascii="Arial" w:hAnsi="Arial" w:eastAsia="Arial" w:cs="Arial"/>
          <w:b/>
          <w:bCs/>
          <w:color w:val="0E7C7B"/>
          <w:sz w:val="26"/>
          <w:szCs w:val="26"/>
        </w:rPr>
      </w:pPr>
    </w:p>
    <w:p w14:paraId="1B490CD1">
      <w:pPr>
        <w:spacing w:before="240" w:after="80"/>
        <w:rPr>
          <w:rFonts w:ascii="Arial" w:hAnsi="Arial" w:eastAsia="Arial" w:cs="Arial"/>
          <w:b/>
          <w:bCs/>
          <w:color w:val="0E7C7B"/>
          <w:sz w:val="26"/>
          <w:szCs w:val="26"/>
        </w:rPr>
      </w:pPr>
    </w:p>
    <w:p w14:paraId="0B8409E6">
      <w:pPr>
        <w:spacing w:before="240" w:after="80"/>
        <w:rPr>
          <w:rFonts w:ascii="Arial" w:hAnsi="Arial" w:eastAsia="Arial" w:cs="Arial"/>
          <w:b/>
          <w:bCs/>
          <w:color w:val="0E7C7B"/>
          <w:sz w:val="26"/>
          <w:szCs w:val="26"/>
        </w:rPr>
      </w:pPr>
    </w:p>
    <w:p w14:paraId="0DB4AC46">
      <w:pPr>
        <w:spacing w:before="240" w:after="80"/>
      </w:pPr>
      <w:r>
        <w:rPr>
          <w:rFonts w:ascii="Arial" w:hAnsi="Arial" w:eastAsia="Arial" w:cs="Arial"/>
          <w:b/>
          <w:bCs/>
          <w:color w:val="0E7C7B"/>
          <w:sz w:val="26"/>
          <w:szCs w:val="26"/>
        </w:rPr>
        <w:t>2.3 RFM Customer Segmentation</w:t>
      </w:r>
    </w:p>
    <w:p w14:paraId="1E75858F">
      <w:pPr>
        <w:spacing w:before="60" w:after="120"/>
        <w:jc w:val="both"/>
      </w:pPr>
      <w:r>
        <w:rPr>
          <w:rFonts w:ascii="Arial" w:hAnsi="Arial" w:eastAsia="Arial" w:cs="Arial"/>
          <w:color w:val="2D3748"/>
          <w:sz w:val="21"/>
          <w:szCs w:val="21"/>
        </w:rPr>
        <w:t>Customers were scored on Recency, Frequency, and Monetary value and assigned to five segments. The distribution reveals a concentrated mass at the bottom (Lost Customers) and a thin peak (Champions), a classic hockey-stick segment distribution.</w:t>
      </w:r>
    </w:p>
    <w:p w14:paraId="77B3F6EE">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6"/>
        <w:gridCol w:w="1233"/>
        <w:gridCol w:w="1549"/>
        <w:gridCol w:w="1552"/>
        <w:gridCol w:w="1544"/>
        <w:gridCol w:w="1166"/>
      </w:tblGrid>
      <w:tr w14:paraId="5762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615728B7">
            <w:pPr>
              <w:jc w:val="center"/>
            </w:pPr>
            <w:r>
              <w:rPr>
                <w:rFonts w:ascii="Arial" w:hAnsi="Arial" w:eastAsia="Arial" w:cs="Arial"/>
                <w:b/>
                <w:bCs/>
                <w:color w:val="FFFFFF"/>
                <w:sz w:val="19"/>
                <w:szCs w:val="19"/>
              </w:rPr>
              <w:t>Segment</w:t>
            </w:r>
          </w:p>
        </w:tc>
        <w:tc>
          <w:tcPr>
            <w:tcW w:w="117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6568CF2C">
            <w:pPr>
              <w:jc w:val="center"/>
            </w:pPr>
            <w:r>
              <w:rPr>
                <w:rFonts w:ascii="Arial" w:hAnsi="Arial" w:eastAsia="Arial" w:cs="Arial"/>
                <w:b/>
                <w:bCs/>
                <w:color w:val="FFFFFF"/>
                <w:sz w:val="19"/>
                <w:szCs w:val="19"/>
              </w:rPr>
              <w:t>Customers</w:t>
            </w:r>
          </w:p>
        </w:tc>
        <w:tc>
          <w:tcPr>
            <w:tcW w:w="156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6CA31EDF">
            <w:pPr>
              <w:jc w:val="center"/>
            </w:pPr>
            <w:r>
              <w:rPr>
                <w:rFonts w:ascii="Arial" w:hAnsi="Arial" w:eastAsia="Arial" w:cs="Arial"/>
                <w:b/>
                <w:bCs/>
                <w:color w:val="FFFFFF"/>
                <w:sz w:val="19"/>
                <w:szCs w:val="19"/>
              </w:rPr>
              <w:t>Avg Recency (days)</w:t>
            </w:r>
          </w:p>
        </w:tc>
        <w:tc>
          <w:tcPr>
            <w:tcW w:w="156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51DD7B6B">
            <w:pPr>
              <w:jc w:val="center"/>
            </w:pPr>
            <w:r>
              <w:rPr>
                <w:rFonts w:ascii="Arial" w:hAnsi="Arial" w:eastAsia="Arial" w:cs="Arial"/>
                <w:b/>
                <w:bCs/>
                <w:color w:val="FFFFFF"/>
                <w:sz w:val="19"/>
                <w:szCs w:val="19"/>
              </w:rPr>
              <w:t>Avg Frequency</w:t>
            </w:r>
          </w:p>
        </w:tc>
        <w:tc>
          <w:tcPr>
            <w:tcW w:w="156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08FB7748">
            <w:pPr>
              <w:jc w:val="center"/>
            </w:pPr>
            <w:r>
              <w:rPr>
                <w:rFonts w:ascii="Arial" w:hAnsi="Arial" w:eastAsia="Arial" w:cs="Arial"/>
                <w:b/>
                <w:bCs/>
                <w:color w:val="FFFFFF"/>
                <w:sz w:val="19"/>
                <w:szCs w:val="19"/>
              </w:rPr>
              <w:t>Avg Spend ($)</w:t>
            </w:r>
          </w:p>
        </w:tc>
        <w:tc>
          <w:tcPr>
            <w:tcW w:w="117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3D9B2CF5">
            <w:pPr>
              <w:jc w:val="center"/>
            </w:pPr>
            <w:r>
              <w:rPr>
                <w:rFonts w:ascii="Arial" w:hAnsi="Arial" w:eastAsia="Arial" w:cs="Arial"/>
                <w:b/>
                <w:bCs/>
                <w:color w:val="FFFFFF"/>
                <w:sz w:val="19"/>
                <w:szCs w:val="19"/>
              </w:rPr>
              <w:t>Rev Share %</w:t>
            </w:r>
          </w:p>
        </w:tc>
      </w:tr>
      <w:tr w14:paraId="1059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769DEE45">
            <w:pPr>
              <w:jc w:val="left"/>
            </w:pPr>
            <w:r>
              <w:rPr>
                <w:rFonts w:ascii="Arial" w:hAnsi="Arial" w:eastAsia="Arial" w:cs="Arial"/>
                <w:b w:val="0"/>
                <w:bCs w:val="0"/>
                <w:color w:val="2D3748"/>
                <w:sz w:val="19"/>
                <w:szCs w:val="19"/>
              </w:rPr>
              <w:t>Champions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7808829F">
            <w:pPr>
              <w:jc w:val="center"/>
            </w:pPr>
            <w:r>
              <w:rPr>
                <w:rFonts w:ascii="Arial" w:hAnsi="Arial" w:eastAsia="Arial" w:cs="Arial"/>
                <w:b w:val="0"/>
                <w:bCs w:val="0"/>
                <w:color w:val="2D3748"/>
                <w:sz w:val="19"/>
                <w:szCs w:val="19"/>
              </w:rPr>
              <w:t>~3,100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5B0D9B8">
            <w:pPr>
              <w:jc w:val="center"/>
            </w:pPr>
            <w:r>
              <w:rPr>
                <w:rFonts w:ascii="Arial" w:hAnsi="Arial" w:eastAsia="Arial" w:cs="Arial"/>
                <w:b w:val="0"/>
                <w:bCs w:val="0"/>
                <w:color w:val="2D3748"/>
                <w:sz w:val="19"/>
                <w:szCs w:val="19"/>
              </w:rPr>
              <w:t>~35</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47FC5F2">
            <w:pPr>
              <w:jc w:val="center"/>
            </w:pPr>
            <w:r>
              <w:rPr>
                <w:rFonts w:ascii="Arial" w:hAnsi="Arial" w:eastAsia="Arial" w:cs="Arial"/>
                <w:b w:val="0"/>
                <w:bCs w:val="0"/>
                <w:color w:val="2D3748"/>
                <w:sz w:val="19"/>
                <w:szCs w:val="19"/>
              </w:rPr>
              <w:t>2.5</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F3BA073">
            <w:pPr>
              <w:jc w:val="center"/>
            </w:pPr>
            <w:r>
              <w:rPr>
                <w:rFonts w:ascii="Arial" w:hAnsi="Arial" w:eastAsia="Arial" w:cs="Arial"/>
                <w:b w:val="0"/>
                <w:bCs w:val="0"/>
                <w:color w:val="2D3748"/>
                <w:sz w:val="19"/>
                <w:szCs w:val="19"/>
              </w:rPr>
              <w:t>$850</w:t>
            </w:r>
          </w:p>
        </w:tc>
        <w:tc>
          <w:tcPr>
            <w:tcW w:w="117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7442A40A">
            <w:pPr>
              <w:jc w:val="center"/>
            </w:pPr>
            <w:r>
              <w:rPr>
                <w:rFonts w:ascii="Arial" w:hAnsi="Arial" w:eastAsia="Arial" w:cs="Arial"/>
                <w:b/>
                <w:bCs/>
                <w:color w:val="2D3748"/>
                <w:sz w:val="19"/>
                <w:szCs w:val="19"/>
              </w:rPr>
              <w:t>~22%</w:t>
            </w:r>
          </w:p>
        </w:tc>
      </w:tr>
      <w:tr w14:paraId="1AE2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5A2BED45">
            <w:pPr>
              <w:jc w:val="left"/>
            </w:pPr>
            <w:r>
              <w:rPr>
                <w:rFonts w:ascii="Arial" w:hAnsi="Arial" w:eastAsia="Arial" w:cs="Arial"/>
                <w:b w:val="0"/>
                <w:bCs w:val="0"/>
                <w:color w:val="2D3748"/>
                <w:sz w:val="19"/>
                <w:szCs w:val="19"/>
              </w:rPr>
              <w:t>Loyal Customers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45D7880">
            <w:pPr>
              <w:jc w:val="center"/>
            </w:pPr>
            <w:r>
              <w:rPr>
                <w:rFonts w:ascii="Arial" w:hAnsi="Arial" w:eastAsia="Arial" w:cs="Arial"/>
                <w:b w:val="0"/>
                <w:bCs w:val="0"/>
                <w:color w:val="2D3748"/>
                <w:sz w:val="19"/>
                <w:szCs w:val="19"/>
              </w:rPr>
              <w:t>~2,900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7C27FB0">
            <w:pPr>
              <w:jc w:val="center"/>
            </w:pPr>
            <w:r>
              <w:rPr>
                <w:rFonts w:ascii="Arial" w:hAnsi="Arial" w:eastAsia="Arial" w:cs="Arial"/>
                <w:b w:val="0"/>
                <w:bCs w:val="0"/>
                <w:color w:val="2D3748"/>
                <w:sz w:val="19"/>
                <w:szCs w:val="19"/>
              </w:rPr>
              <w:t>~110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242D29F">
            <w:pPr>
              <w:jc w:val="center"/>
            </w:pPr>
            <w:r>
              <w:rPr>
                <w:rFonts w:ascii="Arial" w:hAnsi="Arial" w:eastAsia="Arial" w:cs="Arial"/>
                <w:b w:val="0"/>
                <w:bCs w:val="0"/>
                <w:color w:val="2D3748"/>
                <w:sz w:val="19"/>
                <w:szCs w:val="19"/>
              </w:rPr>
              <w:t>2.1</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AD3D361">
            <w:pPr>
              <w:jc w:val="center"/>
            </w:pPr>
            <w:r>
              <w:rPr>
                <w:rFonts w:ascii="Arial" w:hAnsi="Arial" w:eastAsia="Arial" w:cs="Arial"/>
                <w:b w:val="0"/>
                <w:bCs w:val="0"/>
                <w:color w:val="2D3748"/>
                <w:sz w:val="19"/>
                <w:szCs w:val="19"/>
              </w:rPr>
              <w:t>$590</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1D7C80A">
            <w:pPr>
              <w:jc w:val="center"/>
            </w:pPr>
            <w:r>
              <w:rPr>
                <w:rFonts w:ascii="Arial" w:hAnsi="Arial" w:eastAsia="Arial" w:cs="Arial"/>
                <w:b w:val="0"/>
                <w:bCs w:val="0"/>
                <w:color w:val="2D3748"/>
                <w:sz w:val="19"/>
                <w:szCs w:val="19"/>
              </w:rPr>
              <w:t>~14%</w:t>
            </w:r>
          </w:p>
        </w:tc>
      </w:tr>
      <w:tr w14:paraId="6D55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C1B9396">
            <w:pPr>
              <w:jc w:val="left"/>
            </w:pPr>
            <w:r>
              <w:rPr>
                <w:rFonts w:ascii="Arial" w:hAnsi="Arial" w:eastAsia="Arial" w:cs="Arial"/>
                <w:b w:val="0"/>
                <w:bCs w:val="0"/>
                <w:color w:val="2D3748"/>
                <w:sz w:val="19"/>
                <w:szCs w:val="19"/>
              </w:rPr>
              <w:t>Potential Loyalists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2BF2A429">
            <w:pPr>
              <w:jc w:val="center"/>
            </w:pPr>
            <w:r>
              <w:rPr>
                <w:rFonts w:ascii="Arial" w:hAnsi="Arial" w:eastAsia="Arial" w:cs="Arial"/>
                <w:b w:val="0"/>
                <w:bCs w:val="0"/>
                <w:color w:val="2D3748"/>
                <w:sz w:val="19"/>
                <w:szCs w:val="19"/>
              </w:rPr>
              <w:t>~25,000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25BC1026">
            <w:pPr>
              <w:jc w:val="center"/>
            </w:pPr>
            <w:r>
              <w:rPr>
                <w:rFonts w:ascii="Arial" w:hAnsi="Arial" w:eastAsia="Arial" w:cs="Arial"/>
                <w:b w:val="0"/>
                <w:bCs w:val="0"/>
                <w:color w:val="2D3748"/>
                <w:sz w:val="19"/>
                <w:szCs w:val="19"/>
              </w:rPr>
              <w:t>~120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2440B4E9">
            <w:pPr>
              <w:jc w:val="center"/>
            </w:pPr>
            <w:r>
              <w:rPr>
                <w:rFonts w:ascii="Arial" w:hAnsi="Arial" w:eastAsia="Arial" w:cs="Arial"/>
                <w:b w:val="0"/>
                <w:bCs w:val="0"/>
                <w:color w:val="2D3748"/>
                <w:sz w:val="19"/>
                <w:szCs w:val="19"/>
              </w:rPr>
              <w:t>1.0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23E02194">
            <w:pPr>
              <w:jc w:val="center"/>
            </w:pPr>
            <w:r>
              <w:rPr>
                <w:rFonts w:ascii="Arial" w:hAnsi="Arial" w:eastAsia="Arial" w:cs="Arial"/>
                <w:b w:val="0"/>
                <w:bCs w:val="0"/>
                <w:color w:val="2D3748"/>
                <w:sz w:val="19"/>
                <w:szCs w:val="19"/>
              </w:rPr>
              <w:t>$155</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2BED868">
            <w:pPr>
              <w:jc w:val="center"/>
            </w:pPr>
            <w:r>
              <w:rPr>
                <w:rFonts w:ascii="Arial" w:hAnsi="Arial" w:eastAsia="Arial" w:cs="Arial"/>
                <w:b w:val="0"/>
                <w:bCs w:val="0"/>
                <w:color w:val="2D3748"/>
                <w:sz w:val="19"/>
                <w:szCs w:val="19"/>
              </w:rPr>
              <w:t>~32%</w:t>
            </w:r>
          </w:p>
        </w:tc>
      </w:tr>
      <w:tr w14:paraId="4F53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842A8DB">
            <w:pPr>
              <w:jc w:val="left"/>
            </w:pPr>
            <w:r>
              <w:rPr>
                <w:rFonts w:ascii="Arial" w:hAnsi="Arial" w:eastAsia="Arial" w:cs="Arial"/>
                <w:b w:val="0"/>
                <w:bCs w:val="0"/>
                <w:color w:val="2D3748"/>
                <w:sz w:val="19"/>
                <w:szCs w:val="19"/>
              </w:rPr>
              <w:t>At Risk</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6FB3C6E">
            <w:pPr>
              <w:jc w:val="center"/>
            </w:pPr>
            <w:r>
              <w:rPr>
                <w:rFonts w:ascii="Arial" w:hAnsi="Arial" w:eastAsia="Arial" w:cs="Arial"/>
                <w:b w:val="0"/>
                <w:bCs w:val="0"/>
                <w:color w:val="2D3748"/>
                <w:sz w:val="19"/>
                <w:szCs w:val="19"/>
              </w:rPr>
              <w:t>~3,200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5E051B86">
            <w:pPr>
              <w:jc w:val="center"/>
            </w:pPr>
            <w:r>
              <w:rPr>
                <w:rFonts w:ascii="Arial" w:hAnsi="Arial" w:eastAsia="Arial" w:cs="Arial"/>
                <w:b w:val="0"/>
                <w:bCs w:val="0"/>
                <w:color w:val="2D3748"/>
                <w:sz w:val="19"/>
                <w:szCs w:val="19"/>
              </w:rPr>
              <w:t>~390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86E407C">
            <w:pPr>
              <w:jc w:val="center"/>
            </w:pPr>
            <w:r>
              <w:rPr>
                <w:rFonts w:ascii="Arial" w:hAnsi="Arial" w:eastAsia="Arial" w:cs="Arial"/>
                <w:b w:val="0"/>
                <w:bCs w:val="0"/>
                <w:color w:val="2D3748"/>
                <w:sz w:val="19"/>
                <w:szCs w:val="19"/>
              </w:rPr>
              <w:t>2.2</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8D4AB77">
            <w:pPr>
              <w:jc w:val="center"/>
            </w:pPr>
            <w:r>
              <w:rPr>
                <w:rFonts w:ascii="Arial" w:hAnsi="Arial" w:eastAsia="Arial" w:cs="Arial"/>
                <w:b w:val="0"/>
                <w:bCs w:val="0"/>
                <w:color w:val="2D3748"/>
                <w:sz w:val="19"/>
                <w:szCs w:val="19"/>
              </w:rPr>
              <w:t>$480</w:t>
            </w:r>
          </w:p>
        </w:tc>
        <w:tc>
          <w:tcPr>
            <w:tcW w:w="1170" w:type="dxa"/>
            <w:tcBorders>
              <w:top w:val="single" w:color="DDDDDD" w:sz="0" w:space="0"/>
              <w:left w:val="single" w:color="DDDDDD" w:sz="0" w:space="0"/>
              <w:bottom w:val="single" w:color="DDDDDD" w:sz="0" w:space="0"/>
              <w:right w:val="single" w:color="DDDDDD" w:sz="0" w:space="0"/>
            </w:tcBorders>
            <w:shd w:val="clear" w:color="auto" w:fill="FFF8F0"/>
            <w:tcMar>
              <w:top w:w="70" w:type="dxa"/>
              <w:left w:w="120" w:type="dxa"/>
              <w:bottom w:w="70" w:type="dxa"/>
              <w:right w:w="120" w:type="dxa"/>
            </w:tcMar>
            <w:vAlign w:val="center"/>
          </w:tcPr>
          <w:p w14:paraId="59047C17">
            <w:pPr>
              <w:jc w:val="center"/>
            </w:pPr>
            <w:r>
              <w:rPr>
                <w:rFonts w:ascii="Arial" w:hAnsi="Arial" w:eastAsia="Arial" w:cs="Arial"/>
                <w:b w:val="0"/>
                <w:bCs w:val="0"/>
                <w:color w:val="2D3748"/>
                <w:sz w:val="19"/>
                <w:szCs w:val="19"/>
              </w:rPr>
              <w:t>~13%</w:t>
            </w:r>
          </w:p>
        </w:tc>
      </w:tr>
      <w:tr w14:paraId="6D83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135B144">
            <w:pPr>
              <w:jc w:val="left"/>
            </w:pPr>
            <w:r>
              <w:rPr>
                <w:rFonts w:ascii="Arial" w:hAnsi="Arial" w:eastAsia="Arial" w:cs="Arial"/>
                <w:b w:val="0"/>
                <w:bCs w:val="0"/>
                <w:color w:val="2D3748"/>
                <w:sz w:val="19"/>
                <w:szCs w:val="19"/>
              </w:rPr>
              <w:t>Lost Customers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51B7E3C2">
            <w:pPr>
              <w:jc w:val="center"/>
            </w:pPr>
            <w:r>
              <w:rPr>
                <w:rFonts w:ascii="Arial" w:hAnsi="Arial" w:eastAsia="Arial" w:cs="Arial"/>
                <w:b w:val="0"/>
                <w:bCs w:val="0"/>
                <w:color w:val="2D3748"/>
                <w:sz w:val="19"/>
                <w:szCs w:val="19"/>
              </w:rPr>
              <w:t>~59,000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5D931095">
            <w:pPr>
              <w:jc w:val="center"/>
            </w:pPr>
            <w:r>
              <w:rPr>
                <w:rFonts w:ascii="Arial" w:hAnsi="Arial" w:eastAsia="Arial" w:cs="Arial"/>
                <w:b w:val="0"/>
                <w:bCs w:val="0"/>
                <w:color w:val="2D3748"/>
                <w:sz w:val="19"/>
                <w:szCs w:val="19"/>
              </w:rPr>
              <w:t>~480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DEC5EA1">
            <w:pPr>
              <w:jc w:val="center"/>
            </w:pPr>
            <w:r>
              <w:rPr>
                <w:rFonts w:ascii="Arial" w:hAnsi="Arial" w:eastAsia="Arial" w:cs="Arial"/>
                <w:b w:val="0"/>
                <w:bCs w:val="0"/>
                <w:color w:val="2D3748"/>
                <w:sz w:val="19"/>
                <w:szCs w:val="19"/>
              </w:rPr>
              <w:t>1.0</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6AB5899">
            <w:pPr>
              <w:jc w:val="center"/>
            </w:pPr>
            <w:r>
              <w:rPr>
                <w:rFonts w:ascii="Arial" w:hAnsi="Arial" w:eastAsia="Arial" w:cs="Arial"/>
                <w:b w:val="0"/>
                <w:bCs w:val="0"/>
                <w:color w:val="2D3748"/>
                <w:sz w:val="19"/>
                <w:szCs w:val="19"/>
              </w:rPr>
              <w:t>$115</w:t>
            </w:r>
          </w:p>
        </w:tc>
        <w:tc>
          <w:tcPr>
            <w:tcW w:w="1170" w:type="dxa"/>
            <w:tcBorders>
              <w:top w:val="single" w:color="DDDDDD" w:sz="0" w:space="0"/>
              <w:left w:val="single" w:color="DDDDDD" w:sz="0" w:space="0"/>
              <w:bottom w:val="single" w:color="DDDDDD" w:sz="0" w:space="0"/>
              <w:right w:val="single" w:color="DDDDDD" w:sz="0" w:space="0"/>
            </w:tcBorders>
            <w:shd w:val="clear" w:color="auto" w:fill="FDEEEE"/>
            <w:tcMar>
              <w:top w:w="70" w:type="dxa"/>
              <w:left w:w="120" w:type="dxa"/>
              <w:bottom w:w="70" w:type="dxa"/>
              <w:right w:w="120" w:type="dxa"/>
            </w:tcMar>
            <w:vAlign w:val="center"/>
          </w:tcPr>
          <w:p w14:paraId="64BE14A2">
            <w:pPr>
              <w:jc w:val="center"/>
            </w:pPr>
            <w:r>
              <w:rPr>
                <w:rFonts w:ascii="Arial" w:hAnsi="Arial" w:eastAsia="Arial" w:cs="Arial"/>
                <w:b w:val="0"/>
                <w:bCs w:val="0"/>
                <w:color w:val="2D3748"/>
                <w:sz w:val="19"/>
                <w:szCs w:val="19"/>
              </w:rPr>
              <w:t>~19%</w:t>
            </w:r>
          </w:p>
        </w:tc>
      </w:tr>
    </w:tbl>
    <w:p w14:paraId="40F2C766">
      <w:pPr>
        <w:spacing w:before="0" w:after="0"/>
      </w:pPr>
    </w:p>
    <w:p w14:paraId="4E5F3DEC">
      <w:pPr>
        <w:spacing w:before="60" w:after="120"/>
        <w:jc w:val="both"/>
      </w:pPr>
      <w:r>
        <w:rPr>
          <w:rFonts w:ascii="Arial" w:hAnsi="Arial" w:eastAsia="Arial" w:cs="Arial"/>
          <w:color w:val="2D3748"/>
          <w:sz w:val="21"/>
          <w:szCs w:val="21"/>
        </w:rPr>
        <w:t>Lost Customers constitute the single largest segment by headcount (~63% of customers), yet they individually contribute the least. Potential Loyalists recent one-time buyers represent the most commercially attractive conversion opportunity: they are fresh, engaged, and not yet lost.</w:t>
      </w:r>
    </w:p>
    <w:p w14:paraId="37D26D9E">
      <w:pPr>
        <w:spacing w:before="0" w:after="0"/>
      </w:pPr>
    </w:p>
    <w:p w14:paraId="07D1DA1B">
      <w:pPr>
        <w:spacing w:before="240" w:after="80"/>
      </w:pPr>
      <w:r>
        <w:rPr>
          <w:rFonts w:ascii="Arial" w:hAnsi="Arial" w:eastAsia="Arial" w:cs="Arial"/>
          <w:b/>
          <w:bCs/>
          <w:color w:val="0E7C7B"/>
          <w:sz w:val="26"/>
          <w:szCs w:val="26"/>
        </w:rPr>
        <w:t>2.4 Category &amp; Geographic Performance</w:t>
      </w:r>
    </w:p>
    <w:p w14:paraId="10F5E461">
      <w:pPr>
        <w:spacing w:before="60" w:after="120"/>
        <w:jc w:val="both"/>
      </w:pPr>
      <w:r>
        <w:rPr>
          <w:rFonts w:ascii="Arial" w:hAnsi="Arial" w:eastAsia="Arial" w:cs="Arial"/>
          <w:color w:val="2D3748"/>
          <w:sz w:val="21"/>
          <w:szCs w:val="21"/>
        </w:rPr>
        <w:t>The top revenue-generating categories are Health &amp; Beauty, Watches &amp; Gifts, Bed/Bath/Table, Sports &amp; Leisure, and Computers &amp; Accessories a diverse mix that spans impulse and considered purchases. Geographically, the state of São Paulo (SP) drives approximately 42% of revenue, followed by Rio de Janeiro (RJ) and Minas Gerais (MG). The concentration in the Southeast points to underpenetrated opportunity in the Northeast and South.</w:t>
      </w:r>
    </w:p>
    <w:p w14:paraId="2273B656">
      <w:pPr>
        <w:spacing w:before="0" w:after="0"/>
      </w:pPr>
    </w:p>
    <w:p w14:paraId="15D90E33">
      <w:pPr>
        <w:spacing w:before="240" w:after="80"/>
      </w:pPr>
      <w:r>
        <w:rPr>
          <w:rFonts w:ascii="Arial" w:hAnsi="Arial" w:eastAsia="Arial" w:cs="Arial"/>
          <w:b/>
          <w:bCs/>
          <w:color w:val="0E7C7B"/>
          <w:sz w:val="26"/>
          <w:szCs w:val="26"/>
        </w:rPr>
        <w:t>2.5 Delivery Performance &amp; Customer Satisfaction</w:t>
      </w:r>
    </w:p>
    <w:p w14:paraId="3F88E4A1">
      <w:pPr>
        <w:spacing w:before="60" w:after="120"/>
        <w:jc w:val="both"/>
      </w:pPr>
      <w:r>
        <w:rPr>
          <w:rFonts w:ascii="Arial" w:hAnsi="Arial" w:eastAsia="Arial" w:cs="Arial"/>
          <w:color w:val="2D3748"/>
          <w:sz w:val="21"/>
          <w:szCs w:val="21"/>
        </w:rPr>
        <w:t>Of all delivered orders with complete date information, approximately 27% arrived after the estimated delivery date. The average actual delivery time is around 12 days, while the average delay for late orders is roughly 10 additional days.</w:t>
      </w:r>
    </w:p>
    <w:p w14:paraId="40D70BFB">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1620"/>
        <w:gridCol w:w="1920"/>
        <w:gridCol w:w="1920"/>
      </w:tblGrid>
      <w:tr w14:paraId="2682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44FD38F0">
            <w:pPr>
              <w:jc w:val="center"/>
            </w:pPr>
            <w:r>
              <w:rPr>
                <w:rFonts w:ascii="Arial" w:hAnsi="Arial" w:eastAsia="Arial" w:cs="Arial"/>
                <w:b/>
                <w:bCs/>
                <w:color w:val="FFFFFF"/>
                <w:sz w:val="19"/>
                <w:szCs w:val="19"/>
              </w:rPr>
              <w:t>Delivery Status</w:t>
            </w:r>
          </w:p>
        </w:tc>
        <w:tc>
          <w:tcPr>
            <w:tcW w:w="16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03C4C034">
            <w:pPr>
              <w:jc w:val="center"/>
            </w:pPr>
            <w:r>
              <w:rPr>
                <w:rFonts w:ascii="Arial" w:hAnsi="Arial" w:eastAsia="Arial" w:cs="Arial"/>
                <w:b/>
                <w:bCs/>
                <w:color w:val="FFFFFF"/>
                <w:sz w:val="19"/>
                <w:szCs w:val="19"/>
              </w:rPr>
              <w:t>Orders</w:t>
            </w:r>
          </w:p>
        </w:tc>
        <w:tc>
          <w:tcPr>
            <w:tcW w:w="19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4E8EC52F">
            <w:pPr>
              <w:jc w:val="center"/>
            </w:pPr>
            <w:r>
              <w:rPr>
                <w:rFonts w:ascii="Arial" w:hAnsi="Arial" w:eastAsia="Arial" w:cs="Arial"/>
                <w:b/>
                <w:bCs/>
                <w:color w:val="FFFFFF"/>
                <w:sz w:val="19"/>
                <w:szCs w:val="19"/>
              </w:rPr>
              <w:t>Avg Delivery Days</w:t>
            </w:r>
          </w:p>
        </w:tc>
        <w:tc>
          <w:tcPr>
            <w:tcW w:w="19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22B1916B">
            <w:pPr>
              <w:jc w:val="center"/>
            </w:pPr>
            <w:r>
              <w:rPr>
                <w:rFonts w:ascii="Arial" w:hAnsi="Arial" w:eastAsia="Arial" w:cs="Arial"/>
                <w:b/>
                <w:bCs/>
                <w:color w:val="FFFFFF"/>
                <w:sz w:val="19"/>
                <w:szCs w:val="19"/>
              </w:rPr>
              <w:t>Avg Review Score</w:t>
            </w:r>
          </w:p>
        </w:tc>
      </w:tr>
      <w:tr w14:paraId="4736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E4E6470">
            <w:pPr>
              <w:jc w:val="left"/>
            </w:pPr>
            <w:r>
              <w:rPr>
                <w:rFonts w:ascii="Arial" w:hAnsi="Arial" w:eastAsia="Arial" w:cs="Arial"/>
                <w:b w:val="0"/>
                <w:bCs w:val="0"/>
                <w:color w:val="2D3748"/>
                <w:sz w:val="19"/>
                <w:szCs w:val="19"/>
              </w:rPr>
              <w:t>On-time / Early</w:t>
            </w:r>
          </w:p>
        </w:tc>
        <w:tc>
          <w:tcPr>
            <w:tcW w:w="16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7799A449">
            <w:pPr>
              <w:jc w:val="center"/>
            </w:pPr>
            <w:r>
              <w:rPr>
                <w:rFonts w:ascii="Arial" w:hAnsi="Arial" w:eastAsia="Arial" w:cs="Arial"/>
                <w:b w:val="0"/>
                <w:bCs w:val="0"/>
                <w:color w:val="2D3748"/>
                <w:sz w:val="19"/>
                <w:szCs w:val="19"/>
              </w:rPr>
              <w:t>~70,000</w:t>
            </w:r>
          </w:p>
        </w:tc>
        <w:tc>
          <w:tcPr>
            <w:tcW w:w="19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2C56B8E3">
            <w:pPr>
              <w:jc w:val="center"/>
            </w:pPr>
            <w:r>
              <w:rPr>
                <w:rFonts w:ascii="Arial" w:hAnsi="Arial" w:eastAsia="Arial" w:cs="Arial"/>
                <w:b w:val="0"/>
                <w:bCs w:val="0"/>
                <w:color w:val="2D3748"/>
                <w:sz w:val="19"/>
                <w:szCs w:val="19"/>
              </w:rPr>
              <w:t>10.4</w:t>
            </w:r>
          </w:p>
        </w:tc>
        <w:tc>
          <w:tcPr>
            <w:tcW w:w="192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179BAF74">
            <w:pPr>
              <w:jc w:val="center"/>
            </w:pPr>
            <w:r>
              <w:rPr>
                <w:rFonts w:ascii="Arial" w:hAnsi="Arial" w:eastAsia="Arial" w:cs="Arial"/>
                <w:b/>
                <w:bCs/>
                <w:color w:val="2D3748"/>
                <w:sz w:val="19"/>
                <w:szCs w:val="19"/>
              </w:rPr>
              <w:t>4.34</w:t>
            </w:r>
          </w:p>
        </w:tc>
      </w:tr>
      <w:tr w14:paraId="3D9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D314A87">
            <w:pPr>
              <w:jc w:val="left"/>
            </w:pPr>
            <w:r>
              <w:rPr>
                <w:rFonts w:ascii="Arial" w:hAnsi="Arial" w:eastAsia="Arial" w:cs="Arial"/>
                <w:b w:val="0"/>
                <w:bCs w:val="0"/>
                <w:color w:val="2D3748"/>
                <w:sz w:val="19"/>
                <w:szCs w:val="19"/>
              </w:rPr>
              <w:t>Late Delivery</w:t>
            </w:r>
          </w:p>
        </w:tc>
        <w:tc>
          <w:tcPr>
            <w:tcW w:w="16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5B7363C1">
            <w:pPr>
              <w:jc w:val="center"/>
            </w:pPr>
            <w:r>
              <w:rPr>
                <w:rFonts w:ascii="Arial" w:hAnsi="Arial" w:eastAsia="Arial" w:cs="Arial"/>
                <w:b w:val="0"/>
                <w:bCs w:val="0"/>
                <w:color w:val="2D3748"/>
                <w:sz w:val="19"/>
                <w:szCs w:val="19"/>
              </w:rPr>
              <w:t>~26,000</w:t>
            </w:r>
          </w:p>
        </w:tc>
        <w:tc>
          <w:tcPr>
            <w:tcW w:w="19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6B72A85">
            <w:pPr>
              <w:jc w:val="center"/>
            </w:pPr>
            <w:r>
              <w:rPr>
                <w:rFonts w:ascii="Arial" w:hAnsi="Arial" w:eastAsia="Arial" w:cs="Arial"/>
                <w:b w:val="0"/>
                <w:bCs w:val="0"/>
                <w:color w:val="2D3748"/>
                <w:sz w:val="19"/>
                <w:szCs w:val="19"/>
              </w:rPr>
              <w:t>21.6</w:t>
            </w:r>
          </w:p>
        </w:tc>
        <w:tc>
          <w:tcPr>
            <w:tcW w:w="1920" w:type="dxa"/>
            <w:tcBorders>
              <w:top w:val="single" w:color="DDDDDD" w:sz="0" w:space="0"/>
              <w:left w:val="single" w:color="DDDDDD" w:sz="0" w:space="0"/>
              <w:bottom w:val="single" w:color="DDDDDD" w:sz="0" w:space="0"/>
              <w:right w:val="single" w:color="DDDDDD" w:sz="0" w:space="0"/>
            </w:tcBorders>
            <w:shd w:val="clear" w:color="auto" w:fill="FDEEEE"/>
            <w:tcMar>
              <w:top w:w="70" w:type="dxa"/>
              <w:left w:w="120" w:type="dxa"/>
              <w:bottom w:w="70" w:type="dxa"/>
              <w:right w:w="120" w:type="dxa"/>
            </w:tcMar>
            <w:vAlign w:val="center"/>
          </w:tcPr>
          <w:p w14:paraId="58F5AFFC">
            <w:pPr>
              <w:jc w:val="center"/>
            </w:pPr>
            <w:r>
              <w:rPr>
                <w:rFonts w:ascii="Arial" w:hAnsi="Arial" w:eastAsia="Arial" w:cs="Arial"/>
                <w:b/>
                <w:bCs/>
                <w:color w:val="2D3748"/>
                <w:sz w:val="19"/>
                <w:szCs w:val="19"/>
              </w:rPr>
              <w:t>2.64</w:t>
            </w:r>
          </w:p>
        </w:tc>
      </w:tr>
    </w:tbl>
    <w:p w14:paraId="7E0450B2">
      <w:pPr>
        <w:spacing w:before="0" w:after="0"/>
      </w:pPr>
    </w:p>
    <w:p w14:paraId="7C75E5A2">
      <w:pPr>
        <w:spacing w:before="60" w:after="120"/>
        <w:jc w:val="both"/>
      </w:pPr>
      <w:r>
        <w:rPr>
          <w:rFonts w:ascii="Arial" w:hAnsi="Arial" w:eastAsia="Arial" w:cs="Arial"/>
          <w:color w:val="2D3748"/>
          <w:sz w:val="21"/>
          <w:szCs w:val="21"/>
        </w:rPr>
        <w:t>The gap in average review score (4.34 vs. 2.64) is stark: late delivery is associated with a 1.7-point drop in satisfaction. This is not merely a convenience issue</w:t>
      </w:r>
      <w:r>
        <w:rPr>
          <w:rFonts w:hint="default" w:cs="Arial"/>
          <w:color w:val="2D3748"/>
          <w:sz w:val="21"/>
          <w:szCs w:val="21"/>
          <w:lang w:val="en-US"/>
        </w:rPr>
        <w:t xml:space="preserve">, </w:t>
      </w:r>
      <w:r>
        <w:rPr>
          <w:rFonts w:ascii="Arial" w:hAnsi="Arial" w:eastAsia="Arial" w:cs="Arial"/>
          <w:color w:val="2D3748"/>
          <w:sz w:val="21"/>
          <w:szCs w:val="21"/>
        </w:rPr>
        <w:t>it is a reputation risk given that review scores influence marketplace trust.</w:t>
      </w:r>
    </w:p>
    <w:p w14:paraId="5D330DAE">
      <w:pPr>
        <w:spacing w:before="0" w:after="0"/>
      </w:pPr>
    </w:p>
    <w:p w14:paraId="4C2268F3">
      <w:pPr>
        <w:spacing w:before="0" w:after="0"/>
      </w:pPr>
    </w:p>
    <w:p w14:paraId="42B708ED">
      <w:pPr>
        <w:spacing w:before="0" w:after="0"/>
      </w:pPr>
    </w:p>
    <w:p w14:paraId="3C96C26E">
      <w:pPr>
        <w:spacing w:before="0" w:after="0"/>
      </w:pPr>
    </w:p>
    <w:p w14:paraId="2F6DF216">
      <w:pPr>
        <w:spacing w:before="0" w:after="0"/>
      </w:pPr>
    </w:p>
    <w:p w14:paraId="175353F2">
      <w:pPr>
        <w:spacing w:before="0" w:after="0"/>
      </w:pPr>
    </w:p>
    <w:p w14:paraId="1C16FDBC">
      <w:pPr>
        <w:pBdr>
          <w:bottom w:val="single" w:color="0E7C7B" w:sz="8" w:space="4"/>
        </w:pBdr>
        <w:spacing w:before="360" w:after="120"/>
      </w:pPr>
      <w:r>
        <w:rPr>
          <w:rFonts w:ascii="Arial" w:hAnsi="Arial" w:eastAsia="Arial" w:cs="Arial"/>
          <w:b/>
          <w:bCs/>
          <w:color w:val="1B3A6B"/>
          <w:sz w:val="32"/>
          <w:szCs w:val="32"/>
        </w:rPr>
        <w:t>3. Hypotheses &amp; Statistical Testing</w:t>
      </w:r>
    </w:p>
    <w:p w14:paraId="589FBA48">
      <w:pPr>
        <w:spacing w:before="240" w:after="80"/>
      </w:pPr>
      <w:r>
        <w:rPr>
          <w:rFonts w:ascii="Arial" w:hAnsi="Arial" w:eastAsia="Arial" w:cs="Arial"/>
          <w:b/>
          <w:bCs/>
          <w:color w:val="0E7C7B"/>
          <w:sz w:val="26"/>
          <w:szCs w:val="26"/>
        </w:rPr>
        <w:t>Hypothesis 1: Late Delivery Causes Lower Review Scores</w:t>
      </w:r>
    </w:p>
    <w:p w14:paraId="3075CAE8">
      <w:pPr>
        <w:spacing w:before="60" w:after="120"/>
        <w:jc w:val="both"/>
      </w:pPr>
      <w:r>
        <w:rPr>
          <w:rFonts w:ascii="Arial" w:hAnsi="Arial" w:eastAsia="Arial" w:cs="Arial"/>
          <w:color w:val="2D3748"/>
          <w:sz w:val="21"/>
          <w:szCs w:val="21"/>
        </w:rPr>
        <w:t>Observed pattern: the EDA shows a clear separation in review scores between on-time and late deliveries. We test whether this difference is statistically significant or could be due to chance.</w:t>
      </w:r>
    </w:p>
    <w:p w14:paraId="0F22752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ABA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1D47B24A">
            <w:pPr>
              <w:jc w:val="center"/>
            </w:pPr>
            <w:r>
              <w:rPr>
                <w:rFonts w:ascii="Arial" w:hAnsi="Arial" w:eastAsia="Arial" w:cs="Arial"/>
                <w:b/>
                <w:bCs/>
                <w:color w:val="FFFFFF"/>
                <w:sz w:val="19"/>
                <w:szCs w:val="19"/>
              </w:rPr>
              <w:t>Component</w:t>
            </w:r>
          </w:p>
        </w:tc>
        <w:tc>
          <w:tcPr>
            <w:tcW w:w="70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444E0D05">
            <w:pPr>
              <w:jc w:val="center"/>
            </w:pPr>
            <w:r>
              <w:rPr>
                <w:rFonts w:ascii="Arial" w:hAnsi="Arial" w:eastAsia="Arial" w:cs="Arial"/>
                <w:b/>
                <w:bCs/>
                <w:color w:val="FFFFFF"/>
                <w:sz w:val="19"/>
                <w:szCs w:val="19"/>
              </w:rPr>
              <w:t>Detail</w:t>
            </w:r>
          </w:p>
        </w:tc>
      </w:tr>
      <w:tr w14:paraId="663F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0226EAF3">
            <w:pPr>
              <w:jc w:val="left"/>
            </w:pPr>
            <w:r>
              <w:rPr>
                <w:rFonts w:ascii="Arial" w:hAnsi="Arial" w:eastAsia="Arial" w:cs="Arial"/>
                <w:b w:val="0"/>
                <w:bCs w:val="0"/>
                <w:color w:val="2D3748"/>
                <w:sz w:val="19"/>
                <w:szCs w:val="19"/>
              </w:rPr>
              <w:t>H₀ (Null)</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6953E028">
            <w:pPr>
              <w:jc w:val="left"/>
            </w:pPr>
            <w:r>
              <w:rPr>
                <w:rFonts w:ascii="Arial" w:hAnsi="Arial" w:eastAsia="Arial" w:cs="Arial"/>
                <w:b w:val="0"/>
                <w:bCs w:val="0"/>
                <w:color w:val="2D3748"/>
                <w:sz w:val="19"/>
                <w:szCs w:val="19"/>
              </w:rPr>
              <w:t>Review scores for late deliveries are not significantly different from on-time deliveries.</w:t>
            </w:r>
          </w:p>
        </w:tc>
      </w:tr>
      <w:tr w14:paraId="5B53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188AB157">
            <w:pPr>
              <w:jc w:val="left"/>
            </w:pPr>
            <w:r>
              <w:rPr>
                <w:rFonts w:ascii="Arial" w:hAnsi="Arial" w:eastAsia="Arial" w:cs="Arial"/>
                <w:b w:val="0"/>
                <w:bCs w:val="0"/>
                <w:color w:val="2D3748"/>
                <w:sz w:val="19"/>
                <w:szCs w:val="19"/>
              </w:rPr>
              <w:t>H₁ (Alternative)</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7F1842CB">
            <w:pPr>
              <w:jc w:val="left"/>
            </w:pPr>
            <w:r>
              <w:rPr>
                <w:rFonts w:ascii="Arial" w:hAnsi="Arial" w:eastAsia="Arial" w:cs="Arial"/>
                <w:b w:val="0"/>
                <w:bCs w:val="0"/>
                <w:color w:val="2D3748"/>
                <w:sz w:val="19"/>
                <w:szCs w:val="19"/>
              </w:rPr>
              <w:t>Late deliveries receive significantly lower review scores than on-time deliveries.</w:t>
            </w:r>
          </w:p>
        </w:tc>
      </w:tr>
      <w:tr w14:paraId="66C7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26CD3688">
            <w:pPr>
              <w:jc w:val="left"/>
            </w:pPr>
            <w:r>
              <w:rPr>
                <w:rFonts w:ascii="Arial" w:hAnsi="Arial" w:eastAsia="Arial" w:cs="Arial"/>
                <w:b w:val="0"/>
                <w:bCs w:val="0"/>
                <w:color w:val="2D3748"/>
                <w:sz w:val="19"/>
                <w:szCs w:val="19"/>
              </w:rPr>
              <w:t>Test Used</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2239790">
            <w:pPr>
              <w:jc w:val="left"/>
            </w:pPr>
            <w:r>
              <w:rPr>
                <w:rFonts w:ascii="Arial" w:hAnsi="Arial" w:eastAsia="Arial" w:cs="Arial"/>
                <w:b w:val="0"/>
                <w:bCs w:val="0"/>
                <w:color w:val="2D3748"/>
                <w:sz w:val="19"/>
                <w:szCs w:val="19"/>
              </w:rPr>
              <w:t>Mann-Whitney U (non-parametric, appropriate for ordinal 1–5 rating data that violates normality assumptions).</w:t>
            </w:r>
          </w:p>
        </w:tc>
      </w:tr>
      <w:tr w14:paraId="25ED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14DB219A">
            <w:pPr>
              <w:jc w:val="left"/>
            </w:pPr>
            <w:r>
              <w:rPr>
                <w:rFonts w:ascii="Arial" w:hAnsi="Arial" w:eastAsia="Arial" w:cs="Arial"/>
                <w:b w:val="0"/>
                <w:bCs w:val="0"/>
                <w:color w:val="2D3748"/>
                <w:sz w:val="19"/>
                <w:szCs w:val="19"/>
              </w:rPr>
              <w:t>Late Delivery Avg</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0BC9DCDF">
            <w:pPr>
              <w:jc w:val="left"/>
            </w:pPr>
            <w:r>
              <w:rPr>
                <w:rFonts w:ascii="Arial" w:hAnsi="Arial" w:eastAsia="Arial" w:cs="Arial"/>
                <w:b w:val="0"/>
                <w:bCs w:val="0"/>
                <w:color w:val="2D3748"/>
                <w:sz w:val="19"/>
                <w:szCs w:val="19"/>
              </w:rPr>
              <w:t>2.64 / 5</w:t>
            </w:r>
          </w:p>
        </w:tc>
      </w:tr>
      <w:tr w14:paraId="492A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18AF9B1F">
            <w:pPr>
              <w:jc w:val="left"/>
            </w:pPr>
            <w:r>
              <w:rPr>
                <w:rFonts w:ascii="Arial" w:hAnsi="Arial" w:eastAsia="Arial" w:cs="Arial"/>
                <w:b w:val="0"/>
                <w:bCs w:val="0"/>
                <w:color w:val="2D3748"/>
                <w:sz w:val="19"/>
                <w:szCs w:val="19"/>
              </w:rPr>
              <w:t>On-time Avg</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63C57FA">
            <w:pPr>
              <w:jc w:val="left"/>
            </w:pPr>
            <w:r>
              <w:rPr>
                <w:rFonts w:ascii="Arial" w:hAnsi="Arial" w:eastAsia="Arial" w:cs="Arial"/>
                <w:b w:val="0"/>
                <w:bCs w:val="0"/>
                <w:color w:val="2D3748"/>
                <w:sz w:val="19"/>
                <w:szCs w:val="19"/>
              </w:rPr>
              <w:t>4.34 / 5</w:t>
            </w:r>
          </w:p>
        </w:tc>
      </w:tr>
      <w:tr w14:paraId="3159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0375A8DE">
            <w:pPr>
              <w:jc w:val="left"/>
            </w:pPr>
            <w:r>
              <w:rPr>
                <w:rFonts w:ascii="Arial" w:hAnsi="Arial" w:eastAsia="Arial" w:cs="Arial"/>
                <w:b w:val="0"/>
                <w:bCs w:val="0"/>
                <w:color w:val="2D3748"/>
                <w:sz w:val="19"/>
                <w:szCs w:val="19"/>
              </w:rPr>
              <w:t>P-value</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DB517D0">
            <w:pPr>
              <w:jc w:val="left"/>
            </w:pPr>
            <w:r>
              <w:rPr>
                <w:rFonts w:ascii="Arial" w:hAnsi="Arial" w:eastAsia="Arial" w:cs="Arial"/>
                <w:b/>
                <w:bCs/>
                <w:color w:val="2D3748"/>
                <w:sz w:val="19"/>
                <w:szCs w:val="19"/>
              </w:rPr>
              <w:t>&lt; 0.0001 (far below the 0.05 significance threshold)</w:t>
            </w:r>
          </w:p>
        </w:tc>
      </w:tr>
      <w:tr w14:paraId="263D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48338066">
            <w:pPr>
              <w:jc w:val="left"/>
            </w:pPr>
            <w:r>
              <w:rPr>
                <w:rFonts w:ascii="Arial" w:hAnsi="Arial" w:eastAsia="Arial" w:cs="Arial"/>
                <w:b/>
                <w:bCs/>
                <w:color w:val="2D3748"/>
                <w:sz w:val="19"/>
                <w:szCs w:val="19"/>
              </w:rPr>
              <w:t>Verdict</w:t>
            </w:r>
          </w:p>
        </w:tc>
        <w:tc>
          <w:tcPr>
            <w:tcW w:w="702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09203340">
            <w:pPr>
              <w:jc w:val="left"/>
            </w:pPr>
            <w:r>
              <w:rPr>
                <w:rFonts w:ascii="Arial" w:hAnsi="Arial" w:eastAsia="Arial" w:cs="Arial"/>
                <w:b/>
                <w:bCs/>
                <w:color w:val="2D3748"/>
                <w:sz w:val="19"/>
                <w:szCs w:val="19"/>
              </w:rPr>
              <w:t>Reject H₀. Delivery delay is strongly and significantly associated with lower customer review scores.</w:t>
            </w:r>
          </w:p>
        </w:tc>
      </w:tr>
    </w:tbl>
    <w:p w14:paraId="05D3291D">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E5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E7C7B" w:sz="12" w:space="0"/>
              <w:bottom w:val="nil"/>
              <w:right w:val="nil"/>
            </w:tcBorders>
            <w:shd w:val="clear" w:color="auto" w:fill="E8F4F8"/>
            <w:tcMar>
              <w:top w:w="100" w:type="dxa"/>
              <w:left w:w="180" w:type="dxa"/>
              <w:bottom w:w="100" w:type="dxa"/>
              <w:right w:w="180" w:type="dxa"/>
            </w:tcMar>
          </w:tcPr>
          <w:p w14:paraId="3470A222">
            <w:pPr>
              <w:spacing w:before="0" w:after="40"/>
            </w:pPr>
            <w:r>
              <w:rPr>
                <w:rFonts w:ascii="Arial" w:hAnsi="Arial" w:eastAsia="Arial" w:cs="Arial"/>
                <w:b/>
                <w:bCs/>
                <w:color w:val="1B3A6B"/>
                <w:sz w:val="19"/>
                <w:szCs w:val="19"/>
              </w:rPr>
              <w:t>Interpretation</w:t>
            </w:r>
          </w:p>
          <w:p w14:paraId="10600C5C">
            <w:pPr>
              <w:spacing w:before="0" w:after="0"/>
              <w:jc w:val="both"/>
            </w:pPr>
            <w:r>
              <w:rPr>
                <w:rFonts w:ascii="Arial" w:hAnsi="Arial" w:eastAsia="Arial" w:cs="Arial"/>
                <w:b/>
                <w:bCs/>
                <w:color w:val="2D3748"/>
                <w:sz w:val="20"/>
                <w:szCs w:val="20"/>
              </w:rPr>
              <w:t>This is not merely a correlation</w:t>
            </w:r>
            <w:r>
              <w:rPr>
                <w:rFonts w:hint="default" w:cs="Arial"/>
                <w:b/>
                <w:bCs/>
                <w:color w:val="2D3748"/>
                <w:sz w:val="20"/>
                <w:szCs w:val="20"/>
                <w:lang w:val="en-US"/>
              </w:rPr>
              <w:t>,</w:t>
            </w:r>
            <w:r>
              <w:rPr>
                <w:rFonts w:ascii="Arial" w:hAnsi="Arial" w:eastAsia="Arial" w:cs="Arial"/>
                <w:b/>
                <w:bCs/>
                <w:color w:val="2D3748"/>
                <w:sz w:val="20"/>
                <w:szCs w:val="20"/>
              </w:rPr>
              <w:t xml:space="preserve"> the causal chain is intuitive:</w:t>
            </w:r>
            <w:r>
              <w:rPr>
                <w:rFonts w:ascii="Arial" w:hAnsi="Arial" w:eastAsia="Arial" w:cs="Arial"/>
                <w:color w:val="2D3748"/>
                <w:sz w:val="20"/>
                <w:szCs w:val="20"/>
              </w:rPr>
              <w:t xml:space="preserve"> a delayed package creates customer frustration, which translates directly to a lower rating. Because review scores are public-facing, each late delivery has a multiplier effect: it depresses the seller’s and platform’s reputation, potentially reducing future conversion rates for other customers browsing the same product.</w:t>
            </w:r>
          </w:p>
        </w:tc>
      </w:tr>
    </w:tbl>
    <w:p w14:paraId="4370CAE2">
      <w:pPr>
        <w:spacing w:before="0" w:after="0"/>
      </w:pPr>
    </w:p>
    <w:p w14:paraId="54764941">
      <w:pPr>
        <w:spacing w:before="240" w:after="80"/>
      </w:pPr>
      <w:r>
        <w:rPr>
          <w:rFonts w:ascii="Arial" w:hAnsi="Arial" w:eastAsia="Arial" w:cs="Arial"/>
          <w:b/>
          <w:bCs/>
          <w:color w:val="0E7C7B"/>
          <w:sz w:val="26"/>
          <w:szCs w:val="26"/>
        </w:rPr>
        <w:t>Hypothesis 2: Repeat Customers Are Associated with Higher-Spending Segments</w:t>
      </w:r>
    </w:p>
    <w:p w14:paraId="69AF4479">
      <w:pPr>
        <w:spacing w:before="60" w:after="120"/>
        <w:jc w:val="both"/>
      </w:pPr>
      <w:r>
        <w:rPr>
          <w:rFonts w:ascii="Arial" w:hAnsi="Arial" w:eastAsia="Arial" w:cs="Arial"/>
          <w:color w:val="2D3748"/>
          <w:sz w:val="21"/>
          <w:szCs w:val="21"/>
        </w:rPr>
        <w:t>Having observed that repeat customers spend far more on average, we formally test whether the association between customer type (one-time vs. repeat) and spending segment (high vs. low, split at the median) is statistically significant.</w:t>
      </w:r>
    </w:p>
    <w:p w14:paraId="730CD08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6C41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0E485318">
            <w:pPr>
              <w:jc w:val="center"/>
            </w:pPr>
            <w:r>
              <w:rPr>
                <w:rFonts w:ascii="Arial" w:hAnsi="Arial" w:eastAsia="Arial" w:cs="Arial"/>
                <w:b/>
                <w:bCs/>
                <w:color w:val="FFFFFF"/>
                <w:sz w:val="19"/>
                <w:szCs w:val="19"/>
              </w:rPr>
              <w:t>Component</w:t>
            </w:r>
          </w:p>
        </w:tc>
        <w:tc>
          <w:tcPr>
            <w:tcW w:w="7020" w:type="dxa"/>
            <w:tcBorders>
              <w:top w:val="single" w:color="B0C4D8" w:sz="0" w:space="0"/>
              <w:left w:val="single" w:color="B0C4D8" w:sz="0" w:space="0"/>
              <w:bottom w:val="single" w:color="B0C4D8" w:sz="0" w:space="0"/>
              <w:right w:val="single" w:color="B0C4D8" w:sz="0" w:space="0"/>
            </w:tcBorders>
            <w:shd w:val="clear" w:color="auto" w:fill="1B3A6B"/>
            <w:tcMar>
              <w:top w:w="80" w:type="dxa"/>
              <w:left w:w="120" w:type="dxa"/>
              <w:bottom w:w="80" w:type="dxa"/>
              <w:right w:w="120" w:type="dxa"/>
            </w:tcMar>
          </w:tcPr>
          <w:p w14:paraId="7452A2CC">
            <w:pPr>
              <w:jc w:val="center"/>
            </w:pPr>
            <w:r>
              <w:rPr>
                <w:rFonts w:ascii="Arial" w:hAnsi="Arial" w:eastAsia="Arial" w:cs="Arial"/>
                <w:b/>
                <w:bCs/>
                <w:color w:val="FFFFFF"/>
                <w:sz w:val="19"/>
                <w:szCs w:val="19"/>
              </w:rPr>
              <w:t>Detail</w:t>
            </w:r>
          </w:p>
        </w:tc>
      </w:tr>
      <w:tr w14:paraId="5270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4066E4D3">
            <w:pPr>
              <w:jc w:val="left"/>
            </w:pPr>
            <w:r>
              <w:rPr>
                <w:rFonts w:ascii="Arial" w:hAnsi="Arial" w:eastAsia="Arial" w:cs="Arial"/>
                <w:b w:val="0"/>
                <w:bCs w:val="0"/>
                <w:color w:val="2D3748"/>
                <w:sz w:val="19"/>
                <w:szCs w:val="19"/>
              </w:rPr>
              <w:t>H₀ (Null)</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7B175139">
            <w:pPr>
              <w:jc w:val="left"/>
            </w:pPr>
            <w:r>
              <w:rPr>
                <w:rFonts w:ascii="Arial" w:hAnsi="Arial" w:eastAsia="Arial" w:cs="Arial"/>
                <w:b w:val="0"/>
                <w:bCs w:val="0"/>
                <w:color w:val="2D3748"/>
                <w:sz w:val="19"/>
                <w:szCs w:val="19"/>
              </w:rPr>
              <w:t>Customer type (one-time vs. repeat) is independent of spending segment (high vs. low).</w:t>
            </w:r>
          </w:p>
        </w:tc>
      </w:tr>
      <w:tr w14:paraId="6ADA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051F2CF4">
            <w:pPr>
              <w:jc w:val="left"/>
            </w:pPr>
            <w:r>
              <w:rPr>
                <w:rFonts w:ascii="Arial" w:hAnsi="Arial" w:eastAsia="Arial" w:cs="Arial"/>
                <w:b w:val="0"/>
                <w:bCs w:val="0"/>
                <w:color w:val="2D3748"/>
                <w:sz w:val="19"/>
                <w:szCs w:val="19"/>
              </w:rPr>
              <w:t>H₁ (Alternative)</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C1FFED0">
            <w:pPr>
              <w:jc w:val="left"/>
            </w:pPr>
            <w:r>
              <w:rPr>
                <w:rFonts w:ascii="Arial" w:hAnsi="Arial" w:eastAsia="Arial" w:cs="Arial"/>
                <w:b w:val="0"/>
                <w:bCs w:val="0"/>
                <w:color w:val="2D3748"/>
                <w:sz w:val="19"/>
                <w:szCs w:val="19"/>
              </w:rPr>
              <w:t>Repeat customers are disproportionately associated with the high-spend segment.</w:t>
            </w:r>
          </w:p>
        </w:tc>
      </w:tr>
      <w:tr w14:paraId="25CE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7D05AD15">
            <w:pPr>
              <w:jc w:val="left"/>
            </w:pPr>
            <w:r>
              <w:rPr>
                <w:rFonts w:ascii="Arial" w:hAnsi="Arial" w:eastAsia="Arial" w:cs="Arial"/>
                <w:b w:val="0"/>
                <w:bCs w:val="0"/>
                <w:color w:val="2D3748"/>
                <w:sz w:val="19"/>
                <w:szCs w:val="19"/>
              </w:rPr>
              <w:t>Test Used</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3F406289">
            <w:pPr>
              <w:jc w:val="left"/>
            </w:pPr>
            <w:r>
              <w:rPr>
                <w:rFonts w:ascii="Arial" w:hAnsi="Arial" w:eastAsia="Arial" w:cs="Arial"/>
                <w:b w:val="0"/>
                <w:bCs w:val="0"/>
                <w:color w:val="2D3748"/>
                <w:sz w:val="19"/>
                <w:szCs w:val="19"/>
              </w:rPr>
              <w:t>Chi-Square Test of Independence (both variables are categorical; sample sizes are large enough to meet expected-frequency assumptions).</w:t>
            </w:r>
          </w:p>
        </w:tc>
      </w:tr>
      <w:tr w14:paraId="2847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1A6D6784">
            <w:pPr>
              <w:jc w:val="left"/>
            </w:pPr>
            <w:r>
              <w:rPr>
                <w:rFonts w:ascii="Arial" w:hAnsi="Arial" w:eastAsia="Arial" w:cs="Arial"/>
                <w:b w:val="0"/>
                <w:bCs w:val="0"/>
                <w:color w:val="2D3748"/>
                <w:sz w:val="19"/>
                <w:szCs w:val="19"/>
              </w:rPr>
              <w:t>Contingency Table</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4008F6ED">
            <w:pPr>
              <w:jc w:val="left"/>
            </w:pPr>
            <w:r>
              <w:rPr>
                <w:rFonts w:ascii="Arial" w:hAnsi="Arial" w:eastAsia="Arial" w:cs="Arial"/>
                <w:b w:val="0"/>
                <w:bCs w:val="0"/>
                <w:color w:val="2D3748"/>
                <w:sz w:val="19"/>
                <w:szCs w:val="19"/>
              </w:rPr>
              <w:t>Repeat Customers: ~68% fall in High-Spend segment. One-time Customers: ~49% fall in High-Spend segment.</w:t>
            </w:r>
          </w:p>
        </w:tc>
      </w:tr>
      <w:tr w14:paraId="4E74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0F4F8"/>
            <w:tcMar>
              <w:top w:w="70" w:type="dxa"/>
              <w:left w:w="120" w:type="dxa"/>
              <w:bottom w:w="70" w:type="dxa"/>
              <w:right w:w="120" w:type="dxa"/>
            </w:tcMar>
            <w:vAlign w:val="center"/>
          </w:tcPr>
          <w:p w14:paraId="4FF78B1C">
            <w:pPr>
              <w:jc w:val="left"/>
            </w:pPr>
            <w:r>
              <w:rPr>
                <w:rFonts w:ascii="Arial" w:hAnsi="Arial" w:eastAsia="Arial" w:cs="Arial"/>
                <w:b w:val="0"/>
                <w:bCs w:val="0"/>
                <w:color w:val="2D3748"/>
                <w:sz w:val="19"/>
                <w:szCs w:val="19"/>
              </w:rPr>
              <w:t>P-value</w:t>
            </w:r>
          </w:p>
        </w:tc>
        <w:tc>
          <w:tcPr>
            <w:tcW w:w="7020" w:type="dxa"/>
            <w:tcBorders>
              <w:top w:val="single" w:color="DDDDDD" w:sz="0" w:space="0"/>
              <w:left w:val="single" w:color="DDDDDD" w:sz="0" w:space="0"/>
              <w:bottom w:val="single" w:color="DDDDDD" w:sz="0" w:space="0"/>
              <w:right w:val="single" w:color="DDDDDD" w:sz="0" w:space="0"/>
            </w:tcBorders>
            <w:shd w:val="clear" w:color="auto" w:fill="FFFFFF"/>
            <w:tcMar>
              <w:top w:w="70" w:type="dxa"/>
              <w:left w:w="120" w:type="dxa"/>
              <w:bottom w:w="70" w:type="dxa"/>
              <w:right w:w="120" w:type="dxa"/>
            </w:tcMar>
            <w:vAlign w:val="center"/>
          </w:tcPr>
          <w:p w14:paraId="167EF720">
            <w:pPr>
              <w:jc w:val="left"/>
            </w:pPr>
            <w:r>
              <w:rPr>
                <w:rFonts w:ascii="Arial" w:hAnsi="Arial" w:eastAsia="Arial" w:cs="Arial"/>
                <w:b/>
                <w:bCs/>
                <w:color w:val="2D3748"/>
                <w:sz w:val="19"/>
                <w:szCs w:val="19"/>
              </w:rPr>
              <w:t>&lt; 0.0001</w:t>
            </w:r>
          </w:p>
        </w:tc>
      </w:tr>
      <w:tr w14:paraId="3C80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6649654C">
            <w:pPr>
              <w:jc w:val="left"/>
            </w:pPr>
            <w:r>
              <w:rPr>
                <w:rFonts w:ascii="Arial" w:hAnsi="Arial" w:eastAsia="Arial" w:cs="Arial"/>
                <w:b/>
                <w:bCs/>
                <w:color w:val="2D3748"/>
                <w:sz w:val="19"/>
                <w:szCs w:val="19"/>
              </w:rPr>
              <w:t>Verdict</w:t>
            </w:r>
          </w:p>
        </w:tc>
        <w:tc>
          <w:tcPr>
            <w:tcW w:w="7020" w:type="dxa"/>
            <w:tcBorders>
              <w:top w:val="single" w:color="DDDDDD" w:sz="0" w:space="0"/>
              <w:left w:val="single" w:color="DDDDDD" w:sz="0" w:space="0"/>
              <w:bottom w:val="single" w:color="DDDDDD" w:sz="0" w:space="0"/>
              <w:right w:val="single" w:color="DDDDDD" w:sz="0" w:space="0"/>
            </w:tcBorders>
            <w:shd w:val="clear" w:color="auto" w:fill="E6F4EE"/>
            <w:tcMar>
              <w:top w:w="70" w:type="dxa"/>
              <w:left w:w="120" w:type="dxa"/>
              <w:bottom w:w="70" w:type="dxa"/>
              <w:right w:w="120" w:type="dxa"/>
            </w:tcMar>
            <w:vAlign w:val="center"/>
          </w:tcPr>
          <w:p w14:paraId="38769DBB">
            <w:pPr>
              <w:jc w:val="left"/>
            </w:pPr>
            <w:r>
              <w:rPr>
                <w:rFonts w:ascii="Arial" w:hAnsi="Arial" w:eastAsia="Arial" w:cs="Arial"/>
                <w:b/>
                <w:bCs/>
                <w:color w:val="2D3748"/>
                <w:sz w:val="19"/>
                <w:szCs w:val="19"/>
              </w:rPr>
              <w:t>Reject H₀. Repeat customers are significantly more likely to be high-spend customers.</w:t>
            </w:r>
          </w:p>
        </w:tc>
      </w:tr>
    </w:tbl>
    <w:p w14:paraId="7689E499">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97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E7C7B" w:sz="12" w:space="0"/>
              <w:bottom w:val="nil"/>
              <w:right w:val="nil"/>
            </w:tcBorders>
            <w:shd w:val="clear" w:color="auto" w:fill="E8F4F8"/>
            <w:tcMar>
              <w:top w:w="100" w:type="dxa"/>
              <w:left w:w="180" w:type="dxa"/>
              <w:bottom w:w="100" w:type="dxa"/>
              <w:right w:w="180" w:type="dxa"/>
            </w:tcMar>
          </w:tcPr>
          <w:p w14:paraId="2605F187">
            <w:pPr>
              <w:spacing w:before="0" w:after="40"/>
            </w:pPr>
            <w:r>
              <w:rPr>
                <w:rFonts w:ascii="Arial" w:hAnsi="Arial" w:eastAsia="Arial" w:cs="Arial"/>
                <w:b/>
                <w:bCs/>
                <w:color w:val="1B3A6B"/>
                <w:sz w:val="19"/>
                <w:szCs w:val="19"/>
              </w:rPr>
              <w:t>Interpretation</w:t>
            </w:r>
          </w:p>
          <w:p w14:paraId="5D242EC5">
            <w:pPr>
              <w:spacing w:before="0" w:after="0"/>
              <w:jc w:val="both"/>
            </w:pPr>
            <w:r>
              <w:rPr>
                <w:rFonts w:ascii="Arial" w:hAnsi="Arial" w:eastAsia="Arial" w:cs="Arial"/>
                <w:color w:val="2D3748"/>
                <w:sz w:val="20"/>
                <w:szCs w:val="20"/>
              </w:rPr>
              <w:t>Repeat customers are not simply buying the same item twice at a lower price</w:t>
            </w:r>
            <w:r>
              <w:rPr>
                <w:rFonts w:hint="default" w:cs="Arial"/>
                <w:color w:val="2D3748"/>
                <w:sz w:val="20"/>
                <w:szCs w:val="20"/>
                <w:lang w:val="en-US"/>
              </w:rPr>
              <w:t xml:space="preserve">, </w:t>
            </w:r>
            <w:r>
              <w:rPr>
                <w:rFonts w:ascii="Arial" w:hAnsi="Arial" w:eastAsia="Arial" w:cs="Arial"/>
                <w:color w:val="2D3748"/>
                <w:sz w:val="20"/>
                <w:szCs w:val="20"/>
              </w:rPr>
              <w:t>they are spending significantly more in total, suggesting they broaden their product exploration on the platform over time. This validates the business case for retention investment: converting a one-time buyer into a repeat buyer is likely to yield a customer who buys across multiple categories and at higher transaction values.</w:t>
            </w:r>
          </w:p>
        </w:tc>
      </w:tr>
    </w:tbl>
    <w:p w14:paraId="3FD529E5">
      <w:pPr>
        <w:spacing w:before="0" w:after="0"/>
      </w:pPr>
    </w:p>
    <w:p w14:paraId="196D3BD6">
      <w:pPr>
        <w:pBdr>
          <w:bottom w:val="single" w:color="0E7C7B" w:sz="8" w:space="4"/>
        </w:pBdr>
        <w:spacing w:before="360" w:after="120"/>
      </w:pPr>
      <w:r>
        <w:rPr>
          <w:rFonts w:ascii="Arial" w:hAnsi="Arial" w:eastAsia="Arial" w:cs="Arial"/>
          <w:b/>
          <w:bCs/>
          <w:color w:val="1B3A6B"/>
          <w:sz w:val="32"/>
          <w:szCs w:val="32"/>
        </w:rPr>
        <w:t>4. Actionable Recommendations</w:t>
      </w:r>
    </w:p>
    <w:p w14:paraId="4E58284F">
      <w:pPr>
        <w:spacing w:before="240" w:after="80"/>
      </w:pPr>
      <w:r>
        <w:rPr>
          <w:rFonts w:ascii="Arial" w:hAnsi="Arial" w:eastAsia="Arial" w:cs="Arial"/>
          <w:b/>
          <w:bCs/>
          <w:color w:val="0E7C7B"/>
          <w:sz w:val="26"/>
          <w:szCs w:val="26"/>
        </w:rPr>
        <w:t>Actionable 1: Launch a Post-Purchase Retention Programme</w:t>
      </w:r>
    </w:p>
    <w:p w14:paraId="445C21D0">
      <w:pPr>
        <w:pStyle w:val="15"/>
        <w:keepNext w:val="0"/>
        <w:keepLines w:val="0"/>
        <w:widowControl/>
        <w:suppressLineNumbers w:val="0"/>
        <w:spacing w:before="0" w:beforeAutospacing="1" w:after="0" w:afterAutospacing="1"/>
        <w:ind w:left="0" w:right="0"/>
        <w:rPr>
          <w:sz w:val="21"/>
          <w:szCs w:val="21"/>
        </w:rPr>
      </w:pPr>
      <w:r>
        <w:rPr>
          <w:sz w:val="21"/>
          <w:szCs w:val="21"/>
        </w:rPr>
        <w:t>The data makes the case compellingly: 97% of customers never return, yet those who do spend ~1.9× more per order ($308 vs. $161) and tend to broaden their category purchases over time. The highest-ROI intervention is a structured post-purchase lifecycle campaign targeting the 25,000+ Potential Loyalists (recent one-time buyers who have not yet been lost).</w:t>
      </w:r>
    </w:p>
    <w:p w14:paraId="62D271EF">
      <w:pPr>
        <w:keepNext w:val="0"/>
        <w:keepLines w:val="0"/>
        <w:widowControl/>
        <w:numPr>
          <w:ilvl w:val="0"/>
          <w:numId w:val="2"/>
        </w:numPr>
        <w:suppressLineNumbers w:val="0"/>
        <w:spacing w:before="0" w:beforeAutospacing="1" w:after="0" w:afterAutospacing="1"/>
        <w:ind w:left="720" w:hanging="360"/>
        <w:rPr>
          <w:sz w:val="21"/>
          <w:szCs w:val="21"/>
        </w:rPr>
      </w:pPr>
      <w:r>
        <w:rPr>
          <w:rStyle w:val="16"/>
          <w:sz w:val="21"/>
          <w:szCs w:val="21"/>
        </w:rPr>
        <w:t>Second-purchase coupon:</w:t>
      </w:r>
      <w:r>
        <w:rPr>
          <w:sz w:val="21"/>
          <w:szCs w:val="21"/>
        </w:rPr>
        <w:t xml:space="preserve"> Trigger a time-limited (14-day) discount of 10–15% delivered by email within 48 hours of delivery confirmation.</w:t>
      </w:r>
    </w:p>
    <w:p w14:paraId="4EC5B29E">
      <w:pPr>
        <w:keepNext w:val="0"/>
        <w:keepLines w:val="0"/>
        <w:widowControl/>
        <w:numPr>
          <w:ilvl w:val="0"/>
          <w:numId w:val="2"/>
        </w:numPr>
        <w:suppressLineNumbers w:val="0"/>
        <w:spacing w:before="0" w:beforeAutospacing="1" w:after="0" w:afterAutospacing="1"/>
        <w:ind w:left="720" w:hanging="360"/>
        <w:rPr>
          <w:sz w:val="21"/>
          <w:szCs w:val="21"/>
        </w:rPr>
      </w:pPr>
      <w:r>
        <w:rPr>
          <w:rStyle w:val="16"/>
          <w:sz w:val="21"/>
          <w:szCs w:val="21"/>
        </w:rPr>
        <w:t>Personalised recommendations:</w:t>
      </w:r>
      <w:r>
        <w:rPr>
          <w:sz w:val="21"/>
          <w:szCs w:val="21"/>
        </w:rPr>
        <w:t xml:space="preserve"> Based on purchased category, surface three to five complementary products or top-rated items in adjacent categories. This is where category diversity (Health &amp; Beauty vs. Electronics vs. Home) provides cross-sell leverage.</w:t>
      </w:r>
    </w:p>
    <w:p w14:paraId="4ED7B191">
      <w:pPr>
        <w:keepNext w:val="0"/>
        <w:keepLines w:val="0"/>
        <w:widowControl/>
        <w:numPr>
          <w:ilvl w:val="0"/>
          <w:numId w:val="2"/>
        </w:numPr>
        <w:suppressLineNumbers w:val="0"/>
        <w:spacing w:before="0" w:beforeAutospacing="1" w:after="0" w:afterAutospacing="1"/>
        <w:ind w:left="720" w:hanging="360"/>
        <w:rPr>
          <w:sz w:val="21"/>
          <w:szCs w:val="21"/>
        </w:rPr>
      </w:pPr>
      <w:r>
        <w:rPr>
          <w:rStyle w:val="16"/>
          <w:sz w:val="21"/>
          <w:szCs w:val="21"/>
        </w:rPr>
        <w:t>Loyalty tier preview:</w:t>
      </w:r>
      <w:r>
        <w:rPr>
          <w:sz w:val="21"/>
          <w:szCs w:val="21"/>
        </w:rPr>
        <w:t xml:space="preserve"> Show one-time buyers what benefits they would unlock after a second purchase to create forward incentive.</w:t>
      </w:r>
    </w:p>
    <w:p w14:paraId="507148F9">
      <w:pPr>
        <w:keepNext w:val="0"/>
        <w:keepLines w:val="0"/>
        <w:widowControl/>
        <w:numPr>
          <w:ilvl w:val="0"/>
          <w:numId w:val="2"/>
        </w:numPr>
        <w:suppressLineNumbers w:val="0"/>
        <w:spacing w:before="0" w:beforeAutospacing="1" w:after="0" w:afterAutospacing="1"/>
        <w:ind w:left="720" w:hanging="360"/>
        <w:rPr>
          <w:sz w:val="21"/>
          <w:szCs w:val="21"/>
        </w:rPr>
      </w:pPr>
      <w:r>
        <w:rPr>
          <w:rStyle w:val="16"/>
          <w:sz w:val="21"/>
          <w:szCs w:val="21"/>
        </w:rPr>
        <w:t>Win-back sequence for At-Risk customers:</w:t>
      </w:r>
      <w:r>
        <w:rPr>
          <w:sz w:val="21"/>
          <w:szCs w:val="21"/>
        </w:rPr>
        <w:t xml:space="preserve"> For the ~3,200 customers who purchased multiple times but have not returned in 6+ months, run a re-engagement sequence with a personalised subject line referencing their last order.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6D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F4A261" w:sz="12" w:space="0"/>
              <w:bottom w:val="nil"/>
              <w:right w:val="nil"/>
            </w:tcBorders>
            <w:shd w:val="clear" w:color="auto" w:fill="FFF8F0"/>
            <w:tcMar>
              <w:top w:w="100" w:type="dxa"/>
              <w:left w:w="180" w:type="dxa"/>
              <w:bottom w:w="100" w:type="dxa"/>
              <w:right w:w="180" w:type="dxa"/>
            </w:tcMar>
          </w:tcPr>
          <w:p w14:paraId="2A8C9CFA">
            <w:pPr>
              <w:spacing w:before="0" w:after="40"/>
            </w:pPr>
            <w:r>
              <w:rPr>
                <w:rFonts w:ascii="Arial" w:hAnsi="Arial" w:eastAsia="Arial" w:cs="Arial"/>
                <w:b/>
                <w:bCs/>
                <w:color w:val="7B4500"/>
                <w:sz w:val="19"/>
                <w:szCs w:val="19"/>
              </w:rPr>
              <w:t>Expected Impact</w:t>
            </w:r>
          </w:p>
          <w:p w14:paraId="57645C88">
            <w:pPr>
              <w:spacing w:before="0" w:after="0"/>
              <w:jc w:val="both"/>
            </w:pPr>
            <w:r>
              <w:rPr>
                <w:rFonts w:hint="default" w:ascii="Arial" w:hAnsi="Arial" w:eastAsia="SimSun" w:cs="Arial"/>
                <w:sz w:val="20"/>
                <w:szCs w:val="20"/>
              </w:rPr>
              <w:t>If the repeat rate improves from 3% to just 5%, the incremental customer base of ~1,900 repeat buyers at $308.59 average spend would generate approximately $587K in additional revenue. Over multiple repeat purchases per customer (avg 2.11 orders), the compounding effect is significantly larger making retention one of the highest-ROI levers available with no acquisition cost.</w:t>
            </w:r>
          </w:p>
        </w:tc>
      </w:tr>
    </w:tbl>
    <w:p w14:paraId="2E05C3CE">
      <w:pPr>
        <w:spacing w:before="0" w:after="0"/>
      </w:pPr>
    </w:p>
    <w:p w14:paraId="33FE65C8">
      <w:pPr>
        <w:spacing w:before="240" w:after="80"/>
      </w:pPr>
      <w:r>
        <w:rPr>
          <w:rFonts w:ascii="Arial" w:hAnsi="Arial" w:eastAsia="Arial" w:cs="Arial"/>
          <w:b/>
          <w:bCs/>
          <w:color w:val="0E7C7B"/>
          <w:sz w:val="26"/>
          <w:szCs w:val="26"/>
        </w:rPr>
        <w:t>Actionable 2: Build a Delivery Risk Monitoring System</w:t>
      </w:r>
    </w:p>
    <w:p w14:paraId="35080CB9">
      <w:pPr>
        <w:spacing w:before="60" w:after="120"/>
        <w:jc w:val="both"/>
      </w:pPr>
      <w:r>
        <w:rPr>
          <w:rFonts w:ascii="Arial" w:hAnsi="Arial" w:eastAsia="Arial" w:cs="Arial"/>
          <w:color w:val="2D3748"/>
          <w:sz w:val="21"/>
          <w:szCs w:val="21"/>
        </w:rPr>
        <w:t>With 27% of orders arriving late and a statistically confirmed link to poor reviews, delivery is the single biggest controllable driver of customer dissatisfaction. The data supports a proactive rather than reactive approach.</w:t>
      </w:r>
    </w:p>
    <w:p w14:paraId="74D33CFB">
      <w:pPr>
        <w:spacing w:before="0" w:after="0"/>
      </w:pPr>
    </w:p>
    <w:p w14:paraId="3698758D">
      <w:pPr>
        <w:pStyle w:val="18"/>
        <w:numPr>
          <w:ilvl w:val="0"/>
          <w:numId w:val="1"/>
        </w:numPr>
        <w:spacing w:before="40" w:after="40"/>
      </w:pPr>
      <w:r>
        <w:rPr>
          <w:rFonts w:ascii="Arial" w:hAnsi="Arial" w:eastAsia="Arial" w:cs="Arial"/>
          <w:b/>
          <w:bCs/>
          <w:color w:val="2D3748"/>
          <w:sz w:val="21"/>
          <w:szCs w:val="21"/>
        </w:rPr>
        <w:t>Seller-level late delivery scorecards:</w:t>
      </w:r>
      <w:r>
        <w:rPr>
          <w:rFonts w:ascii="Arial" w:hAnsi="Arial" w:eastAsia="Arial" w:cs="Arial"/>
          <w:color w:val="2D3748"/>
          <w:sz w:val="21"/>
          <w:szCs w:val="21"/>
        </w:rPr>
        <w:t xml:space="preserve"> Rank sellers by their late delivery rate and average delay. Sellers above a threshold (e.g. &gt;20% late rate) should be flagged and offered logistics support or deprioritised in search ranking until performance improves.</w:t>
      </w:r>
    </w:p>
    <w:p w14:paraId="65BA732D">
      <w:pPr>
        <w:pStyle w:val="18"/>
        <w:numPr>
          <w:ilvl w:val="0"/>
          <w:numId w:val="1"/>
        </w:numPr>
        <w:spacing w:before="40" w:after="40"/>
      </w:pPr>
      <w:r>
        <w:rPr>
          <w:rFonts w:ascii="Arial" w:hAnsi="Arial" w:eastAsia="Arial" w:cs="Arial"/>
          <w:b/>
          <w:bCs/>
          <w:color w:val="2D3748"/>
          <w:sz w:val="21"/>
          <w:szCs w:val="21"/>
        </w:rPr>
        <w:t>Proactive customer communication:</w:t>
      </w:r>
      <w:r>
        <w:rPr>
          <w:rFonts w:ascii="Arial" w:hAnsi="Arial" w:eastAsia="Arial" w:cs="Arial"/>
          <w:color w:val="2D3748"/>
          <w:sz w:val="21"/>
          <w:szCs w:val="21"/>
        </w:rPr>
        <w:t xml:space="preserve"> When an order is identified as high-risk for delay (based on seller history, carrier, or destination state), send a pre-emptive notification with an updated delivery estimate and a small goodwill offer (e.g. $10 store credit). Research consistently shows that transparent communication dramatically softens the impact of a delay on customer satisfaction.</w:t>
      </w:r>
    </w:p>
    <w:p w14:paraId="19D8DE9E">
      <w:pPr>
        <w:pStyle w:val="18"/>
        <w:numPr>
          <w:ilvl w:val="0"/>
          <w:numId w:val="1"/>
        </w:numPr>
        <w:spacing w:before="40" w:after="40"/>
      </w:pPr>
      <w:r>
        <w:rPr>
          <w:rFonts w:ascii="Arial" w:hAnsi="Arial" w:eastAsia="Arial" w:cs="Arial"/>
          <w:b/>
          <w:bCs/>
          <w:color w:val="2D3748"/>
          <w:sz w:val="21"/>
          <w:szCs w:val="21"/>
        </w:rPr>
        <w:t>Regional logistics partnerships:</w:t>
      </w:r>
      <w:r>
        <w:rPr>
          <w:rFonts w:ascii="Arial" w:hAnsi="Arial" w:eastAsia="Arial" w:cs="Arial"/>
          <w:color w:val="2D3748"/>
          <w:sz w:val="21"/>
          <w:szCs w:val="21"/>
        </w:rPr>
        <w:t xml:space="preserve"> SP dominates revenue, but delivery delays may be more prevalent in underserved states. Analyse delay rates by destination state and prioritise carrier negotiations or warehouse expansion in high-delay corridors.</w:t>
      </w:r>
    </w:p>
    <w:p w14:paraId="132D78EE">
      <w:pPr>
        <w:pStyle w:val="18"/>
        <w:numPr>
          <w:ilvl w:val="0"/>
          <w:numId w:val="1"/>
        </w:numPr>
        <w:spacing w:before="40" w:after="40"/>
      </w:pPr>
      <w:r>
        <w:rPr>
          <w:rFonts w:ascii="Arial" w:hAnsi="Arial" w:eastAsia="Arial" w:cs="Arial"/>
          <w:b/>
          <w:bCs/>
          <w:color w:val="2D3748"/>
          <w:sz w:val="21"/>
          <w:szCs w:val="21"/>
        </w:rPr>
        <w:t>Review score alert:</w:t>
      </w:r>
      <w:r>
        <w:rPr>
          <w:rFonts w:ascii="Arial" w:hAnsi="Arial" w:eastAsia="Arial" w:cs="Arial"/>
          <w:color w:val="2D3748"/>
          <w:sz w:val="21"/>
          <w:szCs w:val="21"/>
        </w:rPr>
        <w:t xml:space="preserve"> When a low review score (1 or 2) is submitted within 24 hours of a late delivery, trigger an automated customer service outreach to resolve the issue and attempt score revision.</w:t>
      </w:r>
    </w:p>
    <w:p w14:paraId="68B2608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F0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F4A261" w:sz="12" w:space="0"/>
              <w:bottom w:val="nil"/>
              <w:right w:val="nil"/>
            </w:tcBorders>
            <w:shd w:val="clear" w:color="auto" w:fill="FFF8F0"/>
            <w:tcMar>
              <w:top w:w="100" w:type="dxa"/>
              <w:left w:w="180" w:type="dxa"/>
              <w:bottom w:w="100" w:type="dxa"/>
              <w:right w:w="180" w:type="dxa"/>
            </w:tcMar>
          </w:tcPr>
          <w:p w14:paraId="5C274A65">
            <w:pPr>
              <w:spacing w:before="0" w:after="40"/>
            </w:pPr>
            <w:r>
              <w:rPr>
                <w:rFonts w:ascii="Arial" w:hAnsi="Arial" w:eastAsia="Arial" w:cs="Arial"/>
                <w:b/>
                <w:bCs/>
                <w:color w:val="7B4500"/>
                <w:sz w:val="19"/>
                <w:szCs w:val="19"/>
              </w:rPr>
              <w:t>Expected Impact</w:t>
            </w:r>
          </w:p>
          <w:p w14:paraId="57CF7708">
            <w:pPr>
              <w:spacing w:before="0" w:after="0"/>
              <w:jc w:val="both"/>
            </w:pPr>
            <w:r>
              <w:rPr>
                <w:rFonts w:ascii="Arial" w:hAnsi="Arial" w:eastAsia="Arial" w:cs="Arial"/>
                <w:color w:val="2D3748"/>
                <w:sz w:val="20"/>
                <w:szCs w:val="20"/>
              </w:rPr>
              <w:t>Reducing the late delivery rate from 27% to 20% would convert approximately 6,750 previously late orders to on-time delivery. Given the ~1.7-point review score gap, this would meaningfully lift the platform’s average rating and reduce churn linked to bad delivery experiences.</w:t>
            </w:r>
          </w:p>
        </w:tc>
      </w:tr>
    </w:tbl>
    <w:p w14:paraId="3CC91E9A">
      <w:pPr>
        <w:spacing w:before="0" w:after="0"/>
      </w:pPr>
    </w:p>
    <w:p w14:paraId="2793786C">
      <w:pPr>
        <w:pBdr>
          <w:bottom w:val="single" w:color="0E7C7B" w:sz="8" w:space="4"/>
        </w:pBdr>
        <w:spacing w:before="360" w:after="120"/>
      </w:pPr>
      <w:r>
        <w:rPr>
          <w:rFonts w:ascii="Arial" w:hAnsi="Arial" w:eastAsia="Arial" w:cs="Arial"/>
          <w:b/>
          <w:bCs/>
          <w:color w:val="1B3A6B"/>
          <w:sz w:val="32"/>
          <w:szCs w:val="32"/>
        </w:rPr>
        <w:t>5. Further Exploration</w:t>
      </w:r>
    </w:p>
    <w:p w14:paraId="353F51C4">
      <w:pPr>
        <w:spacing w:before="240" w:after="80"/>
      </w:pPr>
      <w:r>
        <w:rPr>
          <w:rFonts w:ascii="Arial" w:hAnsi="Arial" w:eastAsia="Arial" w:cs="Arial"/>
          <w:b/>
          <w:bCs/>
          <w:color w:val="0E7C7B"/>
          <w:sz w:val="26"/>
          <w:szCs w:val="26"/>
        </w:rPr>
        <w:t>Open Question: Why Are Customers Not Returning?</w:t>
      </w:r>
    </w:p>
    <w:p w14:paraId="1BC2AA98">
      <w:pPr>
        <w:spacing w:before="60" w:after="120"/>
        <w:jc w:val="both"/>
      </w:pPr>
      <w:r>
        <w:rPr>
          <w:rFonts w:ascii="Arial" w:hAnsi="Arial" w:eastAsia="Arial" w:cs="Arial"/>
          <w:color w:val="2D3748"/>
          <w:sz w:val="21"/>
          <w:szCs w:val="21"/>
        </w:rPr>
        <w:t>This is the most commercially critical unanswered question. We know that customers are not returning, and that repeat customers are significantly more valuable. But the current dataset cannot tell us why the vast majority of customers buy once and disappear. The absence of a second purchase could be explained by multiple competing mechanisms:</w:t>
      </w:r>
    </w:p>
    <w:p w14:paraId="05796DA2">
      <w:pPr>
        <w:spacing w:before="0" w:after="0"/>
      </w:pPr>
    </w:p>
    <w:p w14:paraId="02FC0019">
      <w:pPr>
        <w:pStyle w:val="18"/>
        <w:numPr>
          <w:ilvl w:val="0"/>
          <w:numId w:val="1"/>
        </w:numPr>
        <w:spacing w:before="40" w:after="40"/>
      </w:pPr>
      <w:r>
        <w:rPr>
          <w:rFonts w:ascii="Arial" w:hAnsi="Arial" w:eastAsia="Arial" w:cs="Arial"/>
          <w:b/>
          <w:bCs/>
          <w:color w:val="2D3748"/>
          <w:sz w:val="21"/>
          <w:szCs w:val="21"/>
        </w:rPr>
        <w:t>Lack of re-marketing:</w:t>
      </w:r>
      <w:r>
        <w:rPr>
          <w:rFonts w:ascii="Arial" w:hAnsi="Arial" w:eastAsia="Arial" w:cs="Arial"/>
          <w:color w:val="2D3748"/>
          <w:sz w:val="21"/>
          <w:szCs w:val="21"/>
        </w:rPr>
        <w:t xml:space="preserve"> Customers may simply not be reminded that Olist exists after their initial purchase.</w:t>
      </w:r>
    </w:p>
    <w:p w14:paraId="2BBF0795">
      <w:pPr>
        <w:pStyle w:val="18"/>
        <w:numPr>
          <w:ilvl w:val="0"/>
          <w:numId w:val="1"/>
        </w:numPr>
        <w:spacing w:before="40" w:after="40"/>
      </w:pPr>
      <w:r>
        <w:rPr>
          <w:rFonts w:ascii="Arial" w:hAnsi="Arial" w:eastAsia="Arial" w:cs="Arial"/>
          <w:b/>
          <w:bCs/>
          <w:color w:val="2D3748"/>
          <w:sz w:val="21"/>
          <w:szCs w:val="21"/>
        </w:rPr>
        <w:t>Price sensitivity:</w:t>
      </w:r>
      <w:r>
        <w:rPr>
          <w:rFonts w:ascii="Arial" w:hAnsi="Arial" w:eastAsia="Arial" w:cs="Arial"/>
          <w:color w:val="2D3748"/>
          <w:sz w:val="21"/>
          <w:szCs w:val="21"/>
        </w:rPr>
        <w:t xml:space="preserve"> Customers may find better prices on competing platforms (Mercado Livre, Amazon Brazil) for their second purchase.</w:t>
      </w:r>
    </w:p>
    <w:p w14:paraId="1B33A195">
      <w:pPr>
        <w:pStyle w:val="18"/>
        <w:numPr>
          <w:ilvl w:val="0"/>
          <w:numId w:val="1"/>
        </w:numPr>
        <w:spacing w:before="40" w:after="40"/>
      </w:pPr>
      <w:r>
        <w:rPr>
          <w:rFonts w:ascii="Arial" w:hAnsi="Arial" w:eastAsia="Arial" w:cs="Arial"/>
          <w:b/>
          <w:bCs/>
          <w:color w:val="2D3748"/>
          <w:sz w:val="21"/>
          <w:szCs w:val="21"/>
        </w:rPr>
        <w:t>Product discovery failure:</w:t>
      </w:r>
      <w:r>
        <w:rPr>
          <w:rFonts w:ascii="Arial" w:hAnsi="Arial" w:eastAsia="Arial" w:cs="Arial"/>
          <w:color w:val="2D3748"/>
          <w:sz w:val="21"/>
          <w:szCs w:val="21"/>
        </w:rPr>
        <w:t xml:space="preserve"> The post-purchase experience may not surface relevant products that inspire a return visit.</w:t>
      </w:r>
    </w:p>
    <w:p w14:paraId="4C7C338E">
      <w:pPr>
        <w:pStyle w:val="18"/>
        <w:numPr>
          <w:ilvl w:val="0"/>
          <w:numId w:val="1"/>
        </w:numPr>
        <w:spacing w:before="40" w:after="40"/>
      </w:pPr>
      <w:r>
        <w:rPr>
          <w:rFonts w:ascii="Arial" w:hAnsi="Arial" w:eastAsia="Arial" w:cs="Arial"/>
          <w:b/>
          <w:bCs/>
          <w:color w:val="2D3748"/>
          <w:sz w:val="21"/>
          <w:szCs w:val="21"/>
        </w:rPr>
        <w:t>Delivery disappointment:</w:t>
      </w:r>
      <w:r>
        <w:rPr>
          <w:rFonts w:ascii="Arial" w:hAnsi="Arial" w:eastAsia="Arial" w:cs="Arial"/>
          <w:color w:val="2D3748"/>
          <w:sz w:val="21"/>
          <w:szCs w:val="21"/>
        </w:rPr>
        <w:t xml:space="preserve"> A portion of non-returners may have experienced a bad delivery and silently churned.</w:t>
      </w:r>
    </w:p>
    <w:p w14:paraId="2F095978">
      <w:pPr>
        <w:pStyle w:val="18"/>
        <w:numPr>
          <w:ilvl w:val="0"/>
          <w:numId w:val="1"/>
        </w:numPr>
        <w:spacing w:before="40" w:after="40"/>
      </w:pPr>
      <w:r>
        <w:rPr>
          <w:rFonts w:ascii="Arial" w:hAnsi="Arial" w:eastAsia="Arial" w:cs="Arial"/>
          <w:b/>
          <w:bCs/>
          <w:color w:val="2D3748"/>
          <w:sz w:val="21"/>
          <w:szCs w:val="21"/>
        </w:rPr>
        <w:t>Category ceiling:</w:t>
      </w:r>
      <w:r>
        <w:rPr>
          <w:rFonts w:ascii="Arial" w:hAnsi="Arial" w:eastAsia="Arial" w:cs="Arial"/>
          <w:color w:val="2D3748"/>
          <w:sz w:val="21"/>
          <w:szCs w:val="21"/>
        </w:rPr>
        <w:t xml:space="preserve"> Some customers may have bought a considered purchase (e.g., a laptop) with no short-term repurchase intent.</w:t>
      </w:r>
    </w:p>
    <w:p w14:paraId="53EED257">
      <w:pPr>
        <w:spacing w:before="0" w:after="0"/>
      </w:pPr>
    </w:p>
    <w:p w14:paraId="3E30A078">
      <w:pPr>
        <w:spacing w:before="60" w:after="120"/>
        <w:jc w:val="both"/>
      </w:pPr>
      <w:r>
        <w:rPr>
          <w:rFonts w:ascii="Arial" w:hAnsi="Arial" w:eastAsia="Arial" w:cs="Arial"/>
          <w:color w:val="2D3748"/>
          <w:sz w:val="21"/>
          <w:szCs w:val="21"/>
        </w:rPr>
        <w:t>To disentangle these, the following additional data would be needed:</w:t>
      </w:r>
    </w:p>
    <w:p w14:paraId="1C1EE463">
      <w:pPr>
        <w:spacing w:before="0" w:after="0"/>
      </w:pPr>
    </w:p>
    <w:p w14:paraId="6B7168BB">
      <w:pPr>
        <w:pStyle w:val="18"/>
        <w:numPr>
          <w:ilvl w:val="0"/>
          <w:numId w:val="1"/>
        </w:numPr>
        <w:spacing w:before="40" w:after="40"/>
      </w:pPr>
      <w:r>
        <w:rPr>
          <w:rFonts w:ascii="Arial" w:hAnsi="Arial" w:eastAsia="Arial" w:cs="Arial"/>
          <w:b/>
          <w:bCs/>
          <w:color w:val="2D3748"/>
          <w:sz w:val="21"/>
          <w:szCs w:val="21"/>
        </w:rPr>
        <w:t>Marketing touchpoint data:</w:t>
      </w:r>
      <w:r>
        <w:rPr>
          <w:rFonts w:ascii="Arial" w:hAnsi="Arial" w:eastAsia="Arial" w:cs="Arial"/>
          <w:color w:val="2D3748"/>
          <w:sz w:val="21"/>
          <w:szCs w:val="21"/>
        </w:rPr>
        <w:t xml:space="preserve"> Email open rates, push notification engagement, retargeting click-throughs by cohort.</w:t>
      </w:r>
    </w:p>
    <w:p w14:paraId="6F5C8898">
      <w:pPr>
        <w:pStyle w:val="18"/>
        <w:numPr>
          <w:ilvl w:val="0"/>
          <w:numId w:val="1"/>
        </w:numPr>
        <w:spacing w:before="40" w:after="40"/>
      </w:pPr>
      <w:r>
        <w:rPr>
          <w:rFonts w:ascii="Arial" w:hAnsi="Arial" w:eastAsia="Arial" w:cs="Arial"/>
          <w:b/>
          <w:bCs/>
          <w:color w:val="2D3748"/>
          <w:sz w:val="21"/>
          <w:szCs w:val="21"/>
        </w:rPr>
        <w:t>Abandoned cart and browse data:</w:t>
      </w:r>
      <w:r>
        <w:rPr>
          <w:rFonts w:ascii="Arial" w:hAnsi="Arial" w:eastAsia="Arial" w:cs="Arial"/>
          <w:color w:val="2D3748"/>
          <w:sz w:val="21"/>
          <w:szCs w:val="21"/>
        </w:rPr>
        <w:t xml:space="preserve"> Do customers return to browse but not purchase? This would isolate intent from conversion friction.</w:t>
      </w:r>
    </w:p>
    <w:p w14:paraId="72F3B955">
      <w:pPr>
        <w:pStyle w:val="18"/>
        <w:numPr>
          <w:ilvl w:val="0"/>
          <w:numId w:val="1"/>
        </w:numPr>
        <w:spacing w:before="40" w:after="40"/>
      </w:pPr>
      <w:r>
        <w:rPr>
          <w:rFonts w:ascii="Arial" w:hAnsi="Arial" w:eastAsia="Arial" w:cs="Arial"/>
          <w:b/>
          <w:bCs/>
          <w:color w:val="2D3748"/>
          <w:sz w:val="21"/>
          <w:szCs w:val="21"/>
        </w:rPr>
        <w:t>Customer support ticket data:</w:t>
      </w:r>
      <w:r>
        <w:rPr>
          <w:rFonts w:ascii="Arial" w:hAnsi="Arial" w:eastAsia="Arial" w:cs="Arial"/>
          <w:color w:val="2D3748"/>
          <w:sz w:val="21"/>
          <w:szCs w:val="21"/>
        </w:rPr>
        <w:t xml:space="preserve"> Are non-returners more likely to have raised a complaint?</w:t>
      </w:r>
    </w:p>
    <w:p w14:paraId="48C9DF6A">
      <w:pPr>
        <w:pStyle w:val="18"/>
        <w:numPr>
          <w:ilvl w:val="0"/>
          <w:numId w:val="1"/>
        </w:numPr>
        <w:spacing w:before="40" w:after="40"/>
      </w:pPr>
      <w:r>
        <w:rPr>
          <w:rFonts w:ascii="Arial" w:hAnsi="Arial" w:eastAsia="Arial" w:cs="Arial"/>
          <w:b/>
          <w:bCs/>
          <w:color w:val="2D3748"/>
          <w:sz w:val="21"/>
          <w:szCs w:val="21"/>
        </w:rPr>
        <w:t>Competitor pricing data:</w:t>
      </w:r>
      <w:r>
        <w:rPr>
          <w:rFonts w:ascii="Arial" w:hAnsi="Arial" w:eastAsia="Arial" w:cs="Arial"/>
          <w:color w:val="2D3748"/>
          <w:sz w:val="21"/>
          <w:szCs w:val="21"/>
        </w:rPr>
        <w:t xml:space="preserve"> Are Olist categories price-competitive with alternatives?</w:t>
      </w:r>
    </w:p>
    <w:p w14:paraId="26CDC9BB">
      <w:pPr>
        <w:pStyle w:val="18"/>
        <w:numPr>
          <w:ilvl w:val="0"/>
          <w:numId w:val="1"/>
        </w:numPr>
        <w:spacing w:before="40" w:after="40"/>
      </w:pPr>
      <w:r>
        <w:rPr>
          <w:rFonts w:ascii="Arial" w:hAnsi="Arial" w:eastAsia="Arial" w:cs="Arial"/>
          <w:b/>
          <w:bCs/>
          <w:color w:val="2D3748"/>
          <w:sz w:val="21"/>
          <w:szCs w:val="21"/>
        </w:rPr>
        <w:t>Discount usage:</w:t>
      </w:r>
      <w:r>
        <w:rPr>
          <w:rFonts w:ascii="Arial" w:hAnsi="Arial" w:eastAsia="Arial" w:cs="Arial"/>
          <w:color w:val="2D3748"/>
          <w:sz w:val="21"/>
          <w:szCs w:val="21"/>
        </w:rPr>
        <w:t xml:space="preserve"> Do customers who used a first-purchase discount have a lower repeat rate than those who paid full price? (Price-sensitivity signal.)</w:t>
      </w:r>
    </w:p>
    <w:p w14:paraId="4207C8E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16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E7C7B" w:sz="12" w:space="0"/>
              <w:bottom w:val="nil"/>
              <w:right w:val="nil"/>
            </w:tcBorders>
            <w:shd w:val="clear" w:color="auto" w:fill="E8F4F8"/>
            <w:tcMar>
              <w:top w:w="100" w:type="dxa"/>
              <w:left w:w="180" w:type="dxa"/>
              <w:bottom w:w="100" w:type="dxa"/>
              <w:right w:w="180" w:type="dxa"/>
            </w:tcMar>
          </w:tcPr>
          <w:p w14:paraId="13CA9FA9">
            <w:pPr>
              <w:spacing w:before="0" w:after="40"/>
            </w:pPr>
            <w:r>
              <w:rPr>
                <w:rFonts w:ascii="Arial" w:hAnsi="Arial" w:eastAsia="Arial" w:cs="Arial"/>
                <w:b/>
                <w:bCs/>
                <w:color w:val="1B3A6B"/>
                <w:sz w:val="19"/>
                <w:szCs w:val="19"/>
              </w:rPr>
              <w:t>Why This Matters</w:t>
            </w:r>
          </w:p>
          <w:p w14:paraId="6F1980CA">
            <w:pPr>
              <w:spacing w:before="0" w:after="0"/>
              <w:jc w:val="both"/>
            </w:pPr>
            <w:r>
              <w:rPr>
                <w:rFonts w:ascii="Arial" w:hAnsi="Arial" w:eastAsia="Arial" w:cs="Arial"/>
                <w:color w:val="2D3748"/>
                <w:sz w:val="20"/>
                <w:szCs w:val="20"/>
              </w:rPr>
              <w:t>Until we understand the primary driver of churn, retention investments risk being allocated to the wrong levers. A customer who left because of a bad delivery needs a service recovery campaign. A customer who left because of price needs a loyalty discount. A customer who simply forgot needs a re-marketing nudge. The recommended next step is a structured survey of a random sample of one-time buyers (sent 90 days post-purchase) combined with funnel analysis of marketing email engagement data.</w:t>
            </w:r>
          </w:p>
        </w:tc>
      </w:tr>
    </w:tbl>
    <w:p w14:paraId="1862416B">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B9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B3A6B"/>
            <w:tcMar>
              <w:top w:w="220" w:type="dxa"/>
              <w:left w:w="360" w:type="dxa"/>
              <w:bottom w:w="220" w:type="dxa"/>
              <w:right w:w="360" w:type="dxa"/>
            </w:tcMar>
          </w:tcPr>
          <w:p w14:paraId="3945045F">
            <w:pPr>
              <w:spacing w:before="0" w:after="60"/>
              <w:jc w:val="center"/>
            </w:pPr>
            <w:r>
              <w:rPr>
                <w:rFonts w:ascii="Arial" w:hAnsi="Arial" w:eastAsia="Arial" w:cs="Arial"/>
                <w:color w:val="B0C4D8"/>
                <w:sz w:val="22"/>
                <w:szCs w:val="22"/>
              </w:rPr>
              <w:t>The data tells a clear story:</w:t>
            </w:r>
          </w:p>
          <w:p w14:paraId="0B9F5C7F">
            <w:pPr>
              <w:spacing w:before="0" w:after="60"/>
              <w:jc w:val="center"/>
            </w:pPr>
            <w:r>
              <w:rPr>
                <w:rFonts w:ascii="Arial" w:hAnsi="Arial" w:eastAsia="Arial" w:cs="Arial"/>
                <w:b/>
                <w:bCs/>
                <w:color w:val="FFFFFF"/>
                <w:sz w:val="26"/>
                <w:szCs w:val="26"/>
              </w:rPr>
              <w:t>Olist has built a powerful acquisition engine.</w:t>
            </w:r>
          </w:p>
          <w:p w14:paraId="45C80D17">
            <w:pPr>
              <w:spacing w:before="0" w:after="0"/>
              <w:jc w:val="center"/>
            </w:pPr>
            <w:r>
              <w:rPr>
                <w:rFonts w:ascii="Arial" w:hAnsi="Arial" w:eastAsia="Arial" w:cs="Arial"/>
                <w:i/>
                <w:iCs/>
                <w:color w:val="F4A261"/>
                <w:sz w:val="24"/>
                <w:szCs w:val="24"/>
              </w:rPr>
              <w:t>The next phase of growth is in keeping the customers it already earns.</w:t>
            </w:r>
          </w:p>
        </w:tc>
      </w:tr>
    </w:tbl>
    <w:p w14:paraId="5C94C178"/>
    <w:p w14:paraId="71FD3361"/>
    <w:p w14:paraId="10D6CE77">
      <w:pPr>
        <w:pBdr>
          <w:bottom w:val="single" w:color="0E7C7B" w:sz="8" w:space="4"/>
        </w:pBdr>
        <w:spacing w:before="360" w:after="120"/>
        <w:rPr>
          <w:color w:val="1B3A6B"/>
        </w:rPr>
      </w:pPr>
      <w:r>
        <w:rPr>
          <w:rFonts w:hint="default" w:ascii="Arial" w:hAnsi="Arial" w:eastAsia="Arial" w:cs="Arial"/>
          <w:b/>
          <w:bCs/>
          <w:color w:val="1B3A6B"/>
          <w:sz w:val="32"/>
          <w:szCs w:val="32"/>
          <w:lang w:val="en-US"/>
        </w:rPr>
        <w:t>6</w:t>
      </w:r>
      <w:r>
        <w:rPr>
          <w:rFonts w:ascii="Arial" w:hAnsi="Arial" w:eastAsia="Arial" w:cs="Arial"/>
          <w:b/>
          <w:bCs/>
          <w:color w:val="1B3A6B"/>
          <w:sz w:val="32"/>
          <w:szCs w:val="32"/>
        </w:rPr>
        <w:t>.</w:t>
      </w:r>
      <w:r>
        <w:rPr>
          <w:rFonts w:hint="default" w:ascii="Arial" w:hAnsi="Arial" w:eastAsia="Arial" w:cs="Arial"/>
          <w:b/>
          <w:bCs/>
          <w:color w:val="1B3A6B"/>
          <w:sz w:val="32"/>
          <w:szCs w:val="32"/>
          <w:lang w:val="en-US"/>
        </w:rPr>
        <w:t xml:space="preserve"> </w:t>
      </w:r>
      <w:r>
        <w:rPr>
          <w:rStyle w:val="16"/>
          <w:color w:val="1B3A6B"/>
          <w:sz w:val="32"/>
          <w:szCs w:val="32"/>
        </w:rPr>
        <w:t>Appendix: Use of Large Language Models (LLMs)</w:t>
      </w:r>
    </w:p>
    <w:p w14:paraId="62E4085C"/>
    <w:p w14:paraId="49B2BAD2">
      <w:pPr>
        <w:pStyle w:val="15"/>
        <w:keepNext w:val="0"/>
        <w:keepLines w:val="0"/>
        <w:widowControl/>
        <w:suppressLineNumbers w:val="0"/>
        <w:spacing w:before="0" w:beforeAutospacing="1" w:after="0" w:afterAutospacing="1"/>
        <w:ind w:left="0" w:right="0"/>
        <w:rPr>
          <w:color w:val="0E7C7B"/>
        </w:rPr>
      </w:pPr>
      <w:r>
        <w:rPr>
          <w:rStyle w:val="16"/>
          <w:color w:val="0E7C7B"/>
        </w:rPr>
        <w:t>Appendix: Use of Large Language Models (LLMs)</w:t>
      </w:r>
    </w:p>
    <w:p w14:paraId="529C6321">
      <w:pPr>
        <w:pStyle w:val="15"/>
        <w:keepNext w:val="0"/>
        <w:keepLines w:val="0"/>
        <w:widowControl/>
        <w:suppressLineNumbers w:val="0"/>
        <w:spacing w:before="0" w:beforeAutospacing="1" w:after="0" w:afterAutospacing="1"/>
        <w:ind w:left="0" w:right="0"/>
      </w:pPr>
      <w:r>
        <w:rPr>
          <w:b/>
          <w:bCs/>
        </w:rPr>
        <w:t xml:space="preserve">Claude (Anthropic) </w:t>
      </w:r>
      <w:r>
        <w:t xml:space="preserve">and </w:t>
      </w:r>
      <w:r>
        <w:rPr>
          <w:b/>
          <w:bCs/>
        </w:rPr>
        <w:t>ChatGPT (OpenAI)</w:t>
      </w:r>
      <w:r>
        <w:t xml:space="preserve"> were used for assistance with Python syntax, data cleaning approaches, and visualisation formatting.</w:t>
      </w:r>
    </w:p>
    <w:p w14:paraId="25683163">
      <w:bookmarkStart w:id="0" w:name="_GoBack"/>
      <w:bookmarkEnd w:id="0"/>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A8976">
    <w:pPr>
      <w:pBdr>
        <w:top w:val="single" w:color="B0C4D8" w:sz="4" w:space="4"/>
      </w:pBdr>
      <w:tabs>
        <w:tab w:val="right" w:pos="9026"/>
      </w:tabs>
      <w:spacing w:before="80" w:after="0"/>
    </w:pPr>
    <w:r>
      <w:rPr>
        <w:rFonts w:ascii="Arial" w:hAnsi="Arial" w:eastAsia="Arial" w:cs="Arial"/>
        <w:color w:val="718096"/>
        <w:sz w:val="16"/>
        <w:szCs w:val="16"/>
      </w:rPr>
      <w:t xml:space="preserve">Olist Customer Behaviour Analysis  |  </w:t>
    </w:r>
    <w:r>
      <w:rPr>
        <w:rFonts w:ascii="Arial" w:hAnsi="Arial" w:eastAsia="Arial" w:cs="Arial"/>
        <w:i/>
        <w:iCs/>
        <w:color w:val="718096"/>
        <w:sz w:val="16"/>
        <w:szCs w:val="16"/>
      </w:rPr>
      <w:tab/>
    </w:r>
    <w:r>
      <w:rPr>
        <w:rFonts w:ascii="Arial" w:hAnsi="Arial" w:eastAsia="Arial" w:cs="Arial"/>
        <w:i/>
        <w:iCs/>
        <w:color w:val="718096"/>
        <w:sz w:val="16"/>
        <w:szCs w:val="16"/>
      </w:rPr>
      <w:t>Unlocking Growth: A Data Story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70516">
    <w:pPr>
      <w:pBdr>
        <w:bottom w:val="single" w:color="B0C4D8" w:sz="4" w:space="4"/>
      </w:pBdr>
      <w:tabs>
        <w:tab w:val="right" w:pos="9026"/>
      </w:tabs>
      <w:spacing w:before="0" w:after="80"/>
    </w:pPr>
    <w:r>
      <w:rPr>
        <w:rFonts w:ascii="Arial" w:hAnsi="Arial" w:eastAsia="Arial" w:cs="Arial"/>
        <w:color w:val="718096"/>
        <w:sz w:val="16"/>
        <w:szCs w:val="16"/>
      </w:rPr>
      <w:t>OLIST E-COMMERCE  |  CUSTOMER BEHAVIOUR ANALYSIS</w:t>
    </w:r>
    <w:r>
      <w:rPr>
        <w:rFonts w:ascii="Arial" w:hAnsi="Arial" w:eastAsia="Arial" w:cs="Arial"/>
        <w:sz w:val="16"/>
        <w:szCs w:val="16"/>
      </w:rPr>
      <w:tab/>
    </w:r>
    <w:r>
      <w:rPr>
        <w:rFonts w:ascii="Arial" w:hAnsi="Arial" w:eastAsia="Arial" w:cs="Arial"/>
        <w:i/>
        <w:iCs/>
        <w:color w:val="718096"/>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3C798"/>
    <w:multiLevelType w:val="multilevel"/>
    <w:tmpl w:val="8E33C7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4F7E1A"/>
    <w:rsid w:val="672F5141"/>
    <w:rsid w:val="73DB15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D3748"/>
      <w:sz w:val="22"/>
      <w:szCs w:val="22"/>
    </w:rPr>
  </w:style>
  <w:style w:type="paragraph" w:styleId="2">
    <w:name w:val="heading 1"/>
    <w:next w:val="1"/>
    <w:qFormat/>
    <w:uiPriority w:val="0"/>
    <w:pPr>
      <w:spacing w:before="360" w:after="120"/>
      <w:outlineLvl w:val="0"/>
    </w:pPr>
    <w:rPr>
      <w:rFonts w:ascii="Arial" w:hAnsi="Arial" w:eastAsia="Arial" w:cs="Arial"/>
      <w:b/>
      <w:bCs/>
      <w:color w:val="1B3A6B"/>
      <w:sz w:val="32"/>
      <w:szCs w:val="32"/>
    </w:rPr>
  </w:style>
  <w:style w:type="paragraph" w:styleId="3">
    <w:name w:val="heading 2"/>
    <w:next w:val="1"/>
    <w:qFormat/>
    <w:uiPriority w:val="0"/>
    <w:pPr>
      <w:spacing w:before="240" w:after="80"/>
      <w:outlineLvl w:val="1"/>
    </w:pPr>
    <w:rPr>
      <w:rFonts w:ascii="Arial" w:hAnsi="Arial" w:eastAsia="Arial" w:cs="Arial"/>
      <w:b/>
      <w:bCs/>
      <w:color w:val="0E7C7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2D3748"/>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color w:val="2D3748"/>
      <w:sz w:val="20"/>
      <w:szCs w:val="20"/>
    </w:rPr>
  </w:style>
  <w:style w:type="character" w:styleId="14">
    <w:name w:val="Hyperlink"/>
    <w:unhideWhenUsed/>
    <w:qFormat/>
    <w:uiPriority w:val="99"/>
    <w:rPr>
      <w:color w:val="0563C1"/>
      <w:u w:val="single"/>
    </w:rPr>
  </w:style>
  <w:style w:type="paragraph" w:styleId="15">
    <w:name w:val="Normal (Web)"/>
    <w:basedOn w:val="1"/>
    <w:uiPriority w:val="0"/>
    <w:rPr>
      <w:sz w:val="24"/>
      <w:szCs w:val="24"/>
    </w:rPr>
  </w:style>
  <w:style w:type="character" w:styleId="16">
    <w:name w:val="Strong"/>
    <w:basedOn w:val="8"/>
    <w:qFormat/>
    <w:uiPriority w:val="0"/>
    <w:rPr>
      <w:b/>
      <w:bCs/>
    </w:rPr>
  </w:style>
  <w:style w:type="paragraph" w:styleId="17">
    <w:name w:val="Title"/>
    <w:qFormat/>
    <w:uiPriority w:val="0"/>
    <w:rPr>
      <w:rFonts w:ascii="Arial" w:hAnsi="Arial" w:eastAsia="Arial" w:cs="Arial"/>
      <w:color w:val="2D3748"/>
      <w:sz w:val="56"/>
      <w:szCs w:val="56"/>
    </w:rPr>
  </w:style>
  <w:style w:type="paragraph" w:styleId="18">
    <w:name w:val="List Paragraph"/>
    <w:qFormat/>
    <w:uiPriority w:val="0"/>
    <w:rPr>
      <w:rFonts w:ascii="Arial" w:hAnsi="Arial" w:eastAsia="Arial" w:cs="Arial"/>
      <w:color w:val="2D3748"/>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2026-04-29T22:03:00Z</dcterms:created>
  <dc:creator>Un-named</dc:creator>
  <cp:lastModifiedBy>Kirti Kayan Das</cp:lastModifiedBy>
  <dcterms:modified xsi:type="dcterms:W3CDTF">2026-04-30T16:18:12Z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4B4E52F967DC4AFF92A6D715F62270AE_12</vt:lpwstr>
  </property>
</Properties>
</file>