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lang w:val="en-US"/>
        </w:rPr>
      </w:pPr>
      <w:r>
        <w:rPr>
          <w:lang w:val="en-US"/>
        </w:rPr>
        <w:t>Introduction</w:t>
      </w:r>
    </w:p>
    <w:p>
      <w:pPr>
        <w:pStyle w:val="Normal"/>
        <w:jc w:val="both"/>
        <w:rPr>
          <w:lang w:val="en-US"/>
        </w:rPr>
      </w:pPr>
      <w:r>
        <w:rPr>
          <w:lang w:val="en-US"/>
        </w:rPr>
        <w:t>Neutrinos were first proposed by Pauli in 1930 [16] to explain the continuous energy spectrum of beta decay.</w:t>
      </w:r>
    </w:p>
    <w:p>
      <w:pPr>
        <w:pStyle w:val="Normal"/>
        <w:jc w:val="both"/>
        <w:rPr>
          <w:lang w:val="en-US"/>
        </w:rPr>
      </w:pPr>
      <w:r>
        <w:rPr>
          <w:lang w:val="en-US"/>
        </w:rPr>
      </w:r>
    </w:p>
    <w:p>
      <w:pPr>
        <w:pStyle w:val="Normal"/>
        <w:jc w:val="both"/>
        <w:rPr>
          <w:lang w:val="en-US"/>
        </w:rPr>
      </w:pPr>
      <w:r>
        <w:rPr>
          <w:lang w:val="en-US"/>
        </w:rPr>
        <w:t xml:space="preserve">The demonstration of CEvNS by the coherent experiment has opened the doors for using low energy neutrinos as probe for studying BSM physics, reactor monitoring, astrophysical process, nuclear structure parameters [1-11]. </w:t>
      </w:r>
    </w:p>
    <w:p>
      <w:pPr>
        <w:pStyle w:val="Normal"/>
        <w:jc w:val="both"/>
        <w:rPr>
          <w:lang w:val="en-US"/>
        </w:rPr>
      </w:pPr>
      <w:r>
        <w:rPr>
          <w:lang w:val="en-US"/>
        </w:rPr>
        <w:t>Supernova explosion basics and importance of neutrinos [12-15]. Include details from detectors in [9,11]</w:t>
      </w:r>
    </w:p>
    <w:p>
      <w:pPr>
        <w:pStyle w:val="Normal"/>
        <w:jc w:val="both"/>
        <w:rPr>
          <w:lang w:val="en-US"/>
        </w:rPr>
      </w:pPr>
      <w:r>
        <w:rPr>
          <w:lang w:val="en-US"/>
        </w:rPr>
      </w:r>
    </w:p>
    <w:p>
      <w:pPr>
        <w:pStyle w:val="Normal"/>
        <w:jc w:val="both"/>
        <w:rPr>
          <w:lang w:val="en-US"/>
        </w:rPr>
      </w:pPr>
      <w:r>
        <w:rPr>
          <w:lang w:val="en-US"/>
        </w:rPr>
        <w:t>ICNSE [3]</w:t>
      </w:r>
    </w:p>
    <w:p>
      <w:pPr>
        <w:pStyle w:val="Normal"/>
        <w:jc w:val="both"/>
        <w:rPr>
          <w:lang w:val="en-US"/>
        </w:rPr>
      </w:pPr>
      <w:r>
        <w:rPr>
          <w:lang w:val="en-US"/>
        </w:rPr>
        <w:t xml:space="preserve">Figure shows the concept design of the ICNSE setup. The detectors will be placed in copper cold box at the center and surrounded by layers of shielding composed, from outside, of Plastic scintillator for muon veto, interleaved layers of HDPE followed by BP for thermalization and capture of reactor neutrons, Lead for gamma shielding followed by another layer of HDPE to stop any gamma induced neutrons from lead. A final layer of PS is used for vetoing any remaining background. </w:t>
      </w:r>
    </w:p>
    <w:p>
      <w:pPr>
        <w:pStyle w:val="Normal"/>
        <w:jc w:val="both"/>
        <w:rPr>
          <w:lang w:val="en-US"/>
        </w:rPr>
      </w:pPr>
      <w:r>
        <w:rPr>
          <w:lang w:val="en-US"/>
        </w:rPr>
        <w:t xml:space="preserve">The active mass is made of 30kg sapphire crystals, with TES readout of athermal phonons.  </w:t>
      </w:r>
    </w:p>
    <w:p>
      <w:pPr>
        <w:pStyle w:val="Normal"/>
        <w:jc w:val="both"/>
        <w:rPr>
          <w:lang w:val="en-US"/>
        </w:rPr>
      </w:pPr>
      <w:r>
        <w:rPr>
          <w:lang w:val="en-US"/>
        </w:rPr>
        <w:t>CCSN Neutrino Production</w:t>
      </w:r>
    </w:p>
    <w:p>
      <w:pPr>
        <w:pStyle w:val="Normal"/>
        <w:jc w:val="both"/>
        <w:rPr>
          <w:lang w:val="en-US"/>
        </w:rPr>
      </w:pPr>
      <w:r>
        <w:rPr>
          <w:lang w:val="en-US"/>
        </w:rPr>
        <w:t>Short:</w:t>
      </w:r>
    </w:p>
    <w:p>
      <w:pPr>
        <w:pStyle w:val="Normal"/>
        <w:jc w:val="both"/>
        <w:rPr>
          <w:lang w:val="en-US"/>
        </w:rPr>
      </w:pPr>
      <w:r>
        <w:rPr>
          <w:lang w:val="en-US"/>
        </w:rPr>
        <w:t>The collapse of Fe core in massive stars (&gt;8</w:t>
      </w:r>
      <w:r>
        <w:rPr/>
      </w:r>
      <m:oMath xmlns:m="http://schemas.openxmlformats.org/officeDocument/2006/math">
        <m:sSub>
          <m:e>
            <m:r>
              <w:rPr>
                <w:rFonts w:ascii="Cambria Math" w:hAnsi="Cambria Math"/>
              </w:rPr>
              <m:t xml:space="preserve">M</m:t>
            </m:r>
          </m:e>
          <m:sub>
            <m:r>
              <w:rPr>
                <w:rFonts w:ascii="Cambria Math" w:hAnsi="Cambria Math"/>
              </w:rPr>
              <m:t xml:space="preserve">⊙</m:t>
            </m:r>
          </m:sub>
        </m:sSub>
      </m:oMath>
      <w:r>
        <w:rPr>
          <w:lang w:val="en-US"/>
        </w:rPr>
        <w:t>) initiates the process of supernova explosion. The infalling mass causes the density of the core to increase until nuclear density is reached. At this point nuclear repulsion causes collapsing core to bounce back, forming a shock wave. The ejection of the stellar envelope by this shock wave and the formation of proto-neutron star. The expulsion of stellar envelope is followed by a burst of neutrinos produced by electron capture by nucleons freed by the shock. Subsequent neutrino flux is produced by mass accretion on the proto-neutron star and its cooling.</w:t>
      </w:r>
    </w:p>
    <w:p>
      <w:pPr>
        <w:pStyle w:val="Normal"/>
        <w:jc w:val="both"/>
        <w:rPr>
          <w:lang w:val="en-US"/>
        </w:rPr>
      </w:pPr>
      <w:r>
        <w:rPr>
          <w:lang w:val="en-US"/>
        </w:rPr>
      </w:r>
    </w:p>
    <w:p>
      <w:pPr>
        <w:pStyle w:val="Normal"/>
        <w:jc w:val="both"/>
        <w:rPr>
          <w:lang w:val="en-US"/>
        </w:rPr>
      </w:pPr>
      <w:r>
        <w:rPr>
          <w:lang w:val="en-US"/>
        </w:rPr>
        <w:t>Extended:</w:t>
      </w:r>
    </w:p>
    <w:p>
      <w:pPr>
        <w:pStyle w:val="Normal"/>
        <w:jc w:val="both"/>
        <w:rPr>
          <w:rFonts w:eastAsia="" w:eastAsiaTheme="minorEastAsia"/>
          <w:lang w:val="en-US"/>
        </w:rPr>
      </w:pPr>
      <w:r>
        <w:rPr>
          <w:lang w:val="en-US"/>
        </w:rPr>
        <w:t>Massive stars towards the end of their lifecycle achieve an onion shell like structure with heavier elements forming inner shells. The core in stars above 8</w:t>
      </w:r>
      <w:r>
        <w:rPr/>
      </w:r>
      <m:oMath xmlns:m="http://schemas.openxmlformats.org/officeDocument/2006/math">
        <m:sSub>
          <m:e>
            <m:r>
              <w:rPr>
                <w:rFonts w:ascii="Cambria Math" w:hAnsi="Cambria Math"/>
              </w:rPr>
              <m:t xml:space="preserve">M</m:t>
            </m:r>
          </m:e>
          <m:sub>
            <m:r>
              <w:rPr>
                <w:rFonts w:ascii="Cambria Math" w:hAnsi="Cambria Math"/>
              </w:rPr>
              <m:t xml:space="preserve">⊙</m:t>
            </m:r>
          </m:sub>
        </m:sSub>
      </m:oMath>
      <w:r>
        <w:rPr>
          <w:rFonts w:eastAsia="" w:eastAsiaTheme="minorEastAsia"/>
          <w:lang w:val="en-US"/>
        </w:rPr>
        <w:t xml:space="preserve"> is formed of Iron and is held together by fermionic pressure of degenerate electrons. Nuclear reactions in the iron core are in equilibrium i.e. forward and reverse reactions are balanced. The core however is marginally stable, and is destabilized by 2 processes 1) Electron capture on proton producing neutrons and </w:t>
      </w:r>
      <w:r>
        <w:rPr/>
      </w:r>
      <m:oMath xmlns:m="http://schemas.openxmlformats.org/officeDocument/2006/math">
        <m:sSub>
          <m:e>
            <m:r>
              <w:rPr>
                <w:rFonts w:ascii="Cambria Math" w:hAnsi="Cambria Math"/>
              </w:rPr>
              <m:t xml:space="preserve">ν</m:t>
            </m:r>
          </m:e>
          <m:sub>
            <m:r>
              <w:rPr>
                <w:rFonts w:ascii="Cambria Math" w:hAnsi="Cambria Math"/>
              </w:rPr>
              <m:t xml:space="preserve">e</m:t>
            </m:r>
          </m:sub>
        </m:sSub>
      </m:oMath>
      <w:r>
        <w:rPr>
          <w:rFonts w:eastAsia="" w:eastAsiaTheme="minorEastAsia"/>
          <w:lang w:val="en-US"/>
        </w:rPr>
        <w:t>, the neutrinos produced freely diffuse from the star. 2) Photo dissociation of Fe into alpha particles and free neutrons. The destabilized core, no longer being propped up by the electron degeneracy pressure stars infalling. The collapse of matter in the core causes the density of the core to increase. This reduced the mean free path of the neutrinos which become trapped within a neutrino sphere as the density increases above 10</w:t>
      </w:r>
      <w:r>
        <w:rPr>
          <w:rFonts w:eastAsia="" w:eastAsiaTheme="minorEastAsia"/>
          <w:vertAlign w:val="superscript"/>
          <w:lang w:val="en-US"/>
        </w:rPr>
        <w:t>11</w:t>
      </w:r>
      <w:r>
        <w:rPr>
          <w:rFonts w:eastAsia="" w:eastAsiaTheme="minorEastAsia"/>
          <w:lang w:val="en-US"/>
        </w:rPr>
        <w:t>g/cc.</w:t>
      </w:r>
    </w:p>
    <w:p>
      <w:pPr>
        <w:pStyle w:val="Normal"/>
        <w:jc w:val="both"/>
        <w:rPr>
          <w:rFonts w:eastAsia="" w:eastAsiaTheme="minorEastAsia"/>
          <w:lang w:val="en-US"/>
        </w:rPr>
      </w:pPr>
      <w:r>
        <w:rPr>
          <w:rFonts w:eastAsia="" w:eastAsiaTheme="minorEastAsia"/>
          <w:lang w:val="en-US"/>
        </w:rPr>
        <w:t>The collapse is stopped when the density reaches nuclear densities, at which point nuclear repulsion causes a bounce back and formation of outward moving shockwave. This separates the star into 2 parts, an inner core behind the shockwave with subsonically infalling matter, and an outer core outside the shock with supersonically infalling matter. Matter from outer core experiences large deceleration when passing through the shock wave with its kinetic energy being dissipated into thermal energy causing it to essentially break into free nucleons. This consumes large amount of energy ~8.8MeV/nucleon, and causes the shock to stall. The most likely mechanism of shock revival is by heating of the medium by absorption of neutrinos by the free nucleons on O(100ms) timescales.</w:t>
      </w:r>
    </w:p>
    <w:p>
      <w:pPr>
        <w:pStyle w:val="Normal"/>
        <w:jc w:val="both"/>
        <w:rPr>
          <w:rFonts w:eastAsia="" w:eastAsiaTheme="minorEastAsia"/>
          <w:lang w:val="en-US"/>
        </w:rPr>
      </w:pPr>
      <w:r>
        <w:rPr>
          <w:rFonts w:eastAsia="" w:eastAsiaTheme="minorEastAsia"/>
          <w:lang w:val="en-US"/>
        </w:rPr>
        <w:t xml:space="preserve">As the revived shock propagates and breaks through the stellar envelop, a burst of neutrinos, from electron capture by free protons behind the shock, is emitted. This is called neutronization burst and is composed of </w:t>
      </w:r>
      <w:r>
        <w:rPr/>
      </w:r>
      <m:oMath xmlns:m="http://schemas.openxmlformats.org/officeDocument/2006/math">
        <m:sSub>
          <m:e>
            <m:r>
              <w:rPr>
                <w:rFonts w:ascii="Cambria Math" w:hAnsi="Cambria Math"/>
              </w:rPr>
              <m:t xml:space="preserve">ν</m:t>
            </m:r>
          </m:e>
          <m:sub>
            <m:r>
              <w:rPr>
                <w:rFonts w:ascii="Cambria Math" w:hAnsi="Cambria Math"/>
              </w:rPr>
              <m:t xml:space="preserve">e</m:t>
            </m:r>
          </m:sub>
        </m:sSub>
      </m:oMath>
      <w:r>
        <w:rPr>
          <w:rFonts w:eastAsia="" w:eastAsiaTheme="minorEastAsia"/>
          <w:lang w:val="en-US"/>
        </w:rPr>
        <w:t>. Further emission of neutrinos is driven by extended accretion of mass by the proto-neutron star followed by its cooling. All flavors of neutrinos are emitted during this phase. These neutrinos carry away ~99% of the gravitational binding energy of the newly formed proto-neutron star, contributing to its cooling.</w:t>
      </w:r>
    </w:p>
    <w:p>
      <w:pPr>
        <w:pStyle w:val="Normal"/>
        <w:jc w:val="both"/>
        <w:rPr>
          <w:rFonts w:eastAsia="" w:eastAsiaTheme="minorEastAsia"/>
          <w:lang w:val="en-US"/>
        </w:rPr>
      </w:pPr>
      <w:r>
        <w:rPr/>
      </w:r>
    </w:p>
    <w:p>
      <w:pPr>
        <w:pStyle w:val="Normal"/>
        <w:jc w:val="both"/>
        <w:rPr>
          <w:rFonts w:eastAsia="" w:eastAsiaTheme="minorEastAsia"/>
          <w:lang w:val="en-US"/>
        </w:rPr>
      </w:pPr>
      <w:r>
        <w:rPr>
          <w:rFonts w:eastAsia="" w:eastAsiaTheme="minorEastAsia"/>
          <w:lang w:val="en-US"/>
        </w:rPr>
        <w:t>Neutrino Spectra:</w:t>
      </w:r>
    </w:p>
    <w:p>
      <w:pPr>
        <w:pStyle w:val="Normal"/>
        <w:jc w:val="both"/>
        <w:rPr>
          <w:rFonts w:eastAsia="" w:eastAsiaTheme="minorEastAsia"/>
          <w:lang w:val="en-US"/>
        </w:rPr>
      </w:pPr>
      <w:r>
        <w:rPr>
          <w:rFonts w:eastAsia="" w:eastAsiaTheme="minorEastAsia"/>
          <w:lang w:val="en-US"/>
        </w:rPr>
        <w:t>We consider the neutrino spectra calcu</w:t>
        <w:tab/>
        <w:t>lated by Nakazato et al. [19] for 13</w:t>
      </w:r>
      <w:r>
        <w:rPr>
          <w:rFonts w:eastAsia="" w:eastAsiaTheme="minorEastAsia"/>
          <w:lang w:val="en-US"/>
        </w:rPr>
      </w:r>
      <m:oMath xmlns:m="http://schemas.openxmlformats.org/officeDocument/2006/math">
        <m:sSub>
          <m:e>
            <m:r>
              <w:rPr>
                <w:rFonts w:ascii="Cambria Math" w:hAnsi="Cambria Math"/>
              </w:rPr>
              <m:t xml:space="preserve">M</m:t>
            </m:r>
          </m:e>
          <m:sub>
            <m:r>
              <w:rPr>
                <w:rFonts w:ascii="Cambria Math" w:hAnsi="Cambria Math"/>
              </w:rPr>
              <m:t xml:space="preserve">⊙</m:t>
            </m:r>
          </m:sub>
        </m:sSub>
      </m:oMath>
      <w:r>
        <w:rPr>
          <w:rFonts w:eastAsia="" w:eastAsiaTheme="minorEastAsia"/>
          <w:lang w:val="en-US"/>
        </w:rPr>
        <w:t xml:space="preserve"> and 20</w:t>
      </w:r>
      <w:r>
        <w:rPr>
          <w:rFonts w:eastAsia="" w:eastAsiaTheme="minorEastAsia"/>
          <w:lang w:val="en-US"/>
        </w:rPr>
      </w:r>
      <m:oMath xmlns:m="http://schemas.openxmlformats.org/officeDocument/2006/math">
        <m:sSub>
          <m:e>
            <m:r>
              <w:rPr>
                <w:rFonts w:ascii="Cambria Math" w:hAnsi="Cambria Math"/>
              </w:rPr>
              <m:t xml:space="preserve">M</m:t>
            </m:r>
          </m:e>
          <m:sub>
            <m:r>
              <w:rPr>
                <w:rFonts w:ascii="Cambria Math" w:hAnsi="Cambria Math"/>
              </w:rPr>
              <m:t xml:space="preserve">⊙</m:t>
            </m:r>
          </m:sub>
        </m:sSub>
      </m:oMath>
      <w:r>
        <w:rPr>
          <w:rFonts w:eastAsia="" w:eastAsiaTheme="minorEastAsia"/>
          <w:lang w:val="en-US"/>
        </w:rPr>
        <w:t xml:space="preserve"> stars, corresponding to the mass </w:t>
      </w:r>
      <w:r>
        <w:rPr>
          <w:rFonts w:eastAsia="" w:eastAsiaTheme="minorEastAsia"/>
          <w:i/>
          <w:iCs/>
          <w:lang w:val="en-US"/>
        </w:rPr>
        <w:t>range (find correct word to replace range, different authors give different masses)</w:t>
      </w:r>
      <w:r>
        <w:rPr>
          <w:rFonts w:eastAsia="" w:eastAsiaTheme="minorEastAsia"/>
          <w:lang w:val="en-US"/>
        </w:rPr>
        <w:t xml:space="preserve"> of Betelgeuse [20,21]. The spectrum is evaluated by combining 1D neutrino radiation hydrodynamic (vRHD) simulation for the early phase of core collapse. As 1D simulations suffer from shock stall, neutrino heating mechanism is considered for shock revival. The late phases of collapse (after shock revival) are evaluated by Proto Neutron Star Cooling (PNSC) simulations, which take shock revival time and vRHD profiles at this time as the input. The time evolution of neutrino luminosity is shown in Figure, while Figure shows the time integrated neutrino spectra for __________.</w:t>
      </w:r>
    </w:p>
    <w:p>
      <w:pPr>
        <w:pStyle w:val="Normal"/>
        <w:jc w:val="both"/>
        <w:rPr>
          <w:rFonts w:eastAsia="" w:eastAsiaTheme="minorEastAsia"/>
          <w:lang w:val="en-US"/>
        </w:rPr>
      </w:pPr>
      <w:r>
        <w:rPr/>
      </w:r>
    </w:p>
    <w:p>
      <w:pPr>
        <w:pStyle w:val="Normal"/>
        <w:jc w:val="both"/>
        <w:rPr>
          <w:rFonts w:eastAsia="" w:eastAsiaTheme="minorEastAsia"/>
          <w:lang w:val="en-US"/>
        </w:rPr>
      </w:pPr>
      <w:r>
        <w:rPr>
          <w:rFonts w:eastAsia="" w:eastAsiaTheme="minorEastAsia"/>
          <w:lang w:val="en-US"/>
        </w:rPr>
        <w:t>Methods and procedure:</w:t>
      </w:r>
    </w:p>
    <w:p>
      <w:pPr>
        <w:pStyle w:val="Normal"/>
        <w:jc w:val="both"/>
        <w:rPr>
          <w:lang w:val="en-US"/>
        </w:rPr>
      </w:pPr>
      <w:r>
        <w:rPr>
          <w:lang w:val="en-US"/>
        </w:rPr>
        <w:t>Recoil spectrum from CCSN of __M star of metallicity=0.2 at 196pc from earth is shown in Figure</w:t>
      </w:r>
    </w:p>
    <w:p>
      <w:pPr>
        <w:pStyle w:val="Normal"/>
        <w:jc w:val="both"/>
        <w:rPr>
          <w:lang w:val="en-US"/>
        </w:rPr>
      </w:pPr>
      <w:r>
        <w:rPr>
          <w:lang w:val="en-US"/>
        </w:rPr>
        <w:t>Resolution of Ge is taken from [23] and for Sapphire from [22] this is used to calculate the efficiency of the detector for different thresholds on recoil energies (Sapphire 100eV, Ge 10eV and 100eV) shown in Figure</w:t>
      </w:r>
    </w:p>
    <w:p>
      <w:pPr>
        <w:pStyle w:val="Normal"/>
        <w:jc w:val="both"/>
        <w:rPr>
          <w:lang w:val="en-US"/>
        </w:rPr>
      </w:pPr>
      <w:r>
        <w:rPr>
          <w:lang w:val="en-US"/>
        </w:rPr>
        <w:t>The recoil spectra is folded with the efficiency to get the observed counts in the detector Table</w:t>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r>
    </w:p>
    <w:p>
      <w:pPr>
        <w:pStyle w:val="Normal"/>
        <w:jc w:val="both"/>
        <w:rPr>
          <w:lang w:val="en-US"/>
        </w:rPr>
      </w:pPr>
      <w:r>
        <w:rPr>
          <w:lang w:val="en-US"/>
        </w:rPr>
        <w:t>Results:</w:t>
      </w:r>
    </w:p>
    <w:tbl>
      <w:tblPr>
        <w:tblW w:w="5000" w:type="pct"/>
        <w:jc w:val="left"/>
        <w:tblInd w:w="-5" w:type="dxa"/>
        <w:tblLayout w:type="fixed"/>
        <w:tblCellMar>
          <w:top w:w="55" w:type="dxa"/>
          <w:left w:w="55" w:type="dxa"/>
          <w:bottom w:w="55" w:type="dxa"/>
          <w:right w:w="55" w:type="dxa"/>
        </w:tblCellMar>
      </w:tblPr>
      <w:tblGrid>
        <w:gridCol w:w="2256"/>
        <w:gridCol w:w="2257"/>
        <w:gridCol w:w="2256"/>
        <w:gridCol w:w="2257"/>
      </w:tblGrid>
      <w:tr>
        <w:trPr/>
        <w:tc>
          <w:tcPr>
            <w:tcW w:w="2256" w:type="dxa"/>
            <w:tcBorders>
              <w:top w:val="single" w:sz="4" w:space="0" w:color="000000"/>
              <w:left w:val="single" w:sz="4" w:space="0" w:color="000000"/>
              <w:bottom w:val="single" w:sz="4" w:space="0" w:color="000000"/>
            </w:tcBorders>
          </w:tcPr>
          <w:p>
            <w:pPr>
              <w:pStyle w:val="TableContents"/>
              <w:spacing w:before="0" w:after="160"/>
              <w:rPr/>
            </w:pPr>
            <w:r>
              <w:rPr/>
              <w:t>Star</w:t>
            </w:r>
          </w:p>
        </w:tc>
        <w:tc>
          <w:tcPr>
            <w:tcW w:w="2257" w:type="dxa"/>
            <w:tcBorders>
              <w:top w:val="single" w:sz="4" w:space="0" w:color="000000"/>
              <w:left w:val="single" w:sz="4" w:space="0" w:color="000000"/>
              <w:bottom w:val="single" w:sz="4" w:space="0" w:color="000000"/>
            </w:tcBorders>
          </w:tcPr>
          <w:p>
            <w:pPr>
              <w:pStyle w:val="TableContents"/>
              <w:spacing w:before="0" w:after="160"/>
              <w:rPr/>
            </w:pPr>
            <w:r>
              <w:rPr/>
              <w:t>Sapphire 100eV</w:t>
            </w:r>
          </w:p>
        </w:tc>
        <w:tc>
          <w:tcPr>
            <w:tcW w:w="2256" w:type="dxa"/>
            <w:tcBorders>
              <w:top w:val="single" w:sz="4" w:space="0" w:color="000000"/>
              <w:left w:val="single" w:sz="4" w:space="0" w:color="000000"/>
              <w:bottom w:val="single" w:sz="4" w:space="0" w:color="000000"/>
            </w:tcBorders>
          </w:tcPr>
          <w:p>
            <w:pPr>
              <w:pStyle w:val="TableContents"/>
              <w:spacing w:before="0" w:after="160"/>
              <w:rPr/>
            </w:pPr>
            <w:r>
              <w:rPr/>
              <w:t>Ge 10eV</w:t>
            </w:r>
          </w:p>
        </w:tc>
        <w:tc>
          <w:tcPr>
            <w:tcW w:w="2257"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pPr>
            <w:r>
              <w:rPr/>
              <w:t>Ge 100eV</w:t>
            </w:r>
          </w:p>
        </w:tc>
      </w:tr>
      <w:tr>
        <w:trPr/>
        <w:tc>
          <w:tcPr>
            <w:tcW w:w="2256" w:type="dxa"/>
            <w:tcBorders>
              <w:left w:val="single" w:sz="4" w:space="0" w:color="000000"/>
              <w:bottom w:val="single" w:sz="4" w:space="0" w:color="000000"/>
            </w:tcBorders>
          </w:tcPr>
          <w:p>
            <w:pPr>
              <w:pStyle w:val="TableContents"/>
              <w:spacing w:before="0" w:after="160"/>
              <w:rPr/>
            </w:pPr>
            <w:r>
              <w:rPr/>
              <w:t>13 M 100 ms</w:t>
            </w:r>
          </w:p>
        </w:tc>
        <w:tc>
          <w:tcPr>
            <w:tcW w:w="2257" w:type="dxa"/>
            <w:tcBorders>
              <w:left w:val="single" w:sz="4" w:space="0" w:color="000000"/>
              <w:bottom w:val="single" w:sz="4" w:space="0" w:color="000000"/>
            </w:tcBorders>
          </w:tcPr>
          <w:p>
            <w:pPr>
              <w:pStyle w:val="TableContents"/>
              <w:spacing w:before="0" w:after="160"/>
              <w:rPr/>
            </w:pPr>
            <w:r>
              <w:rPr/>
              <w:t>121.26</w:t>
            </w:r>
          </w:p>
        </w:tc>
        <w:tc>
          <w:tcPr>
            <w:tcW w:w="2256" w:type="dxa"/>
            <w:tcBorders>
              <w:left w:val="single" w:sz="4" w:space="0" w:color="000000"/>
              <w:bottom w:val="single" w:sz="4" w:space="0" w:color="000000"/>
            </w:tcBorders>
          </w:tcPr>
          <w:p>
            <w:pPr>
              <w:pStyle w:val="TableContents"/>
              <w:spacing w:before="0" w:after="160"/>
              <w:rPr/>
            </w:pPr>
            <w:r>
              <w:rPr/>
              <w:t>195.48</w:t>
            </w:r>
          </w:p>
        </w:tc>
        <w:tc>
          <w:tcPr>
            <w:tcW w:w="2257" w:type="dxa"/>
            <w:tcBorders>
              <w:left w:val="single" w:sz="4" w:space="0" w:color="000000"/>
              <w:bottom w:val="single" w:sz="4" w:space="0" w:color="000000"/>
              <w:right w:val="single" w:sz="4" w:space="0" w:color="000000"/>
            </w:tcBorders>
          </w:tcPr>
          <w:p>
            <w:pPr>
              <w:pStyle w:val="TableContents"/>
              <w:spacing w:before="0" w:after="160"/>
              <w:rPr/>
            </w:pPr>
            <w:r>
              <w:rPr/>
              <w:t>190.12</w:t>
            </w:r>
          </w:p>
        </w:tc>
      </w:tr>
      <w:tr>
        <w:trPr/>
        <w:tc>
          <w:tcPr>
            <w:tcW w:w="2256" w:type="dxa"/>
            <w:tcBorders>
              <w:left w:val="single" w:sz="4" w:space="0" w:color="000000"/>
              <w:bottom w:val="single" w:sz="4" w:space="0" w:color="000000"/>
            </w:tcBorders>
          </w:tcPr>
          <w:p>
            <w:pPr>
              <w:pStyle w:val="TableContents"/>
              <w:spacing w:before="0" w:after="160"/>
              <w:rPr/>
            </w:pPr>
            <w:r>
              <w:rPr/>
              <w:t>13 M 100 ms</w:t>
            </w:r>
          </w:p>
        </w:tc>
        <w:tc>
          <w:tcPr>
            <w:tcW w:w="2257" w:type="dxa"/>
            <w:tcBorders>
              <w:left w:val="single" w:sz="4" w:space="0" w:color="000000"/>
              <w:bottom w:val="single" w:sz="4" w:space="0" w:color="000000"/>
            </w:tcBorders>
          </w:tcPr>
          <w:p>
            <w:pPr>
              <w:pStyle w:val="TableContents"/>
              <w:spacing w:before="0" w:after="160"/>
              <w:rPr/>
            </w:pPr>
            <w:r>
              <w:rPr/>
              <w:t>133.36</w:t>
            </w:r>
          </w:p>
        </w:tc>
        <w:tc>
          <w:tcPr>
            <w:tcW w:w="2256" w:type="dxa"/>
            <w:tcBorders>
              <w:left w:val="single" w:sz="4" w:space="0" w:color="000000"/>
              <w:bottom w:val="single" w:sz="4" w:space="0" w:color="000000"/>
            </w:tcBorders>
          </w:tcPr>
          <w:p>
            <w:pPr>
              <w:pStyle w:val="TableContents"/>
              <w:spacing w:before="0" w:after="160"/>
              <w:rPr/>
            </w:pPr>
            <w:r>
              <w:rPr/>
              <w:t>220.94</w:t>
            </w:r>
          </w:p>
        </w:tc>
        <w:tc>
          <w:tcPr>
            <w:tcW w:w="2257" w:type="dxa"/>
            <w:tcBorders>
              <w:left w:val="single" w:sz="4" w:space="0" w:color="000000"/>
              <w:bottom w:val="single" w:sz="4" w:space="0" w:color="000000"/>
              <w:right w:val="single" w:sz="4" w:space="0" w:color="000000"/>
            </w:tcBorders>
          </w:tcPr>
          <w:p>
            <w:pPr>
              <w:pStyle w:val="TableContents"/>
              <w:spacing w:before="0" w:after="160"/>
              <w:rPr/>
            </w:pPr>
            <w:r>
              <w:rPr/>
              <w:t>215.42</w:t>
            </w:r>
          </w:p>
        </w:tc>
      </w:tr>
      <w:tr>
        <w:trPr/>
        <w:tc>
          <w:tcPr>
            <w:tcW w:w="2256" w:type="dxa"/>
            <w:tcBorders>
              <w:left w:val="single" w:sz="4" w:space="0" w:color="000000"/>
              <w:bottom w:val="single" w:sz="4" w:space="0" w:color="000000"/>
            </w:tcBorders>
          </w:tcPr>
          <w:p>
            <w:pPr>
              <w:pStyle w:val="TableContents"/>
              <w:spacing w:before="0" w:after="160"/>
              <w:rPr/>
            </w:pPr>
            <w:r>
              <w:rPr/>
              <w:t>13 M 100 ms</w:t>
            </w:r>
          </w:p>
        </w:tc>
        <w:tc>
          <w:tcPr>
            <w:tcW w:w="2257" w:type="dxa"/>
            <w:tcBorders>
              <w:left w:val="single" w:sz="4" w:space="0" w:color="000000"/>
              <w:bottom w:val="single" w:sz="4" w:space="0" w:color="000000"/>
            </w:tcBorders>
          </w:tcPr>
          <w:p>
            <w:pPr>
              <w:pStyle w:val="TableContents"/>
              <w:spacing w:before="0" w:after="160"/>
              <w:rPr/>
            </w:pPr>
            <w:r>
              <w:rPr/>
              <w:t>135.14</w:t>
            </w:r>
          </w:p>
        </w:tc>
        <w:tc>
          <w:tcPr>
            <w:tcW w:w="2256" w:type="dxa"/>
            <w:tcBorders>
              <w:left w:val="single" w:sz="4" w:space="0" w:color="000000"/>
              <w:bottom w:val="single" w:sz="4" w:space="0" w:color="000000"/>
            </w:tcBorders>
          </w:tcPr>
          <w:p>
            <w:pPr>
              <w:pStyle w:val="TableContents"/>
              <w:spacing w:before="0" w:after="160"/>
              <w:rPr/>
            </w:pPr>
            <w:r>
              <w:rPr/>
              <w:t>219.94</w:t>
            </w:r>
          </w:p>
        </w:tc>
        <w:tc>
          <w:tcPr>
            <w:tcW w:w="2257" w:type="dxa"/>
            <w:tcBorders>
              <w:left w:val="single" w:sz="4" w:space="0" w:color="000000"/>
              <w:bottom w:val="single" w:sz="4" w:space="0" w:color="000000"/>
              <w:right w:val="single" w:sz="4" w:space="0" w:color="000000"/>
            </w:tcBorders>
          </w:tcPr>
          <w:p>
            <w:pPr>
              <w:pStyle w:val="TableContents"/>
              <w:spacing w:before="0" w:after="160"/>
              <w:rPr/>
            </w:pPr>
            <w:r>
              <w:rPr/>
              <w:t>214.48</w:t>
            </w:r>
          </w:p>
        </w:tc>
      </w:tr>
      <w:tr>
        <w:trPr/>
        <w:tc>
          <w:tcPr>
            <w:tcW w:w="2256" w:type="dxa"/>
            <w:tcBorders>
              <w:left w:val="single" w:sz="4" w:space="0" w:color="000000"/>
              <w:bottom w:val="single" w:sz="4" w:space="0" w:color="000000"/>
            </w:tcBorders>
          </w:tcPr>
          <w:p>
            <w:pPr>
              <w:pStyle w:val="TableContents"/>
              <w:spacing w:before="0" w:after="160"/>
              <w:rPr/>
            </w:pPr>
            <w:r>
              <w:rPr/>
              <w:t>20 M 100 ms</w:t>
            </w:r>
          </w:p>
        </w:tc>
        <w:tc>
          <w:tcPr>
            <w:tcW w:w="2257" w:type="dxa"/>
            <w:tcBorders>
              <w:left w:val="single" w:sz="4" w:space="0" w:color="000000"/>
              <w:bottom w:val="single" w:sz="4" w:space="0" w:color="000000"/>
            </w:tcBorders>
          </w:tcPr>
          <w:p>
            <w:pPr>
              <w:pStyle w:val="TableContents"/>
              <w:spacing w:before="0" w:after="160"/>
              <w:rPr/>
            </w:pPr>
            <w:r>
              <w:rPr/>
              <w:t>135.74</w:t>
            </w:r>
          </w:p>
        </w:tc>
        <w:tc>
          <w:tcPr>
            <w:tcW w:w="2256" w:type="dxa"/>
            <w:tcBorders>
              <w:left w:val="single" w:sz="4" w:space="0" w:color="000000"/>
              <w:bottom w:val="single" w:sz="4" w:space="0" w:color="000000"/>
            </w:tcBorders>
          </w:tcPr>
          <w:p>
            <w:pPr>
              <w:pStyle w:val="TableContents"/>
              <w:spacing w:before="0" w:after="160"/>
              <w:rPr/>
            </w:pPr>
            <w:r>
              <w:rPr/>
              <w:t>223.94</w:t>
            </w:r>
          </w:p>
        </w:tc>
        <w:tc>
          <w:tcPr>
            <w:tcW w:w="2257" w:type="dxa"/>
            <w:tcBorders>
              <w:left w:val="single" w:sz="4" w:space="0" w:color="000000"/>
              <w:bottom w:val="single" w:sz="4" w:space="0" w:color="000000"/>
              <w:right w:val="single" w:sz="4" w:space="0" w:color="000000"/>
            </w:tcBorders>
          </w:tcPr>
          <w:p>
            <w:pPr>
              <w:pStyle w:val="TableContents"/>
              <w:spacing w:before="0" w:after="160"/>
              <w:rPr/>
            </w:pPr>
            <w:r>
              <w:rPr/>
              <w:t>218.06</w:t>
            </w:r>
          </w:p>
        </w:tc>
      </w:tr>
      <w:tr>
        <w:trPr/>
        <w:tc>
          <w:tcPr>
            <w:tcW w:w="2256" w:type="dxa"/>
            <w:tcBorders>
              <w:left w:val="single" w:sz="4" w:space="0" w:color="000000"/>
              <w:bottom w:val="single" w:sz="4" w:space="0" w:color="000000"/>
            </w:tcBorders>
          </w:tcPr>
          <w:p>
            <w:pPr>
              <w:pStyle w:val="TableContents"/>
              <w:rPr/>
            </w:pPr>
            <w:r>
              <w:rPr/>
              <w:t>Weakest</w:t>
            </w:r>
          </w:p>
          <w:p>
            <w:pPr>
              <w:pStyle w:val="TableContents"/>
              <w:spacing w:before="0" w:after="160"/>
              <w:rPr/>
            </w:pPr>
            <w:r>
              <w:rPr/>
              <w:t>20 M 200 ms</w:t>
            </w:r>
          </w:p>
        </w:tc>
        <w:tc>
          <w:tcPr>
            <w:tcW w:w="2257" w:type="dxa"/>
            <w:tcBorders>
              <w:left w:val="single" w:sz="4" w:space="0" w:color="000000"/>
              <w:bottom w:val="single" w:sz="4" w:space="0" w:color="000000"/>
            </w:tcBorders>
          </w:tcPr>
          <w:p>
            <w:pPr>
              <w:pStyle w:val="TableContents"/>
              <w:spacing w:before="0" w:after="160"/>
              <w:rPr/>
            </w:pPr>
            <w:r>
              <w:rPr/>
              <w:t>124.68</w:t>
            </w:r>
          </w:p>
        </w:tc>
        <w:tc>
          <w:tcPr>
            <w:tcW w:w="2256" w:type="dxa"/>
            <w:tcBorders>
              <w:left w:val="single" w:sz="4" w:space="0" w:color="000000"/>
              <w:bottom w:val="single" w:sz="4" w:space="0" w:color="000000"/>
            </w:tcBorders>
          </w:tcPr>
          <w:p>
            <w:pPr>
              <w:pStyle w:val="TableContents"/>
              <w:spacing w:before="0" w:after="160"/>
              <w:rPr/>
            </w:pPr>
            <w:r>
              <w:rPr/>
              <w:t>209.6</w:t>
            </w:r>
          </w:p>
        </w:tc>
        <w:tc>
          <w:tcPr>
            <w:tcW w:w="2257" w:type="dxa"/>
            <w:tcBorders>
              <w:left w:val="single" w:sz="4" w:space="0" w:color="000000"/>
              <w:bottom w:val="single" w:sz="4" w:space="0" w:color="000000"/>
              <w:right w:val="single" w:sz="4" w:space="0" w:color="000000"/>
            </w:tcBorders>
          </w:tcPr>
          <w:p>
            <w:pPr>
              <w:pStyle w:val="TableContents"/>
              <w:spacing w:before="0" w:after="160"/>
              <w:rPr/>
            </w:pPr>
            <w:r>
              <w:rPr/>
              <w:t>203.8</w:t>
            </w:r>
          </w:p>
        </w:tc>
      </w:tr>
      <w:tr>
        <w:trPr/>
        <w:tc>
          <w:tcPr>
            <w:tcW w:w="2256" w:type="dxa"/>
            <w:tcBorders>
              <w:left w:val="single" w:sz="4" w:space="0" w:color="000000"/>
              <w:bottom w:val="single" w:sz="4" w:space="0" w:color="000000"/>
            </w:tcBorders>
          </w:tcPr>
          <w:p>
            <w:pPr>
              <w:pStyle w:val="TableContents"/>
              <w:rPr/>
            </w:pPr>
            <w:r>
              <w:rPr/>
              <w:t>Brightest</w:t>
            </w:r>
          </w:p>
          <w:p>
            <w:pPr>
              <w:pStyle w:val="TableContents"/>
              <w:spacing w:before="0" w:after="160"/>
              <w:rPr/>
            </w:pPr>
            <w:r>
              <w:rPr/>
              <w:t>30 M 300 ms</w:t>
            </w:r>
          </w:p>
        </w:tc>
        <w:tc>
          <w:tcPr>
            <w:tcW w:w="2257" w:type="dxa"/>
            <w:tcBorders>
              <w:left w:val="single" w:sz="4" w:space="0" w:color="000000"/>
              <w:bottom w:val="single" w:sz="4" w:space="0" w:color="000000"/>
            </w:tcBorders>
          </w:tcPr>
          <w:p>
            <w:pPr>
              <w:pStyle w:val="TableContents"/>
              <w:spacing w:before="0" w:after="160"/>
              <w:rPr/>
            </w:pPr>
            <w:r>
              <w:rPr/>
              <w:t>232</w:t>
            </w:r>
          </w:p>
        </w:tc>
        <w:tc>
          <w:tcPr>
            <w:tcW w:w="2256" w:type="dxa"/>
            <w:tcBorders>
              <w:left w:val="single" w:sz="4" w:space="0" w:color="000000"/>
              <w:bottom w:val="single" w:sz="4" w:space="0" w:color="000000"/>
            </w:tcBorders>
          </w:tcPr>
          <w:p>
            <w:pPr>
              <w:pStyle w:val="TableContents"/>
              <w:spacing w:before="0" w:after="160"/>
              <w:rPr/>
            </w:pPr>
            <w:r>
              <w:rPr/>
              <w:t>370.4</w:t>
            </w:r>
          </w:p>
        </w:tc>
        <w:tc>
          <w:tcPr>
            <w:tcW w:w="2257" w:type="dxa"/>
            <w:tcBorders>
              <w:left w:val="single" w:sz="4" w:space="0" w:color="000000"/>
              <w:bottom w:val="single" w:sz="4" w:space="0" w:color="000000"/>
              <w:right w:val="single" w:sz="4" w:space="0" w:color="000000"/>
            </w:tcBorders>
          </w:tcPr>
          <w:p>
            <w:pPr>
              <w:pStyle w:val="TableContents"/>
              <w:spacing w:before="0" w:after="160"/>
              <w:rPr/>
            </w:pPr>
            <w:r>
              <w:rPr/>
              <w:t>362.7</w:t>
            </w:r>
          </w:p>
        </w:tc>
      </w:tr>
    </w:tbl>
    <w:p>
      <w:pPr>
        <w:pStyle w:val="Normal"/>
        <w:jc w:val="both"/>
        <w:rPr>
          <w:lang w:val="en-US"/>
        </w:rPr>
      </w:pPr>
      <w:r>
        <w:rPr>
          <w:lang w:val="en-US"/>
        </w:rPr>
      </w:r>
    </w:p>
    <w:p>
      <w:pPr>
        <w:pStyle w:val="Normal"/>
        <w:jc w:val="both"/>
        <w:rPr>
          <w:lang w:val="en-US"/>
        </w:rPr>
      </w:pPr>
      <w:r>
        <w:rPr>
          <w:lang w:val="en-US"/>
        </w:rPr>
      </w:r>
    </w:p>
    <w:p>
      <w:pPr>
        <w:pStyle w:val="Normal"/>
        <w:jc w:val="left"/>
        <w:rPr/>
      </w:pPr>
      <w:r>
        <w:rPr>
          <w:lang w:val="en-US"/>
        </w:rPr>
        <w:t xml:space="preserve">[1] </w:t>
      </w:r>
      <w:hyperlink r:id="rId2">
        <w:r>
          <w:rPr>
            <w:rStyle w:val="InternetLink"/>
          </w:rPr>
          <w:t>https://doi.org/10.1088/1742-6596/1468/1/012126</w:t>
        </w:r>
      </w:hyperlink>
      <w:r>
        <w:rPr/>
        <w:t xml:space="preserve">  </w:t>
      </w:r>
      <w:r>
        <w:rPr/>
        <w:t>(CEvNS overview)</w:t>
      </w:r>
    </w:p>
    <w:p>
      <w:pPr>
        <w:pStyle w:val="Normal"/>
        <w:jc w:val="left"/>
        <w:rPr/>
      </w:pPr>
      <w:r>
        <w:rPr/>
        <w:t>[2]</w:t>
      </w:r>
      <w:r>
        <w:rPr>
          <w:lang w:val="en-US"/>
        </w:rPr>
        <w:t xml:space="preserve"> </w:t>
      </w:r>
      <w:hyperlink r:id="rId3">
        <w:r>
          <w:rPr>
            <w:rStyle w:val="InternetLink"/>
            <w:lang w:val="en-US"/>
          </w:rPr>
          <w:t>https://doi.org/10.1088/1126-6708/2005/12/021</w:t>
        </w:r>
      </w:hyperlink>
      <w:hyperlink r:id="rId4">
        <w:r>
          <w:rPr>
            <w:lang w:val="en-US"/>
          </w:rPr>
          <w:t xml:space="preserve">  </w:t>
        </w:r>
      </w:hyperlink>
      <w:r>
        <w:rPr>
          <w:lang w:val="en-US"/>
        </w:rPr>
        <w:t>(CEvNS and NSI)</w:t>
      </w:r>
    </w:p>
    <w:p>
      <w:pPr>
        <w:pStyle w:val="Normal"/>
        <w:jc w:val="left"/>
        <w:rPr/>
      </w:pPr>
      <w:r>
        <w:rPr>
          <w:lang w:val="en-US"/>
        </w:rPr>
        <w:t xml:space="preserve">[3] </w:t>
      </w:r>
      <w:hyperlink r:id="rId5">
        <w:r>
          <w:rPr>
            <w:rStyle w:val="InternetLink"/>
            <w:lang w:val="en-US"/>
          </w:rPr>
          <w:t>https://doi.org/10.1103/PhysRevD.108.113002</w:t>
        </w:r>
      </w:hyperlink>
      <w:hyperlink r:id="rId6">
        <w:r>
          <w:rPr>
            <w:lang w:val="en-US"/>
          </w:rPr>
          <w:t xml:space="preserve">  </w:t>
        </w:r>
      </w:hyperlink>
      <w:r>
        <w:rPr>
          <w:lang w:val="en-US"/>
        </w:rPr>
        <w:t>(ICNSE ASN mixing)</w:t>
      </w:r>
    </w:p>
    <w:p>
      <w:pPr>
        <w:pStyle w:val="Normal"/>
        <w:jc w:val="left"/>
        <w:rPr/>
      </w:pPr>
      <w:r>
        <w:rPr>
          <w:lang w:val="en-US"/>
        </w:rPr>
        <w:t xml:space="preserve">[4] </w:t>
      </w:r>
      <w:hyperlink r:id="rId7">
        <w:r>
          <w:rPr>
            <w:rStyle w:val="InternetLink"/>
            <w:lang w:val="en-US"/>
          </w:rPr>
          <w:t>https://doi.org/10.1016/j.physletb.2019.135133</w:t>
        </w:r>
      </w:hyperlink>
      <w:hyperlink r:id="rId8">
        <w:r>
          <w:rPr>
            <w:lang w:val="en-US"/>
          </w:rPr>
          <w:t xml:space="preserve">  </w:t>
        </w:r>
      </w:hyperlink>
      <w:r>
        <w:rPr>
          <w:lang w:val="en-US"/>
        </w:rPr>
        <w:t>(CEvNS in nuclear physics)</w:t>
      </w:r>
    </w:p>
    <w:p>
      <w:pPr>
        <w:pStyle w:val="Normal"/>
        <w:jc w:val="left"/>
        <w:rPr/>
      </w:pPr>
      <w:r>
        <w:rPr>
          <w:lang w:val="en-US"/>
        </w:rPr>
        <w:t xml:space="preserve">[5] </w:t>
      </w:r>
      <w:hyperlink r:id="rId9">
        <w:r>
          <w:rPr>
            <w:rStyle w:val="InternetLink"/>
          </w:rPr>
          <w:t>https://doi.org/10.1103/PhysRevC.86.024612</w:t>
        </w:r>
      </w:hyperlink>
      <w:r>
        <w:rPr/>
        <w:t xml:space="preserve"> </w:t>
      </w:r>
      <w:r>
        <w:rPr>
          <w:lang w:val="en-US"/>
        </w:rPr>
        <w:t>(CEvNS in nuclear physics)</w:t>
      </w:r>
    </w:p>
    <w:p>
      <w:pPr>
        <w:pStyle w:val="Normal"/>
        <w:jc w:val="left"/>
        <w:rPr/>
      </w:pPr>
      <w:r>
        <w:rPr/>
        <w:t xml:space="preserve">[6] </w:t>
      </w:r>
      <w:hyperlink r:id="rId10">
        <w:r>
          <w:rPr>
            <w:rStyle w:val="InternetLink"/>
          </w:rPr>
          <w:t>https://doi.org/10.1126/science.aao0990</w:t>
        </w:r>
      </w:hyperlink>
      <w:hyperlink r:id="rId11">
        <w:r>
          <w:rPr/>
          <w:t xml:space="preserve">  </w:t>
        </w:r>
      </w:hyperlink>
      <w:r>
        <w:rPr/>
        <w:t>(COHERENT detection)</w:t>
      </w:r>
    </w:p>
    <w:p>
      <w:pPr>
        <w:pStyle w:val="Normal"/>
        <w:jc w:val="left"/>
        <w:rPr/>
      </w:pPr>
      <w:r>
        <w:rPr/>
        <w:t xml:space="preserve">[7] </w:t>
      </w:r>
      <w:hyperlink r:id="rId12">
        <w:r>
          <w:rPr>
            <w:rStyle w:val="InternetLink"/>
          </w:rPr>
          <w:t>https://doi.org/10.1103/PhysRevD.9.1389</w:t>
        </w:r>
      </w:hyperlink>
      <w:hyperlink r:id="rId13">
        <w:r>
          <w:rPr/>
          <w:t xml:space="preserve">  </w:t>
        </w:r>
      </w:hyperlink>
      <w:r>
        <w:rPr/>
        <w:t>(CEvNS proposal)</w:t>
      </w:r>
    </w:p>
    <w:p>
      <w:pPr>
        <w:pStyle w:val="Normal"/>
        <w:jc w:val="left"/>
        <w:rPr/>
      </w:pPr>
      <w:r>
        <w:rPr/>
        <w:t xml:space="preserve">[8] </w:t>
      </w:r>
      <w:hyperlink r:id="rId14">
        <w:r>
          <w:rPr>
            <w:rStyle w:val="InternetLink"/>
          </w:rPr>
          <w:t>https://doi.org/10.1103/PhysRevD.30.2295</w:t>
        </w:r>
      </w:hyperlink>
      <w:hyperlink r:id="rId15">
        <w:r>
          <w:rPr/>
          <w:t xml:space="preserve">  </w:t>
        </w:r>
      </w:hyperlink>
      <w:r>
        <w:rPr/>
        <w:t>(CEvNS for astronomy)</w:t>
      </w:r>
    </w:p>
    <w:p>
      <w:pPr>
        <w:pStyle w:val="Normal"/>
        <w:jc w:val="left"/>
        <w:rPr/>
      </w:pPr>
      <w:r>
        <w:rPr/>
        <w:t xml:space="preserve">[9] </w:t>
      </w:r>
      <w:hyperlink r:id="rId16">
        <w:r>
          <w:rPr>
            <w:rStyle w:val="InternetLink"/>
          </w:rPr>
          <w:t>https://doi.org/10.1103/PhysRevD.68.023005</w:t>
        </w:r>
      </w:hyperlink>
      <w:hyperlink r:id="rId17">
        <w:r>
          <w:rPr/>
          <w:t xml:space="preserve">  </w:t>
        </w:r>
      </w:hyperlink>
      <w:r>
        <w:rPr/>
        <w:t>(Noble gas detector CLEAN for SNv)</w:t>
      </w:r>
    </w:p>
    <w:p>
      <w:pPr>
        <w:pStyle w:val="Normal"/>
        <w:jc w:val="left"/>
        <w:rPr/>
      </w:pPr>
      <w:r>
        <w:rPr/>
        <w:t xml:space="preserve">[10] </w:t>
      </w:r>
      <w:hyperlink r:id="rId18">
        <w:r>
          <w:rPr>
            <w:rStyle w:val="InternetLink"/>
          </w:rPr>
          <w:t>https://doi.org/10.1103/PhysRevD.91.095023</w:t>
        </w:r>
      </w:hyperlink>
      <w:hyperlink r:id="rId19">
        <w:r>
          <w:rPr/>
          <w:t xml:space="preserve">  </w:t>
        </w:r>
      </w:hyperlink>
      <w:r>
        <w:rPr/>
        <w:t>(Solar neutrino and CEvNS)</w:t>
      </w:r>
    </w:p>
    <w:p>
      <w:pPr>
        <w:pStyle w:val="Normal"/>
        <w:jc w:val="left"/>
        <w:rPr/>
      </w:pPr>
      <w:r>
        <w:rPr/>
        <w:t xml:space="preserve">[11] </w:t>
      </w:r>
      <w:hyperlink r:id="rId20">
        <w:r>
          <w:rPr>
            <w:rStyle w:val="InternetLink"/>
          </w:rPr>
          <w:t>https://doi.org/10.1103/PhysRevD.94.103009</w:t>
        </w:r>
      </w:hyperlink>
      <w:hyperlink r:id="rId21">
        <w:r>
          <w:rPr/>
          <w:t xml:space="preserve">  </w:t>
        </w:r>
      </w:hyperlink>
      <w:r>
        <w:rPr/>
        <w:t>(SNv in Xenon detector)</w:t>
      </w:r>
    </w:p>
    <w:p>
      <w:pPr>
        <w:pStyle w:val="Normal"/>
        <w:jc w:val="left"/>
        <w:rPr/>
      </w:pPr>
      <w:r>
        <w:rPr/>
        <w:t xml:space="preserve">[12] </w:t>
      </w:r>
      <w:hyperlink r:id="rId22">
        <w:r>
          <w:rPr>
            <w:rStyle w:val="InternetLink"/>
          </w:rPr>
          <w:t>https://doi.org/10.1146/annurev-nucl-102711-095006</w:t>
        </w:r>
      </w:hyperlink>
      <w:r>
        <w:rPr>
          <w:rStyle w:val="InternetLink"/>
          <w:u w:val="none"/>
        </w:rPr>
        <w:t xml:space="preserve"> </w:t>
      </w:r>
      <w:r>
        <w:rPr>
          <w:rStyle w:val="InternetLink"/>
          <w:u w:val="none"/>
        </w:rPr>
        <w:t>(Snv detection)</w:t>
      </w:r>
    </w:p>
    <w:p>
      <w:pPr>
        <w:pStyle w:val="Normal"/>
        <w:jc w:val="left"/>
        <w:rPr/>
      </w:pPr>
      <w:r>
        <w:rPr/>
        <w:t xml:space="preserve">[13] </w:t>
      </w:r>
      <w:hyperlink r:id="rId23">
        <w:r>
          <w:rPr>
            <w:rStyle w:val="InternetLink"/>
          </w:rPr>
          <w:t>https://doi.org/10.1146/annurev.aa.24.090186.001225</w:t>
        </w:r>
      </w:hyperlink>
      <w:r>
        <w:rPr>
          <w:rStyle w:val="InternetLink"/>
          <w:u w:val="none"/>
        </w:rPr>
        <w:t xml:space="preserve"> </w:t>
      </w:r>
      <w:r>
        <w:rPr>
          <w:rStyle w:val="InternetLink"/>
          <w:u w:val="none"/>
        </w:rPr>
        <w:t>(</w:t>
      </w:r>
      <w:r>
        <w:rPr>
          <w:rStyle w:val="InternetLink"/>
          <w:u w:val="none"/>
        </w:rPr>
        <w:t>The Physics of Supernova Explosions</w:t>
      </w:r>
      <w:r>
        <w:rPr>
          <w:rStyle w:val="InternetLink"/>
          <w:u w:val="none"/>
        </w:rPr>
        <w:t>)</w:t>
      </w:r>
    </w:p>
    <w:p>
      <w:pPr>
        <w:pStyle w:val="Normal"/>
        <w:jc w:val="left"/>
        <w:rPr/>
      </w:pPr>
      <w:r>
        <w:rPr/>
        <w:t xml:space="preserve">[14] </w:t>
      </w:r>
      <w:hyperlink r:id="rId24">
        <w:r>
          <w:rPr>
            <w:rStyle w:val="InternetLink"/>
          </w:rPr>
          <w:t>https://doi.org/10.1007/978-3-319-21846-5_4</w:t>
        </w:r>
      </w:hyperlink>
      <w:r>
        <w:rPr>
          <w:rStyle w:val="InternetLink"/>
          <w:u w:val="none"/>
        </w:rPr>
        <w:t xml:space="preserve"> </w:t>
      </w:r>
      <w:r>
        <w:rPr>
          <w:rStyle w:val="InternetLink"/>
          <w:u w:val="none"/>
        </w:rPr>
        <w:t>(</w:t>
      </w:r>
      <w:r>
        <w:rPr>
          <w:rFonts w:ascii="Calibri" w:hAnsi="Calibri"/>
          <w:b w:val="false"/>
          <w:bCs w:val="false"/>
          <w:sz w:val="22"/>
          <w:szCs w:val="22"/>
        </w:rPr>
        <w:t>Neutrino Emission from Supernovae</w:t>
      </w:r>
      <w:r>
        <w:rPr>
          <w:rStyle w:val="InternetLink"/>
          <w:u w:val="none"/>
        </w:rPr>
        <w:t>)</w:t>
      </w:r>
    </w:p>
    <w:p>
      <w:pPr>
        <w:pStyle w:val="Normal"/>
        <w:jc w:val="left"/>
        <w:rPr/>
      </w:pPr>
      <w:r>
        <w:rPr/>
        <w:t xml:space="preserve">[15] </w:t>
      </w:r>
      <w:hyperlink r:id="rId25">
        <w:r>
          <w:rPr>
            <w:rStyle w:val="InternetLink"/>
          </w:rPr>
          <w:t>https://doi.org/10.3847/1538-4357/ac8f41</w:t>
        </w:r>
      </w:hyperlink>
      <w:r>
        <w:rPr/>
        <w:t xml:space="preserve"> (SuperKamiokande)</w:t>
      </w:r>
    </w:p>
    <w:p>
      <w:pPr>
        <w:pStyle w:val="Normal"/>
        <w:jc w:val="left"/>
        <w:rPr/>
      </w:pPr>
      <w:r>
        <w:rPr/>
        <w:t xml:space="preserve">[16] </w:t>
      </w:r>
      <w:hyperlink r:id="rId26">
        <w:r>
          <w:rPr>
            <w:rStyle w:val="InternetLink"/>
          </w:rPr>
          <w:t>https://commons.wikimedia.org/wiki/File:Pauli_letter_collection,_letter_to_Lise_Meitner_4_December_1930.pdf</w:t>
        </w:r>
      </w:hyperlink>
    </w:p>
    <w:p>
      <w:pPr>
        <w:pStyle w:val="Normal"/>
        <w:jc w:val="left"/>
        <w:rPr/>
      </w:pPr>
      <w:r>
        <w:rPr/>
        <w:t xml:space="preserve">[17] </w:t>
      </w:r>
      <w:hyperlink r:id="rId27">
        <w:r>
          <w:rPr>
            <w:rStyle w:val="InternetLink"/>
          </w:rPr>
          <w:t>https://doi.org/10.1103/PhysRevLett.58.1490</w:t>
        </w:r>
      </w:hyperlink>
      <w:hyperlink r:id="rId28">
        <w:r>
          <w:rPr/>
          <w:t xml:space="preserve">  [kamiokande II 1987A detection]</w:t>
        </w:r>
      </w:hyperlink>
    </w:p>
    <w:p>
      <w:pPr>
        <w:pStyle w:val="Normal"/>
        <w:jc w:val="left"/>
        <w:rPr/>
      </w:pPr>
      <w:r>
        <w:rPr/>
        <w:t xml:space="preserve">[18] </w:t>
      </w:r>
      <w:hyperlink r:id="rId29">
        <w:r>
          <w:rPr>
            <w:rStyle w:val="InternetLink"/>
          </w:rPr>
          <w:t>https://doi.org/10.1103/PhysRevLett.58.1494</w:t>
        </w:r>
      </w:hyperlink>
      <w:hyperlink r:id="rId30">
        <w:r>
          <w:rPr/>
          <w:t xml:space="preserve">  [IMB 1987A detection]</w:t>
        </w:r>
      </w:hyperlink>
    </w:p>
    <w:p>
      <w:pPr>
        <w:pStyle w:val="Normal"/>
        <w:jc w:val="left"/>
        <w:rPr/>
      </w:pPr>
      <w:r>
        <w:rPr/>
        <w:t xml:space="preserve">[19] </w:t>
      </w:r>
      <w:hyperlink r:id="rId31">
        <w:r>
          <w:rPr>
            <w:rStyle w:val="InternetLink"/>
          </w:rPr>
          <w:t>https://doi.org/</w:t>
        </w:r>
        <w:r>
          <w:rPr>
            <w:rStyle w:val="InternetLink"/>
          </w:rPr>
          <w:t>10.1088/0067-0049/205/1/2</w:t>
        </w:r>
      </w:hyperlink>
      <w:hyperlink r:id="rId32">
        <w:r>
          <w:rPr/>
          <w:t xml:space="preserve">  </w:t>
        </w:r>
      </w:hyperlink>
      <w:r>
        <w:rPr/>
        <w:t>[Nakazato]</w:t>
      </w:r>
    </w:p>
    <w:p>
      <w:pPr>
        <w:pStyle w:val="Normal"/>
        <w:jc w:val="left"/>
        <w:rPr/>
      </w:pPr>
      <w:r>
        <w:rPr/>
        <w:t xml:space="preserve">[20] </w:t>
      </w:r>
      <w:hyperlink r:id="rId33">
        <w:r>
          <w:rPr>
            <w:rStyle w:val="InternetLink"/>
          </w:rPr>
          <w:t>https://doi.org/10.3847/0004-637X/819/1/7</w:t>
        </w:r>
      </w:hyperlink>
      <w:hyperlink r:id="rId34">
        <w:r>
          <w:rPr/>
          <w:t xml:space="preserve">  [20M betelgeuse]</w:t>
        </w:r>
      </w:hyperlink>
    </w:p>
    <w:p>
      <w:pPr>
        <w:pStyle w:val="Normal"/>
        <w:jc w:val="left"/>
        <w:rPr/>
      </w:pPr>
      <w:r>
        <w:rPr/>
        <w:t xml:space="preserve">[21] </w:t>
      </w:r>
      <w:hyperlink r:id="rId35">
        <w:r>
          <w:rPr>
            <w:rStyle w:val="InternetLink"/>
          </w:rPr>
          <w:t>https://doi.org/10.1093/mnras/stac1969</w:t>
        </w:r>
      </w:hyperlink>
      <w:r>
        <w:rPr/>
        <w:t xml:space="preserve"> </w:t>
      </w:r>
      <w:r>
        <w:rPr/>
        <w:t>[14M betelgeuse]</w:t>
      </w:r>
    </w:p>
    <w:p>
      <w:pPr>
        <w:pStyle w:val="Normal"/>
        <w:jc w:val="left"/>
        <w:rPr/>
      </w:pPr>
      <w:r>
        <w:rPr/>
        <w:t xml:space="preserve">[22] </w:t>
      </w:r>
      <w:hyperlink r:id="rId36">
        <w:r>
          <w:rPr>
            <w:rStyle w:val="InternetLink"/>
          </w:rPr>
          <w:t>https://doi.org/10.1016/j.nima.2022.167634</w:t>
        </w:r>
      </w:hyperlink>
      <w:hyperlink r:id="rId37">
        <w:r>
          <w:rPr/>
          <w:t xml:space="preserve"> </w:t>
        </w:r>
      </w:hyperlink>
      <w:r>
        <w:rPr/>
        <w:t>[NISER sapphire detector]</w:t>
      </w:r>
    </w:p>
    <w:p>
      <w:pPr>
        <w:pStyle w:val="Normal"/>
        <w:jc w:val="left"/>
        <w:rPr/>
      </w:pPr>
      <w:r>
        <w:rPr/>
        <w:t xml:space="preserve">[23] </w:t>
      </w:r>
      <w:hyperlink r:id="rId38">
        <w:r>
          <w:rPr>
            <w:rStyle w:val="InternetLink"/>
          </w:rPr>
          <w:t>https://doi.org/10.1103/PhysRevD.97.022002</w:t>
        </w:r>
      </w:hyperlink>
      <w:r>
        <w:rPr/>
        <w:t xml:space="preserve"> [Ge resolution]</w:t>
      </w:r>
    </w:p>
    <w:p>
      <w:pPr>
        <w:pStyle w:val="Normal"/>
        <w:spacing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b664cd"/>
    <w:rPr>
      <w:color w:val="0563C1" w:themeColor="hyperlink"/>
      <w:u w:val="single"/>
    </w:rPr>
  </w:style>
  <w:style w:type="character" w:styleId="UnresolvedMention">
    <w:name w:val="Unresolved Mention"/>
    <w:basedOn w:val="DefaultParagraphFont"/>
    <w:uiPriority w:val="99"/>
    <w:semiHidden/>
    <w:unhideWhenUsed/>
    <w:qFormat/>
    <w:rsid w:val="00b664cd"/>
    <w:rPr>
      <w:color w:val="605E5C"/>
      <w:shd w:fill="E1DFDD" w:val="clear"/>
    </w:rPr>
  </w:style>
  <w:style w:type="character" w:styleId="PlaceholderText">
    <w:name w:val="Placeholder Text"/>
    <w:basedOn w:val="DefaultParagraphFont"/>
    <w:uiPriority w:val="99"/>
    <w:semiHidden/>
    <w:qFormat/>
    <w:rsid w:val="004e7df0"/>
    <w:rPr>
      <w:color w:val="666666"/>
    </w:rPr>
  </w:style>
  <w:style w:type="character" w:styleId="VisitedInternetLink">
    <w:name w:val="FollowedHyperlink"/>
    <w:basedOn w:val="DefaultParagraphFont"/>
    <w:uiPriority w:val="99"/>
    <w:semiHidden/>
    <w:unhideWhenUsed/>
    <w:rsid w:val="006264a5"/>
    <w:rPr>
      <w:color w:val="954F72" w:themeColor="followedHyperlink"/>
      <w:u w:val="single"/>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88/1742-6596/1468/1/012126" TargetMode="External"/><Relationship Id="rId3" Type="http://schemas.openxmlformats.org/officeDocument/2006/relationships/hyperlink" Target="https://doi.org/10.1088/1126-6708/2005/12/021" TargetMode="External"/><Relationship Id="rId4" Type="http://schemas.openxmlformats.org/officeDocument/2006/relationships/hyperlink" Target="" TargetMode="External"/><Relationship Id="rId5" Type="http://schemas.openxmlformats.org/officeDocument/2006/relationships/hyperlink" Target="https://doi.org/10.1103/PhysRevD.108.113002" TargetMode="External"/><Relationship Id="rId6" Type="http://schemas.openxmlformats.org/officeDocument/2006/relationships/hyperlink" Target="" TargetMode="External"/><Relationship Id="rId7" Type="http://schemas.openxmlformats.org/officeDocument/2006/relationships/hyperlink" Target="https://doi.org/10.1016/j.physletb.2019.135133" TargetMode="External"/><Relationship Id="rId8" Type="http://schemas.openxmlformats.org/officeDocument/2006/relationships/hyperlink" Target="" TargetMode="External"/><Relationship Id="rId9" Type="http://schemas.openxmlformats.org/officeDocument/2006/relationships/hyperlink" Target="https://doi.org/10.1103/PhysRevC.86.024612" TargetMode="External"/><Relationship Id="rId10" Type="http://schemas.openxmlformats.org/officeDocument/2006/relationships/hyperlink" Target="https://doi.org/10.1126/science.aao0990" TargetMode="External"/><Relationship Id="rId11" Type="http://schemas.openxmlformats.org/officeDocument/2006/relationships/hyperlink" Target="" TargetMode="External"/><Relationship Id="rId12" Type="http://schemas.openxmlformats.org/officeDocument/2006/relationships/hyperlink" Target="https://doi.org/10.1103/PhysRevD.9.1389" TargetMode="External"/><Relationship Id="rId13" Type="http://schemas.openxmlformats.org/officeDocument/2006/relationships/hyperlink" Target="" TargetMode="External"/><Relationship Id="rId14" Type="http://schemas.openxmlformats.org/officeDocument/2006/relationships/hyperlink" Target="https://doi.org/10.1103/PhysRevD.30.2295" TargetMode="External"/><Relationship Id="rId15" Type="http://schemas.openxmlformats.org/officeDocument/2006/relationships/hyperlink" Target="" TargetMode="External"/><Relationship Id="rId16" Type="http://schemas.openxmlformats.org/officeDocument/2006/relationships/hyperlink" Target="https://doi.org/10.1103/PhysRevD.68.023005" TargetMode="External"/><Relationship Id="rId17" Type="http://schemas.openxmlformats.org/officeDocument/2006/relationships/hyperlink" Target="" TargetMode="External"/><Relationship Id="rId18" Type="http://schemas.openxmlformats.org/officeDocument/2006/relationships/hyperlink" Target="https://doi.org/10.1103/PhysRevD.91.095023" TargetMode="External"/><Relationship Id="rId19" Type="http://schemas.openxmlformats.org/officeDocument/2006/relationships/hyperlink" Target="" TargetMode="External"/><Relationship Id="rId20" Type="http://schemas.openxmlformats.org/officeDocument/2006/relationships/hyperlink" Target="https://doi.org/10.1103/PhysRevD.94.103009" TargetMode="External"/><Relationship Id="rId21" Type="http://schemas.openxmlformats.org/officeDocument/2006/relationships/hyperlink" Target="" TargetMode="External"/><Relationship Id="rId22" Type="http://schemas.openxmlformats.org/officeDocument/2006/relationships/hyperlink" Target="https://doi.org/10.1146/annurev-nucl-102711-095006" TargetMode="External"/><Relationship Id="rId23" Type="http://schemas.openxmlformats.org/officeDocument/2006/relationships/hyperlink" Target="https://doi.org/10.1146/annurev.aa.24.090186.001225" TargetMode="External"/><Relationship Id="rId24" Type="http://schemas.openxmlformats.org/officeDocument/2006/relationships/hyperlink" Target="https://doi.org/10.1007/978-3-319-21846-5_4" TargetMode="External"/><Relationship Id="rId25" Type="http://schemas.openxmlformats.org/officeDocument/2006/relationships/hyperlink" Target="https://doi.org/10.3847/1538-4357/ac8f41" TargetMode="External"/><Relationship Id="rId26" Type="http://schemas.openxmlformats.org/officeDocument/2006/relationships/hyperlink" Target="https://commons.wikimedia.org/wiki/File:Pauli_letter_collection,_letter_to_Lise_Meitner_4_December_1930.pdf" TargetMode="External"/><Relationship Id="rId27" Type="http://schemas.openxmlformats.org/officeDocument/2006/relationships/hyperlink" Target="https://doi.org/10.1103/PhysRevLett.58.1490" TargetMode="External"/><Relationship Id="rId28" Type="http://schemas.openxmlformats.org/officeDocument/2006/relationships/hyperlink" Target="" TargetMode="External"/><Relationship Id="rId29" Type="http://schemas.openxmlformats.org/officeDocument/2006/relationships/hyperlink" Target="https://doi.org/10.1103/PhysRevLett.58.1494" TargetMode="External"/><Relationship Id="rId30" Type="http://schemas.openxmlformats.org/officeDocument/2006/relationships/hyperlink" Target="" TargetMode="External"/><Relationship Id="rId31" Type="http://schemas.openxmlformats.org/officeDocument/2006/relationships/hyperlink" Target="https://doi.org/10.1088/0067-0049/205/1/2" TargetMode="External"/><Relationship Id="rId32" Type="http://schemas.openxmlformats.org/officeDocument/2006/relationships/hyperlink" Target="" TargetMode="External"/><Relationship Id="rId33" Type="http://schemas.openxmlformats.org/officeDocument/2006/relationships/hyperlink" Target="https://doi.org/10.3847/0004-637X/819/1/7" TargetMode="External"/><Relationship Id="rId34" Type="http://schemas.openxmlformats.org/officeDocument/2006/relationships/hyperlink" Target="" TargetMode="External"/><Relationship Id="rId35" Type="http://schemas.openxmlformats.org/officeDocument/2006/relationships/hyperlink" Target="https://doi.org/10.1093/mnras/stac1969" TargetMode="External"/><Relationship Id="rId36" Type="http://schemas.openxmlformats.org/officeDocument/2006/relationships/hyperlink" Target="https://doi.org/10.1016/j.nima.2022.167634" TargetMode="External"/><Relationship Id="rId37" Type="http://schemas.openxmlformats.org/officeDocument/2006/relationships/hyperlink" Target="" TargetMode="External"/><Relationship Id="rId38" Type="http://schemas.openxmlformats.org/officeDocument/2006/relationships/hyperlink" Target="https://doi.org/10.1103/PhysRevD.97.022002" TargetMode="Externa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3192</TotalTime>
  <Application>LibreOffice/7.5.9.2$Linux_X86_64 LibreOffice_project/50$Build-2</Application>
  <AppVersion>15.0000</AppVersion>
  <Pages>4</Pages>
  <Words>978</Words>
  <Characters>6087</Characters>
  <CharactersWithSpaces>7009</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2024-01-22T08:07:00Z</dcterms:created>
  <dc:creator>Kirtikesh Kumar</dc:creator>
  <dc:description/>
  <dc:language>en-US</dc:language>
  <cp:lastModifiedBy/>
  <dcterms:modified xsi:type="dcterms:W3CDTF">2024-01-31T11:18:13Z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