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1143000" cy="287909"/>
            <wp:effectExtent b="0" l="0" r="0" t="0"/>
            <wp:docPr id="1" name="image-29eedc49ad1754c9ad1a4937e50ac66ed6fb4168.png"/>
            <a:graphic>
              <a:graphicData uri="http://schemas.openxmlformats.org/drawingml/2006/picture">
                <pic:pic>
                  <pic:nvPicPr>
                    <pic:cNvPr id="1" name="image-29eedc49ad1754c9ad1a4937e50ac66ed6fb4168.png" descr=""/>
                    <pic:cNvPicPr/>
                  </pic:nvPicPr>
                  <pic:blipFill>
                    <a:blip r:embed="rId5" cstate="print"/>
                    <a:srcRect b="0" l="0" r="0" t="0"/>
                    <a:stretch>
                      <a:fillRect/>
                    </a:stretch>
                  </pic:blipFill>
                  <pic:spPr>
                    <a:xfrm>
                      <a:off x="0" y="0"/>
                      <a:ext cx="1143000" cy="287909"/>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Latest Research Papers on Blockchain-Federated Learning in Medical Collaboration: A Comprehensive Literature Review</w:t>
      </w:r>
    </w:p>
    <w:p>
      <w:pPr>
        <w:spacing w:line="360" w:before="315" w:after="105" w:lineRule="auto"/>
        <w:ind w:left="-30"/>
        <w:jc w:val="left"/>
      </w:pPr>
      <w:r>
        <w:rPr>
          <w:rFonts w:eastAsia="inter" w:cs="inter" w:ascii="inter" w:hAnsi="inter"/>
          <w:b/>
          <w:color w:val="000000"/>
          <w:sz w:val="24"/>
        </w:rPr>
        <w:t xml:space="preserve">Overview</w:t>
      </w:r>
    </w:p>
    <w:p>
      <w:pPr>
        <w:spacing w:line="360" w:after="210" w:lineRule="auto"/>
      </w:pPr>
      <w:r>
        <w:rPr>
          <w:rFonts w:eastAsia="inter" w:cs="inter" w:ascii="inter" w:hAnsi="inter"/>
          <w:color w:val="000000"/>
        </w:rPr>
        <w:t xml:space="preserve">The landscape of blockchain-based federated learning for medical collaboration has experienced remarkable growth and innovation in recent years. This comprehensive review examines the latest research papers published from 2024 through early 2025, highlighting cutting-edge developments, emerging trends, and novel frameworks that advance the field beyond traditional approaches</w:t>
      </w:r>
      <w:bookmarkStart w:id="0" w:name="fnref1"/>
      <w:bookmarkEnd w:id="0"/>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Recent Survey Papers and Comprehensive Reviews</w:t>
      </w:r>
    </w:p>
    <w:p>
      <w:pPr>
        <w:spacing w:line="360" w:before="315" w:after="105" w:lineRule="auto"/>
        <w:ind w:left="-30"/>
        <w:jc w:val="left"/>
      </w:pPr>
      <w:r>
        <w:rPr>
          <w:rFonts w:eastAsia="inter" w:cs="inter" w:ascii="inter" w:hAnsi="inter"/>
          <w:b/>
          <w:color w:val="000000"/>
          <w:sz w:val="24"/>
        </w:rPr>
        <w:t xml:space="preserve">Foundational Survey Studies</w:t>
      </w:r>
    </w:p>
    <w:p>
      <w:pPr>
        <w:spacing w:line="360" w:after="210" w:lineRule="auto"/>
      </w:pPr>
      <w:r>
        <w:rPr>
          <w:rFonts w:eastAsia="inter" w:cs="inter" w:ascii="inter" w:hAnsi="inter"/>
          <w:b/>
          <w:color w:val="000000"/>
        </w:rPr>
        <w:t xml:space="preserve">Federated Learning for Medical Image Analysis: A Survey (2024)</w:t>
      </w:r>
      <w:bookmarkStart w:id="1" w:name="fnref2"/>
      <w:bookmarkEnd w:id="1"/>
      <w:hyperlink w:anchor="fn2">
        <w:r>
          <w:rPr>
            <w:rFonts w:eastAsia="inter" w:cs="inter" w:ascii="inter" w:hAnsi="inter"/>
            <w:color w:val="#000"/>
            <w:u w:val="single"/>
            <w:vertAlign w:val="superscript"/>
          </w:rPr>
          <w:t xml:space="preserve">[2]</w:t>
        </w:r>
      </w:hyperlink>
      <w:bookmarkStart w:id="2" w:name="fnref3"/>
      <w:bookmarkEnd w:id="2"/>
      <w:hyperlink w:anchor="fn3">
        <w:r>
          <w:rPr>
            <w:rFonts w:eastAsia="inter" w:cs="inter" w:ascii="inter" w:hAnsi="inter"/>
            <w:color w:val="#000"/>
            <w:u w:val="single"/>
            <w:vertAlign w:val="superscript"/>
          </w:rPr>
          <w:t xml:space="preserve">[3]</w:t>
        </w:r>
      </w:hyperlink>
      <w:r>
        <w:rPr>
          <w:rFonts w:eastAsia="inter" w:cs="inter" w:ascii="inter" w:hAnsi="inter"/>
          <w:color w:val="000000"/>
        </w:rPr>
        <w:t xml:space="preserve"> represents one of the most comprehensive recent reviews, systematically analyzing federated learning methods in medical imaging published between 2017 and 2023. The survey categorizes existing methods based on three critical aspects: client end, server end, and communication techniques, providing insights into specific research problems in medical image analysis</w:t>
      </w:r>
      <w:bookmarkStart w:id="3" w:name="fnref3:1"/>
      <w:bookmarkEnd w:id="3"/>
      <w:hyperlink w:anchor="fn3">
        <w:r>
          <w:rPr>
            <w:rFonts w:eastAsia="inter" w:cs="inter" w:ascii="inter" w:hAnsi="inter"/>
            <w:color w:val="#000"/>
            <w:u w:val="single"/>
            <w:vertAlign w:val="superscript"/>
          </w:rPr>
          <w:t xml:space="preserve">[3]</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Federated Learning for Analysis of Medical Images: A Survey (2024)</w:t>
      </w:r>
      <w:bookmarkStart w:id="4" w:name="fnref4"/>
      <w:bookmarkEnd w:id="4"/>
      <w:hyperlink w:anchor="fn4">
        <w:r>
          <w:rPr>
            <w:rFonts w:eastAsia="inter" w:cs="inter" w:ascii="inter" w:hAnsi="inter"/>
            <w:color w:val="#000"/>
            <w:u w:val="single"/>
            <w:vertAlign w:val="superscript"/>
          </w:rPr>
          <w:t xml:space="preserve">[4]</w:t>
        </w:r>
      </w:hyperlink>
      <w:r>
        <w:rPr>
          <w:rFonts w:eastAsia="inter" w:cs="inter" w:ascii="inter" w:hAnsi="inter"/>
          <w:color w:val="000000"/>
        </w:rPr>
        <w:t xml:space="preserve"> fills a crucial research gap by providing a comprehensive survey specifically focused on medical imaging applications. The authors emphasize that while general federated learning surveys exist, the particular component of medical imaging has been underexplored, making this work particularly valuable for researchers in the field</w:t>
      </w:r>
      <w:bookmarkStart w:id="5" w:name="fnref4:1"/>
      <w:bookmarkEnd w:id="5"/>
      <w:hyperlink w:anchor="fn4">
        <w:r>
          <w:rPr>
            <w:rFonts w:eastAsia="inter" w:cs="inter" w:ascii="inter" w:hAnsi="inter"/>
            <w:color w:val="#000"/>
            <w:u w:val="single"/>
            <w:vertAlign w:val="superscript"/>
          </w:rPr>
          <w:t xml:space="preserve">[4]</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Healthcare Implementation Reviews</w:t>
      </w:r>
    </w:p>
    <w:p>
      <w:pPr>
        <w:spacing w:line="360" w:after="210" w:lineRule="auto"/>
      </w:pPr>
      <w:r>
        <w:rPr>
          <w:rFonts w:eastAsia="inter" w:cs="inter" w:ascii="inter" w:hAnsi="inter"/>
          <w:b/>
          <w:color w:val="000000"/>
        </w:rPr>
        <w:t xml:space="preserve">Implementing Federated Learning in Healthcare: From Challenges and Pitfalls to Recommendations and Opportunities (2024)</w:t>
      </w:r>
      <w:bookmarkStart w:id="6" w:name="fnref5"/>
      <w:bookmarkEnd w:id="6"/>
      <w:hyperlink w:anchor="fn5">
        <w:r>
          <w:rPr>
            <w:rFonts w:eastAsia="inter" w:cs="inter" w:ascii="inter" w:hAnsi="inter"/>
            <w:color w:val="#000"/>
            <w:u w:val="single"/>
            <w:vertAlign w:val="superscript"/>
          </w:rPr>
          <w:t xml:space="preserve">[5]</w:t>
        </w:r>
      </w:hyperlink>
      <w:r>
        <w:rPr>
          <w:rFonts w:eastAsia="inter" w:cs="inter" w:ascii="inter" w:hAnsi="inter"/>
          <w:color w:val="000000"/>
        </w:rPr>
        <w:t xml:space="preserve"> offers a critical analysis of federated learning implementations in healthcare up to May 2024. The authors find that the vast majority of studies are not appropriate for clinical use due to methodological flaws, privacy concerns, generalization issues, and communication costs</w:t>
      </w:r>
      <w:bookmarkStart w:id="7" w:name="fnref5:1"/>
      <w:bookmarkEnd w:id="7"/>
      <w:hyperlink w:anchor="fn5">
        <w:r>
          <w:rPr>
            <w:rFonts w:eastAsia="inter" w:cs="inter" w:ascii="inter" w:hAnsi="inter"/>
            <w:color w:val="#000"/>
            <w:u w:val="single"/>
            <w:vertAlign w:val="superscript"/>
          </w:rPr>
          <w:t xml:space="preserve">[5]</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Novel Blockchain-Federated Learning Frameworks</w:t>
      </w:r>
    </w:p>
    <w:p>
      <w:pPr>
        <w:spacing w:line="360" w:before="315" w:after="105" w:lineRule="auto"/>
        <w:ind w:left="-30"/>
        <w:jc w:val="left"/>
      </w:pPr>
      <w:r>
        <w:rPr>
          <w:rFonts w:eastAsia="inter" w:cs="inter" w:ascii="inter" w:hAnsi="inter"/>
          <w:b/>
          <w:color w:val="000000"/>
          <w:sz w:val="24"/>
        </w:rPr>
        <w:t xml:space="preserve">Advanced Privacy-Preserving Frameworks</w:t>
      </w:r>
    </w:p>
    <w:p>
      <w:pPr>
        <w:spacing w:line="360" w:after="210" w:lineRule="auto"/>
      </w:pPr>
      <w:r>
        <w:rPr>
          <w:rFonts w:eastAsia="inter" w:cs="inter" w:ascii="inter" w:hAnsi="inter"/>
          <w:b/>
          <w:color w:val="000000"/>
        </w:rPr>
        <w:t xml:space="preserve">Privacy Preserving Federated Blockchain Explainable Artificial Intelligence Optimization (PPFBXAIO) Framework (2025)</w:t>
      </w:r>
      <w:bookmarkStart w:id="8" w:name="fnref6"/>
      <w:bookmarkEnd w:id="8"/>
      <w:hyperlink w:anchor="fn6">
        <w:r>
          <w:rPr>
            <w:rFonts w:eastAsia="inter" w:cs="inter" w:ascii="inter" w:hAnsi="inter"/>
            <w:color w:val="#000"/>
            <w:u w:val="single"/>
            <w:vertAlign w:val="superscript"/>
          </w:rPr>
          <w:t xml:space="preserve">[6]</w:t>
        </w:r>
      </w:hyperlink>
      <w:r>
        <w:rPr>
          <w:rFonts w:eastAsia="inter" w:cs="inter" w:ascii="inter" w:hAnsi="inter"/>
          <w:color w:val="000000"/>
        </w:rPr>
        <w:t xml:space="preserve"> represents a significant advancement in the field. This framework integrates blockchain technology, Explainable AI (XAI), and optimization techniques to ensure privacy, traceability, and robustness in FL-based systems. The framework achieved impressive results with 95.07% accuracy on breast cancer data and 93.07% accuracy on heart disease data, while reducing latency by 81ms compared to traditional models</w:t>
      </w:r>
      <w:bookmarkStart w:id="9" w:name="fnref6:1"/>
      <w:bookmarkEnd w:id="9"/>
      <w:hyperlink w:anchor="fn6">
        <w:r>
          <w:rPr>
            <w:rFonts w:eastAsia="inter" w:cs="inter" w:ascii="inter" w:hAnsi="inter"/>
            <w:color w:val="#000"/>
            <w:u w:val="single"/>
            <w:vertAlign w:val="superscript"/>
          </w:rPr>
          <w:t xml:space="preserve">[6]</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Advancing Medical Innovation through Blockchain-Secured Federated Learning (2025)</w:t>
      </w:r>
      <w:bookmarkStart w:id="10" w:name="fnref7"/>
      <w:bookmarkEnd w:id="10"/>
      <w:hyperlink w:anchor="fn7">
        <w:r>
          <w:rPr>
            <w:rFonts w:eastAsia="inter" w:cs="inter" w:ascii="inter" w:hAnsi="inter"/>
            <w:color w:val="#000"/>
            <w:u w:val="single"/>
            <w:vertAlign w:val="superscript"/>
          </w:rPr>
          <w:t xml:space="preserve">[7]</w:t>
        </w:r>
      </w:hyperlink>
      <w:r>
        <w:rPr>
          <w:rFonts w:eastAsia="inter" w:cs="inter" w:ascii="inter" w:hAnsi="inter"/>
          <w:color w:val="000000"/>
        </w:rPr>
        <w:t xml:space="preserve"> introduces a novel approach leveraging blockchain technology to facilitate federated learning with Electronic Medical Records (EMRs). The framework enhances data integrity, immutability, and trust in a decentralized environment, with smart contracts enforcing data usage policies and maintaining control over data ownership</w:t>
      </w:r>
      <w:bookmarkStart w:id="11" w:name="fnref7:1"/>
      <w:bookmarkEnd w:id="11"/>
      <w:hyperlink w:anchor="fn7">
        <w:r>
          <w:rPr>
            <w:rFonts w:eastAsia="inter" w:cs="inter" w:ascii="inter" w:hAnsi="inter"/>
            <w:color w:val="#000"/>
            <w:u w:val="single"/>
            <w:vertAlign w:val="superscript"/>
          </w:rPr>
          <w:t xml:space="preserve">[7]</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Smart Contract Integration</w:t>
      </w:r>
    </w:p>
    <w:p>
      <w:pPr>
        <w:spacing w:line="360" w:after="210" w:lineRule="auto"/>
      </w:pPr>
      <w:r>
        <w:rPr>
          <w:rFonts w:eastAsia="inter" w:cs="inter" w:ascii="inter" w:hAnsi="inter"/>
          <w:b/>
          <w:color w:val="000000"/>
        </w:rPr>
        <w:t xml:space="preserve">Patient-Centric Federated Learning: Automating Meaningful Consent (2025)</w:t>
      </w:r>
      <w:bookmarkStart w:id="12" w:name="fnref8"/>
      <w:bookmarkEnd w:id="12"/>
      <w:hyperlink w:anchor="fn8">
        <w:r>
          <w:rPr>
            <w:rFonts w:eastAsia="inter" w:cs="inter" w:ascii="inter" w:hAnsi="inter"/>
            <w:color w:val="#000"/>
            <w:u w:val="single"/>
            <w:vertAlign w:val="superscript"/>
          </w:rPr>
          <w:t xml:space="preserve">[8]</w:t>
        </w:r>
      </w:hyperlink>
      <w:r>
        <w:rPr>
          <w:rFonts w:eastAsia="inter" w:cs="inter" w:ascii="inter" w:hAnsi="inter"/>
          <w:color w:val="000000"/>
        </w:rPr>
        <w:t xml:space="preserve"> presents groundbreaking work on integrating smart contracts with federated learning to automate meaningful consent to health data sharing. The research addresses the principle-agent problem by providing mechanisms to automatically ensure that data transactions reflect patient-level data sharing preferences</w:t>
      </w:r>
      <w:bookmarkStart w:id="13" w:name="fnref8:1"/>
      <w:bookmarkEnd w:id="13"/>
      <w:hyperlink w:anchor="fn8">
        <w:r>
          <w:rPr>
            <w:rFonts w:eastAsia="inter" w:cs="inter" w:ascii="inter" w:hAnsi="inter"/>
            <w:color w:val="#000"/>
            <w:u w:val="single"/>
            <w:vertAlign w:val="superscript"/>
          </w:rPr>
          <w:t xml:space="preserve">[8]</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Federated Medical Learning Framework Based on Blockchain and Homomorphic Encryption (2024)</w:t>
      </w:r>
      <w:bookmarkStart w:id="14" w:name="fnref9"/>
      <w:bookmarkEnd w:id="14"/>
      <w:hyperlink w:anchor="fn9">
        <w:r>
          <w:rPr>
            <w:rFonts w:eastAsia="inter" w:cs="inter" w:ascii="inter" w:hAnsi="inter"/>
            <w:color w:val="#000"/>
            <w:u w:val="single"/>
            <w:vertAlign w:val="superscript"/>
          </w:rPr>
          <w:t xml:space="preserve">[9]</w:t>
        </w:r>
      </w:hyperlink>
      <w:r>
        <w:rPr>
          <w:rFonts w:eastAsia="inter" w:cs="inter" w:ascii="inter" w:hAnsi="inter"/>
          <w:color w:val="000000"/>
        </w:rPr>
        <w:t xml:space="preserve"> proposes a comprehensive privacy protection framework using cross-silo federated learning, blockchain, and threshold homomorphic encryption. The framework effectively addresses single-point failure and inference attacks while maintaining accuracy consistent with original federated learning schemes</w:t>
      </w:r>
      <w:bookmarkStart w:id="15" w:name="fnref9:1"/>
      <w:bookmarkEnd w:id="15"/>
      <w:hyperlink w:anchor="fn9">
        <w:r>
          <w:rPr>
            <w:rFonts w:eastAsia="inter" w:cs="inter" w:ascii="inter" w:hAnsi="inter"/>
            <w:color w:val="#000"/>
            <w:u w:val="single"/>
            <w:vertAlign w:val="superscript"/>
          </w:rPr>
          <w:t xml:space="preserve">[9]</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Innovative Aggregation Techniques</w:t>
      </w:r>
    </w:p>
    <w:p>
      <w:pPr>
        <w:spacing w:line="360" w:before="315" w:after="105" w:lineRule="auto"/>
        <w:ind w:left="-30"/>
        <w:jc w:val="left"/>
      </w:pPr>
      <w:r>
        <w:rPr>
          <w:rFonts w:eastAsia="inter" w:cs="inter" w:ascii="inter" w:hAnsi="inter"/>
          <w:b/>
          <w:color w:val="000000"/>
          <w:sz w:val="24"/>
        </w:rPr>
        <w:t xml:space="preserve">Adaptive Weight Aggregation Methods</w:t>
      </w:r>
    </w:p>
    <w:p>
      <w:pPr>
        <w:spacing w:line="360" w:after="210" w:lineRule="auto"/>
      </w:pPr>
      <w:r>
        <w:rPr>
          <w:rFonts w:eastAsia="inter" w:cs="inter" w:ascii="inter" w:hAnsi="inter"/>
          <w:b/>
          <w:color w:val="000000"/>
        </w:rPr>
        <w:t xml:space="preserve">Federated Learning with Learnable Aggregation Weights (FedLAW)</w:t>
      </w:r>
      <w:bookmarkStart w:id="16" w:name="fnref10"/>
      <w:bookmarkEnd w:id="16"/>
      <w:hyperlink w:anchor="fn10">
        <w:r>
          <w:rPr>
            <w:rFonts w:eastAsia="inter" w:cs="inter" w:ascii="inter" w:hAnsi="inter"/>
            <w:color w:val="#000"/>
            <w:u w:val="single"/>
            <w:vertAlign w:val="superscript"/>
          </w:rPr>
          <w:t xml:space="preserve">[10]</w:t>
        </w:r>
      </w:hyperlink>
      <w:r>
        <w:rPr>
          <w:rFonts w:eastAsia="inter" w:cs="inter" w:ascii="inter" w:hAnsi="inter"/>
          <w:color w:val="000000"/>
        </w:rPr>
        <w:t xml:space="preserve"> revisits the weighted aggregation process and gains new insights into training dynamics. The research finds that the sum of weights can be smaller than 1, causing a global weight shrinking effect that improves generalization, and develops client coherence to study learning dynamics</w:t>
      </w:r>
      <w:bookmarkStart w:id="17" w:name="fnref10:1"/>
      <w:bookmarkEnd w:id="17"/>
      <w:hyperlink w:anchor="fn10">
        <w:r>
          <w:rPr>
            <w:rFonts w:eastAsia="inter" w:cs="inter" w:ascii="inter" w:hAnsi="inter"/>
            <w:color w:val="#000"/>
            <w:u w:val="single"/>
            <w:vertAlign w:val="superscript"/>
          </w:rPr>
          <w:t xml:space="preserve">[10]</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Element-Wise Weights Aggregation Method (EWWA-FL) (2024)</w:t>
      </w:r>
      <w:bookmarkStart w:id="18" w:name="fnref11"/>
      <w:bookmarkEnd w:id="18"/>
      <w:hyperlink w:anchor="fn11">
        <w:r>
          <w:rPr>
            <w:rFonts w:eastAsia="inter" w:cs="inter" w:ascii="inter" w:hAnsi="inter"/>
            <w:color w:val="#000"/>
            <w:u w:val="single"/>
            <w:vertAlign w:val="superscript"/>
          </w:rPr>
          <w:t xml:space="preserve">[11]</w:t>
        </w:r>
      </w:hyperlink>
      <w:r>
        <w:rPr>
          <w:rFonts w:eastAsia="inter" w:cs="inter" w:ascii="inter" w:hAnsi="inter"/>
          <w:color w:val="000000"/>
        </w:rPr>
        <w:t xml:space="preserve"> introduces an innovative approach that aggregates local weights at the level of individual elements, allowing each participating client to make element-wise contributions. This method enhances robustness while achieving rapid convergence across various backbones and benchmarks</w:t>
      </w:r>
      <w:bookmarkStart w:id="19" w:name="fnref11:1"/>
      <w:bookmarkEnd w:id="19"/>
      <w:hyperlink w:anchor="fn11">
        <w:r>
          <w:rPr>
            <w:rFonts w:eastAsia="inter" w:cs="inter" w:ascii="inter" w:hAnsi="inter"/>
            <w:color w:val="#000"/>
            <w:u w:val="single"/>
            <w:vertAlign w:val="superscript"/>
          </w:rPr>
          <w:t xml:space="preserve">[11]</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Federated Learning with Adaptive Weight Aggregation (FedAWA) (2025)</w:t>
      </w:r>
      <w:bookmarkStart w:id="20" w:name="fnref12"/>
      <w:bookmarkEnd w:id="20"/>
      <w:hyperlink w:anchor="fn12">
        <w:r>
          <w:rPr>
            <w:rFonts w:eastAsia="inter" w:cs="inter" w:ascii="inter" w:hAnsi="inter"/>
            <w:color w:val="#000"/>
            <w:u w:val="single"/>
            <w:vertAlign w:val="superscript"/>
          </w:rPr>
          <w:t xml:space="preserve">[12]</w:t>
        </w:r>
      </w:hyperlink>
      <w:r>
        <w:rPr>
          <w:rFonts w:eastAsia="inter" w:cs="inter" w:ascii="inter" w:hAnsi="inter"/>
          <w:color w:val="000000"/>
        </w:rPr>
        <w:t xml:space="preserve"> proposes a novel method that adaptively adjusts aggregation weights based on client vectors during the learning process. The client vector captures the direction of model updates, reflecting local data variations without requiring additional datasets or violating privacy</w:t>
      </w:r>
      <w:bookmarkStart w:id="21" w:name="fnref12:1"/>
      <w:bookmarkEnd w:id="21"/>
      <w:hyperlink w:anchor="fn12">
        <w:r>
          <w:rPr>
            <w:rFonts w:eastAsia="inter" w:cs="inter" w:ascii="inter" w:hAnsi="inter"/>
            <w:color w:val="#000"/>
            <w:u w:val="single"/>
            <w:vertAlign w:val="superscript"/>
          </w:rPr>
          <w:t xml:space="preserve">[12]</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Specialized Aggregation for Medical Applications</w:t>
      </w:r>
    </w:p>
    <w:p>
      <w:pPr>
        <w:spacing w:line="360" w:after="210" w:lineRule="auto"/>
      </w:pPr>
      <w:r>
        <w:rPr>
          <w:rFonts w:eastAsia="inter" w:cs="inter" w:ascii="inter" w:hAnsi="inter"/>
          <w:b/>
          <w:color w:val="000000"/>
        </w:rPr>
        <w:t xml:space="preserve">Comparative Analysis of Federated Learning Aggregation Techniques for Alzheimer's Disease Diagnosis (2024)</w:t>
      </w:r>
      <w:bookmarkStart w:id="22" w:name="fnref13"/>
      <w:bookmarkEnd w:id="22"/>
      <w:hyperlink w:anchor="fn13">
        <w:r>
          <w:rPr>
            <w:rFonts w:eastAsia="inter" w:cs="inter" w:ascii="inter" w:hAnsi="inter"/>
            <w:color w:val="#000"/>
            <w:u w:val="single"/>
            <w:vertAlign w:val="superscript"/>
          </w:rPr>
          <w:t xml:space="preserve">[13]</w:t>
        </w:r>
      </w:hyperlink>
      <w:r>
        <w:rPr>
          <w:rFonts w:eastAsia="inter" w:cs="inter" w:ascii="inter" w:hAnsi="inter"/>
          <w:color w:val="000000"/>
        </w:rPr>
        <w:t xml:space="preserve"> evaluates multiple aggregation techniques including FedAvg, FedYogi, FedOpt, FedMedian, and FedTrimmedAvg. The study found that FedTrimmedAvg yielded the best accuracy results for Alzheimer's disease diagnosis using MRI data</w:t>
      </w:r>
      <w:bookmarkStart w:id="23" w:name="fnref13:1"/>
      <w:bookmarkEnd w:id="23"/>
      <w:hyperlink w:anchor="fn13">
        <w:r>
          <w:rPr>
            <w:rFonts w:eastAsia="inter" w:cs="inter" w:ascii="inter" w:hAnsi="inter"/>
            <w:color w:val="#000"/>
            <w:u w:val="single"/>
            <w:vertAlign w:val="superscript"/>
          </w:rPr>
          <w:t xml:space="preserve">[13]</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Advanced Security and Privacy Mechanisms</w:t>
      </w:r>
    </w:p>
    <w:p>
      <w:pPr>
        <w:spacing w:line="360" w:before="315" w:after="105" w:lineRule="auto"/>
        <w:ind w:left="-30"/>
        <w:jc w:val="left"/>
      </w:pPr>
      <w:r>
        <w:rPr>
          <w:rFonts w:eastAsia="inter" w:cs="inter" w:ascii="inter" w:hAnsi="inter"/>
          <w:b/>
          <w:color w:val="000000"/>
          <w:sz w:val="24"/>
        </w:rPr>
        <w:t xml:space="preserve">Differential Privacy Integration</w:t>
      </w:r>
    </w:p>
    <w:p>
      <w:pPr>
        <w:spacing w:line="360" w:after="210" w:lineRule="auto"/>
      </w:pPr>
      <w:r>
        <w:rPr>
          <w:rFonts w:eastAsia="inter" w:cs="inter" w:ascii="inter" w:hAnsi="inter"/>
          <w:b/>
          <w:color w:val="000000"/>
        </w:rPr>
        <w:t xml:space="preserve">Securing Health Data on the Blockchain: A Differential Privacy and Federated Learning Framework (2024)</w:t>
      </w:r>
      <w:bookmarkStart w:id="24" w:name="fnref14"/>
      <w:bookmarkEnd w:id="24"/>
      <w:hyperlink w:anchor="fn14">
        <w:r>
          <w:rPr>
            <w:rFonts w:eastAsia="inter" w:cs="inter" w:ascii="inter" w:hAnsi="inter"/>
            <w:color w:val="#000"/>
            <w:u w:val="single"/>
            <w:vertAlign w:val="superscript"/>
          </w:rPr>
          <w:t xml:space="preserve">[14]</w:t>
        </w:r>
      </w:hyperlink>
      <w:r>
        <w:rPr>
          <w:rFonts w:eastAsia="inter" w:cs="inter" w:ascii="inter" w:hAnsi="inter"/>
          <w:color w:val="000000"/>
        </w:rPr>
        <w:t xml:space="preserve"> proposes a comprehensive framework integrating Differential Privacy (DP) with Federated Learning (FL) for Blockchain-based Internet of Things (BIoT) systems in healthcare. The framework utilizes dynamic personalization and adaptive noise distribution strategies to balance privacy and data utility</w:t>
      </w:r>
      <w:bookmarkStart w:id="25" w:name="fnref14:1"/>
      <w:bookmarkEnd w:id="25"/>
      <w:hyperlink w:anchor="fn14">
        <w:r>
          <w:rPr>
            <w:rFonts w:eastAsia="inter" w:cs="inter" w:ascii="inter" w:hAnsi="inter"/>
            <w:color w:val="#000"/>
            <w:u w:val="single"/>
            <w:vertAlign w:val="superscript"/>
          </w:rPr>
          <w:t xml:space="preserve">[14]</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Privacy-Preserving Healthcare and Medical Data Collaboration Service System (FL-HMChain) (2024)</w:t>
      </w:r>
      <w:bookmarkStart w:id="26" w:name="fnref15"/>
      <w:bookmarkEnd w:id="26"/>
      <w:hyperlink w:anchor="fn15">
        <w:r>
          <w:rPr>
            <w:rFonts w:eastAsia="inter" w:cs="inter" w:ascii="inter" w:hAnsi="inter"/>
            <w:color w:val="#000"/>
            <w:u w:val="single"/>
            <w:vertAlign w:val="superscript"/>
          </w:rPr>
          <w:t xml:space="preserve">[15]</w:t>
        </w:r>
      </w:hyperlink>
      <w:r>
        <w:rPr>
          <w:rFonts w:eastAsia="inter" w:cs="inter" w:ascii="inter" w:hAnsi="inter"/>
          <w:color w:val="000000"/>
        </w:rPr>
        <w:t xml:space="preserve"> presents a three-layer system combining blockchain with federated learning, featuring an improved master node selection consensus mechanism to detect and prevent dishonest behavior</w:t>
      </w:r>
      <w:bookmarkStart w:id="27" w:name="fnref15:1"/>
      <w:bookmarkEnd w:id="27"/>
      <w:hyperlink w:anchor="fn15">
        <w:r>
          <w:rPr>
            <w:rFonts w:eastAsia="inter" w:cs="inter" w:ascii="inter" w:hAnsi="inter"/>
            <w:color w:val="#000"/>
            <w:u w:val="single"/>
            <w:vertAlign w:val="superscript"/>
          </w:rPr>
          <w:t xml:space="preserve">[15]</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Adversarial Attack Defense</w:t>
      </w:r>
    </w:p>
    <w:p>
      <w:pPr>
        <w:spacing w:line="360" w:after="210" w:lineRule="auto"/>
      </w:pPr>
      <w:r>
        <w:rPr>
          <w:rFonts w:eastAsia="inter" w:cs="inter" w:ascii="inter" w:hAnsi="inter"/>
          <w:b/>
          <w:color w:val="000000"/>
        </w:rPr>
        <w:t xml:space="preserve">Enhancing Federated Learning Security with a Defense Framework Against Adversarial Attacks (2025)</w:t>
      </w:r>
      <w:bookmarkStart w:id="28" w:name="fnref16"/>
      <w:bookmarkEnd w:id="28"/>
      <w:hyperlink w:anchor="fn16">
        <w:r>
          <w:rPr>
            <w:rFonts w:eastAsia="inter" w:cs="inter" w:ascii="inter" w:hAnsi="inter"/>
            <w:color w:val="#000"/>
            <w:u w:val="single"/>
            <w:vertAlign w:val="superscript"/>
          </w:rPr>
          <w:t xml:space="preserve">[16]</w:t>
        </w:r>
      </w:hyperlink>
      <w:r>
        <w:rPr>
          <w:rFonts w:eastAsia="inter" w:cs="inter" w:ascii="inter" w:hAnsi="inter"/>
          <w:color w:val="000000"/>
        </w:rPr>
        <w:t xml:space="preserve"> creates a comprehensive framework for identifying and thwarting adversarial attacks in FL, including data poisoning, model poisoning, backdoor attacks, and man-in-the-middle attacks. The defense-enhanced system maintained 85.97% accuracy with an 84.33% attack detection rate</w:t>
      </w:r>
      <w:bookmarkStart w:id="29" w:name="fnref16:1"/>
      <w:bookmarkEnd w:id="29"/>
      <w:hyperlink w:anchor="fn16">
        <w:r>
          <w:rPr>
            <w:rFonts w:eastAsia="inter" w:cs="inter" w:ascii="inter" w:hAnsi="inter"/>
            <w:color w:val="#000"/>
            <w:u w:val="single"/>
            <w:vertAlign w:val="superscript"/>
          </w:rPr>
          <w:t xml:space="preserve">[16]</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Quantum Federated Adversarial Learning (QFAL) (2025)</w:t>
      </w:r>
      <w:bookmarkStart w:id="30" w:name="fnref17"/>
      <w:bookmarkEnd w:id="30"/>
      <w:hyperlink w:anchor="fn17">
        <w:r>
          <w:rPr>
            <w:rFonts w:eastAsia="inter" w:cs="inter" w:ascii="inter" w:hAnsi="inter"/>
            <w:color w:val="#000"/>
            <w:u w:val="single"/>
            <w:vertAlign w:val="superscript"/>
          </w:rPr>
          <w:t xml:space="preserve">[17]</w:t>
        </w:r>
      </w:hyperlink>
      <w:r>
        <w:rPr>
          <w:rFonts w:eastAsia="inter" w:cs="inter" w:ascii="inter" w:hAnsi="inter"/>
          <w:color w:val="000000"/>
        </w:rPr>
        <w:t xml:space="preserve"> proposes a novel quantum federated adversarial learning framework that integrates adversarial training into quantum federated learning, specifically designed to counteract unique vulnerabilities in quantum federated learning systems</w:t>
      </w:r>
      <w:bookmarkStart w:id="31" w:name="fnref17:1"/>
      <w:bookmarkEnd w:id="31"/>
      <w:hyperlink w:anchor="fn17">
        <w:r>
          <w:rPr>
            <w:rFonts w:eastAsia="inter" w:cs="inter" w:ascii="inter" w:hAnsi="inter"/>
            <w:color w:val="#000"/>
            <w:u w:val="single"/>
            <w:vertAlign w:val="superscript"/>
          </w:rPr>
          <w:t xml:space="preserve">[17]</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Specialized Medical Applications</w:t>
      </w:r>
    </w:p>
    <w:p>
      <w:pPr>
        <w:spacing w:line="360" w:before="315" w:after="105" w:lineRule="auto"/>
        <w:ind w:left="-30"/>
        <w:jc w:val="left"/>
      </w:pPr>
      <w:r>
        <w:rPr>
          <w:rFonts w:eastAsia="inter" w:cs="inter" w:ascii="inter" w:hAnsi="inter"/>
          <w:b/>
          <w:color w:val="000000"/>
          <w:sz w:val="24"/>
        </w:rPr>
        <w:t xml:space="preserve">Respiratory Disease Classification</w:t>
      </w:r>
    </w:p>
    <w:p>
      <w:pPr>
        <w:spacing w:line="360" w:after="210" w:lineRule="auto"/>
      </w:pPr>
      <w:r>
        <w:rPr>
          <w:rFonts w:eastAsia="inter" w:cs="inter" w:ascii="inter" w:hAnsi="inter"/>
          <w:b/>
          <w:color w:val="000000"/>
        </w:rPr>
        <w:t xml:space="preserve">DMFL_Net: A Federated Learning-Based Framework for COVID-19 Classification (2023)</w:t>
      </w:r>
      <w:bookmarkStart w:id="32" w:name="fnref18"/>
      <w:bookmarkEnd w:id="32"/>
      <w:hyperlink w:anchor="fn18">
        <w:r>
          <w:rPr>
            <w:rFonts w:eastAsia="inter" w:cs="inter" w:ascii="inter" w:hAnsi="inter"/>
            <w:color w:val="#000"/>
            <w:u w:val="single"/>
            <w:vertAlign w:val="superscript"/>
          </w:rPr>
          <w:t xml:space="preserve">[18]</w:t>
        </w:r>
      </w:hyperlink>
      <w:r>
        <w:rPr>
          <w:rFonts w:eastAsia="inter" w:cs="inter" w:ascii="inter" w:hAnsi="inter"/>
          <w:color w:val="000000"/>
        </w:rPr>
        <w:t xml:space="preserve"> introduces a specialized architecture for distinguishing COVID-19 from other chest diseases using X-ray images. The framework schedules model combinations based on training time and selects clients based on local model performance</w:t>
      </w:r>
      <w:bookmarkStart w:id="33" w:name="fnref18:1"/>
      <w:bookmarkEnd w:id="33"/>
      <w:hyperlink w:anchor="fn18">
        <w:r>
          <w:rPr>
            <w:rFonts w:eastAsia="inter" w:cs="inter" w:ascii="inter" w:hAnsi="inter"/>
            <w:color w:val="#000"/>
            <w:u w:val="single"/>
            <w:vertAlign w:val="superscript"/>
          </w:rPr>
          <w:t xml:space="preserve">[18]</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Deep Learning-Based Chest X-ray Image Analysis Using Federated Learning (CXR-FL) (2022)</w:t>
      </w:r>
      <w:bookmarkStart w:id="34" w:name="fnref19"/>
      <w:bookmarkEnd w:id="34"/>
      <w:hyperlink w:anchor="fn19">
        <w:r>
          <w:rPr>
            <w:rFonts w:eastAsia="inter" w:cs="inter" w:ascii="inter" w:hAnsi="inter"/>
            <w:color w:val="#000"/>
            <w:u w:val="single"/>
            <w:vertAlign w:val="superscript"/>
          </w:rPr>
          <w:t xml:space="preserve">[19]</w:t>
        </w:r>
      </w:hyperlink>
      <w:r>
        <w:rPr>
          <w:rFonts w:eastAsia="inter" w:cs="inter" w:ascii="inter" w:hAnsi="inter"/>
          <w:color w:val="000000"/>
        </w:rPr>
        <w:t xml:space="preserve"> presents a comprehensive evaluation of deep learning models for chest X-ray analysis using federated learning, examining the impact of various federated learning parameters on central model performance</w:t>
      </w:r>
      <w:bookmarkStart w:id="35" w:name="fnref19:1"/>
      <w:bookmarkEnd w:id="35"/>
      <w:hyperlink w:anchor="fn19">
        <w:r>
          <w:rPr>
            <w:rFonts w:eastAsia="inter" w:cs="inter" w:ascii="inter" w:hAnsi="inter"/>
            <w:color w:val="#000"/>
            <w:u w:val="single"/>
            <w:vertAlign w:val="superscript"/>
          </w:rPr>
          <w:t xml:space="preserve">[19]</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Cancer Detection and Medical Imaging</w:t>
      </w:r>
    </w:p>
    <w:p>
      <w:pPr>
        <w:spacing w:line="360" w:after="210" w:lineRule="auto"/>
      </w:pPr>
      <w:r>
        <w:rPr>
          <w:rFonts w:eastAsia="inter" w:cs="inter" w:ascii="inter" w:hAnsi="inter"/>
          <w:b/>
          <w:color w:val="000000"/>
        </w:rPr>
        <w:t xml:space="preserve">Privacy-Preserving Medical Image Classification with Transfer Learning and Federated Learning (2025)</w:t>
      </w:r>
      <w:bookmarkStart w:id="36" w:name="fnref20"/>
      <w:bookmarkEnd w:id="36"/>
      <w:hyperlink w:anchor="fn20">
        <w:r>
          <w:rPr>
            <w:rFonts w:eastAsia="inter" w:cs="inter" w:ascii="inter" w:hAnsi="inter"/>
            <w:color w:val="#000"/>
            <w:u w:val="single"/>
            <w:vertAlign w:val="superscript"/>
          </w:rPr>
          <w:t xml:space="preserve">[20]</w:t>
        </w:r>
      </w:hyperlink>
      <w:r>
        <w:rPr>
          <w:rFonts w:eastAsia="inter" w:cs="inter" w:ascii="inter" w:hAnsi="inter"/>
          <w:color w:val="000000"/>
        </w:rPr>
        <w:t xml:space="preserve"> investigates the integration of transfer learning and federated learning for medical image classification using GoogLeNet and VGG16 models. The study introduces a novel adaptive aggregation method that dynamically alternates between FedAvg and FedSGD based on data divergence</w:t>
      </w:r>
      <w:bookmarkStart w:id="37" w:name="fnref20:1"/>
      <w:bookmarkEnd w:id="37"/>
      <w:hyperlink w:anchor="fn20">
        <w:r>
          <w:rPr>
            <w:rFonts w:eastAsia="inter" w:cs="inter" w:ascii="inter" w:hAnsi="inter"/>
            <w:color w:val="#000"/>
            <w:u w:val="single"/>
            <w:vertAlign w:val="superscript"/>
          </w:rPr>
          <w:t xml:space="preserve">[20]</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Towards Generalizable Federated Learning in Medical Imaging (2025)</w:t>
      </w:r>
      <w:bookmarkStart w:id="38" w:name="fnref21"/>
      <w:bookmarkEnd w:id="38"/>
      <w:hyperlink w:anchor="fn21">
        <w:r>
          <w:rPr>
            <w:rFonts w:eastAsia="inter" w:cs="inter" w:ascii="inter" w:hAnsi="inter"/>
            <w:color w:val="#000"/>
            <w:u w:val="single"/>
            <w:vertAlign w:val="superscript"/>
          </w:rPr>
          <w:t xml:space="preserve">[21]</w:t>
        </w:r>
      </w:hyperlink>
      <w:r>
        <w:rPr>
          <w:rFonts w:eastAsia="inter" w:cs="inter" w:ascii="inter" w:hAnsi="inter"/>
          <w:color w:val="000000"/>
        </w:rPr>
        <w:t xml:space="preserve"> focuses on breast cancer classification, introducing the Breast Area Detection tool as an essential preprocessing component to enhance federated learning robustness through data harmonization. The framework improved model performance by approximately 35%</w:t>
      </w:r>
      <w:bookmarkStart w:id="39" w:name="fnref21:1"/>
      <w:bookmarkEnd w:id="39"/>
      <w:hyperlink w:anchor="fn21">
        <w:r>
          <w:rPr>
            <w:rFonts w:eastAsia="inter" w:cs="inter" w:ascii="inter" w:hAnsi="inter"/>
            <w:color w:val="#000"/>
            <w:u w:val="single"/>
            <w:vertAlign w:val="superscript"/>
          </w:rPr>
          <w:t xml:space="preserve">[21]</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Consensus Mechanisms and Blockchain Innovation</w:t>
      </w:r>
    </w:p>
    <w:p>
      <w:pPr>
        <w:spacing w:line="360" w:before="315" w:after="105" w:lineRule="auto"/>
        <w:ind w:left="-30"/>
        <w:jc w:val="left"/>
      </w:pPr>
      <w:r>
        <w:rPr>
          <w:rFonts w:eastAsia="inter" w:cs="inter" w:ascii="inter" w:hAnsi="inter"/>
          <w:b/>
          <w:color w:val="000000"/>
          <w:sz w:val="24"/>
        </w:rPr>
        <w:t xml:space="preserve">Novel Consensus Approaches</w:t>
      </w:r>
    </w:p>
    <w:p>
      <w:pPr>
        <w:spacing w:line="360" w:after="210" w:lineRule="auto"/>
      </w:pPr>
      <w:r>
        <w:rPr>
          <w:rFonts w:eastAsia="inter" w:cs="inter" w:ascii="inter" w:hAnsi="inter"/>
          <w:b/>
          <w:color w:val="000000"/>
        </w:rPr>
        <w:t xml:space="preserve">Zero-Knowledge Proof-Based Consensus for Blockchain-Secured Federated Learning (2025)</w:t>
      </w:r>
      <w:bookmarkStart w:id="40" w:name="fnref22"/>
      <w:bookmarkEnd w:id="40"/>
      <w:hyperlink w:anchor="fn22">
        <w:r>
          <w:rPr>
            <w:rFonts w:eastAsia="inter" w:cs="inter" w:ascii="inter" w:hAnsi="inter"/>
            <w:color w:val="#000"/>
            <w:u w:val="single"/>
            <w:vertAlign w:val="superscript"/>
          </w:rPr>
          <w:t xml:space="preserve">[22]</w:t>
        </w:r>
      </w:hyperlink>
      <w:r>
        <w:rPr>
          <w:rFonts w:eastAsia="inter" w:cs="inter" w:ascii="inter" w:hAnsi="inter"/>
          <w:color w:val="000000"/>
        </w:rPr>
        <w:t xml:space="preserve"> proposes a Zero-Knowledge Proof of Training (ZKPoT) consensus mechanism using zk-SNARK protocol to validate participants' contributions based on model performance while eliminating traditional consensus inefficiencies</w:t>
      </w:r>
      <w:bookmarkStart w:id="41" w:name="fnref22:1"/>
      <w:bookmarkEnd w:id="41"/>
      <w:hyperlink w:anchor="fn22">
        <w:r>
          <w:rPr>
            <w:rFonts w:eastAsia="inter" w:cs="inter" w:ascii="inter" w:hAnsi="inter"/>
            <w:color w:val="#000"/>
            <w:u w:val="single"/>
            <w:vertAlign w:val="superscript"/>
          </w:rPr>
          <w:t xml:space="preserve">[22]</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Blockchain-Based Privacy-Preserving Data Distribution in Healthcare (2024)</w:t>
      </w:r>
      <w:bookmarkStart w:id="42" w:name="fnref23"/>
      <w:bookmarkEnd w:id="42"/>
      <w:hyperlink w:anchor="fn23">
        <w:r>
          <w:rPr>
            <w:rFonts w:eastAsia="inter" w:cs="inter" w:ascii="inter" w:hAnsi="inter"/>
            <w:color w:val="#000"/>
            <w:u w:val="single"/>
            <w:vertAlign w:val="superscript"/>
          </w:rPr>
          <w:t xml:space="preserve">[23]</w:t>
        </w:r>
      </w:hyperlink>
      <w:r>
        <w:rPr>
          <w:rFonts w:eastAsia="inter" w:cs="inter" w:ascii="inter" w:hAnsi="inter"/>
          <w:color w:val="000000"/>
        </w:rPr>
        <w:t xml:space="preserve"> introduces an enhanced blockchain framework utilizing Proof of Authority (PoA) consensus for efficiency and security, demonstrating superior performance in scalability, protection, and system performance compared to existing approaches</w:t>
      </w:r>
      <w:bookmarkStart w:id="43" w:name="fnref23:1"/>
      <w:bookmarkEnd w:id="43"/>
      <w:hyperlink w:anchor="fn23">
        <w:r>
          <w:rPr>
            <w:rFonts w:eastAsia="inter" w:cs="inter" w:ascii="inter" w:hAnsi="inter"/>
            <w:color w:val="#000"/>
            <w:u w:val="single"/>
            <w:vertAlign w:val="superscript"/>
          </w:rPr>
          <w:t xml:space="preserve">[23]</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Emerging Trends and Future Directions</w:t>
      </w:r>
    </w:p>
    <w:p>
      <w:pPr>
        <w:spacing w:line="360" w:before="315" w:after="105" w:lineRule="auto"/>
        <w:ind w:left="-30"/>
        <w:jc w:val="left"/>
      </w:pPr>
      <w:r>
        <w:rPr>
          <w:rFonts w:eastAsia="inter" w:cs="inter" w:ascii="inter" w:hAnsi="inter"/>
          <w:b/>
          <w:color w:val="000000"/>
          <w:sz w:val="24"/>
        </w:rPr>
        <w:t xml:space="preserve">Explainable AI Integration</w:t>
      </w:r>
    </w:p>
    <w:p>
      <w:pPr>
        <w:spacing w:line="360" w:after="210" w:lineRule="auto"/>
      </w:pPr>
      <w:r>
        <w:rPr>
          <w:rFonts w:eastAsia="inter" w:cs="inter" w:ascii="inter" w:hAnsi="inter"/>
          <w:b/>
          <w:color w:val="000000"/>
        </w:rPr>
        <w:t xml:space="preserve">Explainable Federated Medical Image Analysis Through Causal Learning (2024)</w:t>
      </w:r>
      <w:bookmarkStart w:id="44" w:name="fnref24"/>
      <w:bookmarkEnd w:id="44"/>
      <w:hyperlink w:anchor="fn24">
        <w:r>
          <w:rPr>
            <w:rFonts w:eastAsia="inter" w:cs="inter" w:ascii="inter" w:hAnsi="inter"/>
            <w:color w:val="#000"/>
            <w:u w:val="single"/>
            <w:vertAlign w:val="superscript"/>
          </w:rPr>
          <w:t xml:space="preserve">[24]</w:t>
        </w:r>
      </w:hyperlink>
      <w:r>
        <w:rPr>
          <w:rFonts w:eastAsia="inter" w:cs="inter" w:ascii="inter" w:hAnsi="inter"/>
          <w:color w:val="000000"/>
        </w:rPr>
        <w:t xml:space="preserve"> proposes novel FL techniques using explainable artificial intelligence (XAI) for efficient, accurate, and trustworthy analysis. The heterogeneity-aware causal learning approach selectively sparsifies model weights based on causal contributions, significantly reducing communication requirements</w:t>
      </w:r>
      <w:bookmarkStart w:id="45" w:name="fnref24:1"/>
      <w:bookmarkEnd w:id="45"/>
      <w:hyperlink w:anchor="fn24">
        <w:r>
          <w:rPr>
            <w:rFonts w:eastAsia="inter" w:cs="inter" w:ascii="inter" w:hAnsi="inter"/>
            <w:color w:val="#000"/>
            <w:u w:val="single"/>
            <w:vertAlign w:val="superscript"/>
          </w:rPr>
          <w:t xml:space="preserve">[24]</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Personal Health Train Framework</w:t>
      </w:r>
    </w:p>
    <w:p>
      <w:pPr>
        <w:spacing w:line="360" w:after="210" w:lineRule="auto"/>
      </w:pPr>
      <w:r>
        <w:rPr>
          <w:rFonts w:eastAsia="inter" w:cs="inter" w:ascii="inter" w:hAnsi="inter"/>
          <w:b/>
          <w:color w:val="000000"/>
        </w:rPr>
        <w:t xml:space="preserve">Advancing Privacy-Preserving Health Care Analytics with Personal Health Train (2025)</w:t>
      </w:r>
      <w:bookmarkStart w:id="46" w:name="fnref25"/>
      <w:bookmarkEnd w:id="46"/>
      <w:hyperlink w:anchor="fn25">
        <w:r>
          <w:rPr>
            <w:rFonts w:eastAsia="inter" w:cs="inter" w:ascii="inter" w:hAnsi="inter"/>
            <w:color w:val="#000"/>
            <w:u w:val="single"/>
            <w:vertAlign w:val="superscript"/>
          </w:rPr>
          <w:t xml:space="preserve">[25]</w:t>
        </w:r>
      </w:hyperlink>
      <w:r>
        <w:rPr>
          <w:rFonts w:eastAsia="inter" w:cs="inter" w:ascii="inter" w:hAnsi="inter"/>
          <w:color w:val="000000"/>
        </w:rPr>
        <w:t xml:space="preserve"> introduces an innovative FL infrastructure including procedural, technical, and governance components needed to implement FL on real-world healthcare data. The framework applies federated deep learning to gross tumor volume segmentation on chest CT images of lung cancer patients</w:t>
      </w:r>
      <w:bookmarkStart w:id="47" w:name="fnref25:1"/>
      <w:bookmarkEnd w:id="47"/>
      <w:hyperlink w:anchor="fn25">
        <w:r>
          <w:rPr>
            <w:rFonts w:eastAsia="inter" w:cs="inter" w:ascii="inter" w:hAnsi="inter"/>
            <w:color w:val="#000"/>
            <w:u w:val="single"/>
            <w:vertAlign w:val="superscript"/>
          </w:rPr>
          <w:t xml:space="preserve">[25]</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Comprehensive Comparison 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Framework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Year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Key Innovation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Medical Application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Privacy Mechanism</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Accuracy Achieved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PPFBXAIO</w:t>
            </w:r>
            <w:hyperlink w:anchor="fn6">
              <w:r>
                <w:rPr>
                  <w:rFonts w:eastAsia="inter" w:cs="inter" w:ascii="inter" w:hAnsi="inter"/>
                  <w:color w:val="#000"/>
                  <w:sz w:val="17"/>
                  <w:u w:val="single"/>
                  <w:vertAlign w:val="superscript"/>
                </w:rPr>
                <w:t xml:space="preserve">[6]</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Blockchain + XAI + Optimization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Breast Cancer, Heart Disease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SHA-256, LGOA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95.07%, 93.07%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Blockchain-EMR FL</w:t>
            </w:r>
            <w:hyperlink w:anchor="fn7">
              <w:r>
                <w:rPr>
                  <w:rFonts w:eastAsia="inter" w:cs="inter" w:ascii="inter" w:hAnsi="inter"/>
                  <w:color w:val="#000"/>
                  <w:sz w:val="17"/>
                  <w:u w:val="single"/>
                  <w:vertAlign w:val="superscript"/>
                </w:rPr>
                <w:t xml:space="preserve">[7]</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Smart Contracts for EMR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General Healthcare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Blockchain + Smart Contracts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 specified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EWWA-FL</w:t>
            </w:r>
            <w:hyperlink w:anchor="fn11">
              <w:r>
                <w:rPr>
                  <w:rFonts w:eastAsia="inter" w:cs="inter" w:ascii="inter" w:hAnsi="inter"/>
                  <w:color w:val="#000"/>
                  <w:sz w:val="17"/>
                  <w:u w:val="single"/>
                  <w:vertAlign w:val="superscript"/>
                </w:rPr>
                <w:t xml:space="preserve">[11]</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Element-wise Aggregation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General Medical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Standard FL Privacy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Significant 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CXR-FL</w:t>
            </w:r>
            <w:hyperlink w:anchor="fn19">
              <w:r>
                <w:rPr>
                  <w:rFonts w:eastAsia="inter" w:cs="inter" w:ascii="inter" w:hAnsi="inter"/>
                  <w:color w:val="#000"/>
                  <w:sz w:val="17"/>
                  <w:u w:val="single"/>
                  <w:vertAlign w:val="superscript"/>
                </w:rPr>
                <w:t xml:space="preserve">[19]</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2022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Chest X-ray Specific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Respiratory Diseases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Federated Learning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Comparable to centralized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QFAL</w:t>
            </w:r>
            <w:hyperlink w:anchor="fn17">
              <w:r>
                <w:rPr>
                  <w:rFonts w:eastAsia="inter" w:cs="inter" w:ascii="inter" w:hAnsi="inter"/>
                  <w:color w:val="#000"/>
                  <w:sz w:val="17"/>
                  <w:u w:val="single"/>
                  <w:vertAlign w:val="superscript"/>
                </w:rPr>
                <w:t xml:space="preserve">[17]</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Quantum + Adversarial Defense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General Medical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Quantum Cryptography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Variable by configuration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FL-HMChain</w:t>
            </w:r>
            <w:hyperlink w:anchor="fn15">
              <w:r>
                <w:rPr>
                  <w:rFonts w:eastAsia="inter" w:cs="inter" w:ascii="inter" w:hAnsi="inter"/>
                  <w:color w:val="#000"/>
                  <w:sz w:val="17"/>
                  <w:u w:val="single"/>
                  <w:vertAlign w:val="superscript"/>
                </w:rPr>
                <w:t xml:space="preserve">[15]</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Three-layer Architecture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Healthcare Collaboration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Blockchain + Consensus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 specified</w:t>
            </w:r>
          </w:p>
        </w:tc>
      </w:tr>
    </w:tbl>
    <w:p>
      <w:pPr>
        <w:spacing w:lineRule="auto"/>
      </w:pPr>
    </w:p>
    <w:p>
      <w:pPr>
        <w:spacing w:line="360" w:before="315" w:after="105" w:lineRule="auto"/>
        <w:ind w:left="-30"/>
        <w:jc w:val="left"/>
      </w:pPr>
      <w:r>
        <w:rPr>
          <w:rFonts w:eastAsia="inter" w:cs="inter" w:ascii="inter" w:hAnsi="inter"/>
          <w:b/>
          <w:color w:val="000000"/>
          <w:sz w:val="24"/>
        </w:rPr>
        <w:t xml:space="preserve">Critical Research Gaps and Opportunities</w:t>
      </w:r>
    </w:p>
    <w:p>
      <w:pPr>
        <w:spacing w:line="360" w:before="315" w:after="105" w:lineRule="auto"/>
        <w:ind w:left="-30"/>
        <w:jc w:val="left"/>
      </w:pPr>
      <w:r>
        <w:rPr>
          <w:rFonts w:eastAsia="inter" w:cs="inter" w:ascii="inter" w:hAnsi="inter"/>
          <w:b/>
          <w:color w:val="000000"/>
          <w:sz w:val="24"/>
        </w:rPr>
        <w:t xml:space="preserve">Identified Limitations</w:t>
      </w:r>
    </w:p>
    <w:p>
      <w:pPr>
        <w:spacing w:line="360" w:after="210" w:lineRule="auto"/>
      </w:pPr>
      <w:r>
        <w:rPr>
          <w:rFonts w:eastAsia="inter" w:cs="inter" w:ascii="inter" w:hAnsi="inter"/>
          <w:color w:val="000000"/>
        </w:rPr>
        <w:t xml:space="preserve">Recent comprehensive reviews highlight several critical limitations in current federated learning implementations for healthcare:</w:t>
      </w:r>
    </w:p>
    <w:p>
      <w:pPr>
        <w:numPr>
          <w:ilvl w:val="0"/>
          <w:numId w:val="1"/>
        </w:numPr>
        <w:spacing w:line="360" w:before="105" w:after="105" w:lineRule="auto"/>
      </w:pPr>
      <w:r>
        <w:rPr>
          <w:rFonts w:eastAsia="inter" w:cs="inter" w:ascii="inter" w:hAnsi="inter"/>
          <w:b/>
          <w:color w:val="000000"/>
          <w:sz w:val="21"/>
        </w:rPr>
        <w:t xml:space="preserve">Clinical Utility Gap</w:t>
      </w:r>
      <w:r>
        <w:rPr>
          <w:rFonts w:eastAsia="inter" w:cs="inter" w:ascii="inter" w:hAnsi="inter"/>
          <w:color w:val="000000"/>
          <w:sz w:val="21"/>
        </w:rPr>
        <w:t xml:space="preserve">: Most studies lack practical clinical applicability due to methodological flaws and underlying biases</w:t>
      </w:r>
      <w:bookmarkStart w:id="48" w:name="fnref5:2"/>
      <w:bookmarkEnd w:id="48"/>
      <w:hyperlink w:anchor="fn5">
        <w:r>
          <w:rPr>
            <w:rFonts w:eastAsia="inter" w:cs="inter" w:ascii="inter" w:hAnsi="inter"/>
            <w:color w:val="#000"/>
            <w:sz w:val="21"/>
            <w:u w:val="single"/>
            <w:vertAlign w:val="superscript"/>
          </w:rPr>
          <w:t xml:space="preserve">[5]</w:t>
        </w:r>
      </w:hyperlink>
    </w:p>
    <w:p>
      <w:pPr>
        <w:numPr>
          <w:ilvl w:val="0"/>
          <w:numId w:val="1"/>
        </w:numPr>
        <w:spacing w:line="360" w:before="105" w:after="105" w:lineRule="auto"/>
      </w:pPr>
      <w:r>
        <w:rPr>
          <w:rFonts w:eastAsia="inter" w:cs="inter" w:ascii="inter" w:hAnsi="inter"/>
          <w:b/>
          <w:color w:val="000000"/>
          <w:sz w:val="21"/>
        </w:rPr>
        <w:t xml:space="preserve">Privacy Vulnerabilities</w:t>
      </w:r>
      <w:r>
        <w:rPr>
          <w:rFonts w:eastAsia="inter" w:cs="inter" w:ascii="inter" w:hAnsi="inter"/>
          <w:color w:val="000000"/>
          <w:sz w:val="21"/>
        </w:rPr>
        <w:t xml:space="preserve">: Traditional federated learning still faces privacy leakage risks through gradient sharing and model updates</w:t>
      </w:r>
      <w:bookmarkStart w:id="49" w:name="fnref22:2"/>
      <w:bookmarkEnd w:id="49"/>
      <w:hyperlink w:anchor="fn22">
        <w:r>
          <w:rPr>
            <w:rFonts w:eastAsia="inter" w:cs="inter" w:ascii="inter" w:hAnsi="inter"/>
            <w:color w:val="#000"/>
            <w:sz w:val="21"/>
            <w:u w:val="single"/>
            <w:vertAlign w:val="superscript"/>
          </w:rPr>
          <w:t xml:space="preserve">[22]</w:t>
        </w:r>
      </w:hyperlink>
    </w:p>
    <w:p>
      <w:pPr>
        <w:numPr>
          <w:ilvl w:val="0"/>
          <w:numId w:val="1"/>
        </w:numPr>
        <w:spacing w:line="360" w:before="105" w:after="105" w:lineRule="auto"/>
      </w:pPr>
      <w:r>
        <w:rPr>
          <w:rFonts w:eastAsia="inter" w:cs="inter" w:ascii="inter" w:hAnsi="inter"/>
          <w:b/>
          <w:color w:val="000000"/>
          <w:sz w:val="21"/>
        </w:rPr>
        <w:t xml:space="preserve">Scalability Challenges</w:t>
      </w:r>
      <w:r>
        <w:rPr>
          <w:rFonts w:eastAsia="inter" w:cs="inter" w:ascii="inter" w:hAnsi="inter"/>
          <w:color w:val="000000"/>
          <w:sz w:val="21"/>
        </w:rPr>
        <w:t xml:space="preserve">: Many frameworks struggle with real-world deployment at scale across multiple institutions</w:t>
      </w:r>
      <w:bookmarkStart w:id="50" w:name="fnref26"/>
      <w:bookmarkEnd w:id="50"/>
      <w:hyperlink w:anchor="fn26">
        <w:r>
          <w:rPr>
            <w:rFonts w:eastAsia="inter" w:cs="inter" w:ascii="inter" w:hAnsi="inter"/>
            <w:color w:val="#000"/>
            <w:sz w:val="21"/>
            <w:u w:val="single"/>
            <w:vertAlign w:val="superscript"/>
          </w:rPr>
          <w:t xml:space="preserve">[26]</w:t>
        </w:r>
      </w:hyperlink>
    </w:p>
    <w:p>
      <w:pPr>
        <w:numPr>
          <w:ilvl w:val="0"/>
          <w:numId w:val="1"/>
        </w:numPr>
        <w:spacing w:line="360" w:before="105" w:after="105" w:lineRule="auto"/>
      </w:pPr>
      <w:r>
        <w:rPr>
          <w:rFonts w:eastAsia="inter" w:cs="inter" w:ascii="inter" w:hAnsi="inter"/>
          <w:b/>
          <w:color w:val="000000"/>
          <w:sz w:val="21"/>
        </w:rPr>
        <w:t xml:space="preserve">Data Harmonization</w:t>
      </w:r>
      <w:r>
        <w:rPr>
          <w:rFonts w:eastAsia="inter" w:cs="inter" w:ascii="inter" w:hAnsi="inter"/>
          <w:color w:val="000000"/>
          <w:sz w:val="21"/>
        </w:rPr>
        <w:t xml:space="preserve">: Significant variance in performance among different data providers due to data heterogeneity</w:t>
      </w:r>
      <w:bookmarkStart w:id="51" w:name="fnref21:2"/>
      <w:bookmarkEnd w:id="51"/>
      <w:hyperlink w:anchor="fn21">
        <w:r>
          <w:rPr>
            <w:rFonts w:eastAsia="inter" w:cs="inter" w:ascii="inter" w:hAnsi="inter"/>
            <w:color w:val="#000"/>
            <w:sz w:val="21"/>
            <w:u w:val="single"/>
            <w:vertAlign w:val="superscript"/>
          </w:rPr>
          <w:t xml:space="preserve">[21]</w:t>
        </w:r>
      </w:hyperlink>
    </w:p>
    <w:p>
      <w:pPr>
        <w:spacing w:line="360" w:before="315" w:after="105" w:lineRule="auto"/>
        <w:ind w:left="-30"/>
        <w:jc w:val="left"/>
      </w:pPr>
      <w:r>
        <w:rPr>
          <w:rFonts w:eastAsia="inter" w:cs="inter" w:ascii="inter" w:hAnsi="inter"/>
          <w:b/>
          <w:color w:val="000000"/>
          <w:sz w:val="24"/>
        </w:rPr>
        <w:t xml:space="preserve">Emerging Solutions</w:t>
      </w:r>
    </w:p>
    <w:p>
      <w:pPr>
        <w:spacing w:line="360" w:after="210" w:lineRule="auto"/>
      </w:pPr>
      <w:r>
        <w:rPr>
          <w:rFonts w:eastAsia="inter" w:cs="inter" w:ascii="inter" w:hAnsi="inter"/>
          <w:b/>
          <w:color w:val="000000"/>
        </w:rPr>
        <w:t xml:space="preserve">Data Clean Rooms and Confidential Computing</w:t>
      </w:r>
      <w:r>
        <w:rPr>
          <w:rFonts w:eastAsia="inter" w:cs="inter" w:ascii="inter" w:hAnsi="inter"/>
          <w:color w:val="000000"/>
        </w:rPr>
        <w:t xml:space="preserve">: Beyond traditional federated learning, the field is moving toward combining confidential computing with data clean rooms for more robust privacy protection</w:t>
      </w:r>
      <w:bookmarkStart w:id="52" w:name="fnref26:1"/>
      <w:bookmarkEnd w:id="52"/>
      <w:hyperlink w:anchor="fn26">
        <w:r>
          <w:rPr>
            <w:rFonts w:eastAsia="inter" w:cs="inter" w:ascii="inter" w:hAnsi="inter"/>
            <w:color w:val="#000"/>
            <w:u w:val="single"/>
            <w:vertAlign w:val="superscript"/>
          </w:rPr>
          <w:t xml:space="preserve">[26]</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Dynamic Harmonization Pipelines</w:t>
      </w:r>
      <w:r>
        <w:rPr>
          <w:rFonts w:eastAsia="inter" w:cs="inter" w:ascii="inter" w:hAnsi="inter"/>
          <w:color w:val="000000"/>
        </w:rPr>
        <w:t xml:space="preserve">: Advanced preprocessing techniques that adapt to variations in imaging protocols and patient demographics are showing promise</w:t>
      </w:r>
      <w:bookmarkStart w:id="53" w:name="fnref21:3"/>
      <w:bookmarkEnd w:id="53"/>
      <w:hyperlink w:anchor="fn21">
        <w:r>
          <w:rPr>
            <w:rFonts w:eastAsia="inter" w:cs="inter" w:ascii="inter" w:hAnsi="inter"/>
            <w:color w:val="#000"/>
            <w:u w:val="single"/>
            <w:vertAlign w:val="superscript"/>
          </w:rPr>
          <w:t xml:space="preserve">[21]</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Multi-Modal Integration</w:t>
      </w:r>
      <w:r>
        <w:rPr>
          <w:rFonts w:eastAsia="inter" w:cs="inter" w:ascii="inter" w:hAnsi="inter"/>
          <w:color w:val="000000"/>
        </w:rPr>
        <w:t xml:space="preserve">: Frameworks incorporating multiple data types (imaging, genomic, clinical) for comprehensive medical analysis</w:t>
      </w:r>
      <w:bookmarkStart w:id="54" w:name="fnref7:3"/>
      <w:bookmarkEnd w:id="54"/>
      <w:hyperlink w:anchor="fn7">
        <w:r>
          <w:rPr>
            <w:rFonts w:eastAsia="inter" w:cs="inter" w:ascii="inter" w:hAnsi="inter"/>
            <w:color w:val="#000"/>
            <w:u w:val="single"/>
            <w:vertAlign w:val="superscript"/>
          </w:rPr>
          <w:t xml:space="preserve">[7]</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Implementation Considerations</w:t>
      </w:r>
    </w:p>
    <w:p>
      <w:pPr>
        <w:spacing w:line="360" w:before="315" w:after="105" w:lineRule="auto"/>
        <w:ind w:left="-30"/>
        <w:jc w:val="left"/>
      </w:pPr>
      <w:r>
        <w:rPr>
          <w:rFonts w:eastAsia="inter" w:cs="inter" w:ascii="inter" w:hAnsi="inter"/>
          <w:b/>
          <w:color w:val="000000"/>
          <w:sz w:val="24"/>
        </w:rPr>
        <w:t xml:space="preserve">Technical Requirements</w:t>
      </w:r>
    </w:p>
    <w:p>
      <w:pPr>
        <w:spacing w:line="360" w:after="210" w:lineRule="auto"/>
      </w:pPr>
      <w:r>
        <w:rPr>
          <w:rFonts w:eastAsia="inter" w:cs="inter" w:ascii="inter" w:hAnsi="inter"/>
          <w:color w:val="000000"/>
        </w:rPr>
        <w:t xml:space="preserve">Modern blockchain-federated learning systems require:</w:t>
      </w:r>
    </w:p>
    <w:p>
      <w:pPr>
        <w:numPr>
          <w:ilvl w:val="0"/>
          <w:numId w:val="2"/>
        </w:numPr>
        <w:spacing w:line="360" w:before="105" w:after="105" w:lineRule="auto"/>
      </w:pPr>
      <w:r>
        <w:rPr>
          <w:rFonts w:eastAsia="inter" w:cs="inter" w:ascii="inter" w:hAnsi="inter"/>
          <w:b/>
          <w:color w:val="000000"/>
          <w:sz w:val="21"/>
        </w:rPr>
        <w:t xml:space="preserve">Consensus Mechanisms</w:t>
      </w:r>
      <w:r>
        <w:rPr>
          <w:rFonts w:eastAsia="inter" w:cs="inter" w:ascii="inter" w:hAnsi="inter"/>
          <w:color w:val="000000"/>
          <w:sz w:val="21"/>
        </w:rPr>
        <w:t xml:space="preserve">: Proof-of-Authority or Byzantine Fault Tolerant consensus for healthcare consortiums</w:t>
      </w:r>
      <w:bookmarkStart w:id="55" w:name="fnref1:1"/>
      <w:bookmarkEnd w:id="55"/>
      <w:hyperlink w:anchor="fn1">
        <w:r>
          <w:rPr>
            <w:rFonts w:eastAsia="inter" w:cs="inter" w:ascii="inter" w:hAnsi="inter"/>
            <w:color w:val="#000"/>
            <w:sz w:val="21"/>
            <w:u w:val="single"/>
            <w:vertAlign w:val="superscript"/>
          </w:rPr>
          <w:t xml:space="preserve">[1]</w:t>
        </w:r>
      </w:hyperlink>
    </w:p>
    <w:p>
      <w:pPr>
        <w:numPr>
          <w:ilvl w:val="0"/>
          <w:numId w:val="2"/>
        </w:numPr>
        <w:spacing w:line="360" w:before="105" w:after="105" w:lineRule="auto"/>
      </w:pPr>
      <w:r>
        <w:rPr>
          <w:rFonts w:eastAsia="inter" w:cs="inter" w:ascii="inter" w:hAnsi="inter"/>
          <w:b/>
          <w:color w:val="000000"/>
          <w:sz w:val="21"/>
        </w:rPr>
        <w:t xml:space="preserve">Smart Contract Security</w:t>
      </w:r>
      <w:r>
        <w:rPr>
          <w:rFonts w:eastAsia="inter" w:cs="inter" w:ascii="inter" w:hAnsi="inter"/>
          <w:color w:val="000000"/>
          <w:sz w:val="21"/>
        </w:rPr>
        <w:t xml:space="preserve">: Formal verification and penetration testing to prevent vulnerabilities</w:t>
      </w:r>
      <w:bookmarkStart w:id="56" w:name="fnref1:2"/>
      <w:bookmarkEnd w:id="56"/>
      <w:hyperlink w:anchor="fn1">
        <w:r>
          <w:rPr>
            <w:rFonts w:eastAsia="inter" w:cs="inter" w:ascii="inter" w:hAnsi="inter"/>
            <w:color w:val="#000"/>
            <w:sz w:val="21"/>
            <w:u w:val="single"/>
            <w:vertAlign w:val="superscript"/>
          </w:rPr>
          <w:t xml:space="preserve">[1]</w:t>
        </w:r>
      </w:hyperlink>
    </w:p>
    <w:p>
      <w:pPr>
        <w:numPr>
          <w:ilvl w:val="0"/>
          <w:numId w:val="2"/>
        </w:numPr>
        <w:spacing w:line="360" w:before="105" w:after="105" w:lineRule="auto"/>
      </w:pPr>
      <w:r>
        <w:rPr>
          <w:rFonts w:eastAsia="inter" w:cs="inter" w:ascii="inter" w:hAnsi="inter"/>
          <w:b/>
          <w:color w:val="000000"/>
          <w:sz w:val="21"/>
        </w:rPr>
        <w:t xml:space="preserve">Hybrid Storage</w:t>
      </w:r>
      <w:r>
        <w:rPr>
          <w:rFonts w:eastAsia="inter" w:cs="inter" w:ascii="inter" w:hAnsi="inter"/>
          <w:color w:val="000000"/>
          <w:sz w:val="21"/>
        </w:rPr>
        <w:t xml:space="preserve">: On-chain metadata storage with off-chain model parameters using IPFS</w:t>
      </w:r>
      <w:bookmarkStart w:id="57" w:name="fnref14:2"/>
      <w:bookmarkEnd w:id="57"/>
      <w:hyperlink w:anchor="fn14">
        <w:r>
          <w:rPr>
            <w:rFonts w:eastAsia="inter" w:cs="inter" w:ascii="inter" w:hAnsi="inter"/>
            <w:color w:val="#000"/>
            <w:sz w:val="21"/>
            <w:u w:val="single"/>
            <w:vertAlign w:val="superscript"/>
          </w:rPr>
          <w:t xml:space="preserve">[14]</w:t>
        </w:r>
      </w:hyperlink>
    </w:p>
    <w:p>
      <w:pPr>
        <w:numPr>
          <w:ilvl w:val="0"/>
          <w:numId w:val="2"/>
        </w:numPr>
        <w:spacing w:line="360" w:before="105" w:after="105" w:lineRule="auto"/>
      </w:pPr>
      <w:r>
        <w:rPr>
          <w:rFonts w:eastAsia="inter" w:cs="inter" w:ascii="inter" w:hAnsi="inter"/>
          <w:b/>
          <w:color w:val="000000"/>
          <w:sz w:val="21"/>
        </w:rPr>
        <w:t xml:space="preserve">Encryption Standards</w:t>
      </w:r>
      <w:r>
        <w:rPr>
          <w:rFonts w:eastAsia="inter" w:cs="inter" w:ascii="inter" w:hAnsi="inter"/>
          <w:color w:val="000000"/>
          <w:sz w:val="21"/>
        </w:rPr>
        <w:t xml:space="preserve">: Advanced cryptographic techniques including homomorphic encryption and differential privacy</w:t>
      </w:r>
      <w:bookmarkStart w:id="58" w:name="fnref9:2"/>
      <w:bookmarkEnd w:id="58"/>
      <w:hyperlink w:anchor="fn9">
        <w:r>
          <w:rPr>
            <w:rFonts w:eastAsia="inter" w:cs="inter" w:ascii="inter" w:hAnsi="inter"/>
            <w:color w:val="#000"/>
            <w:sz w:val="21"/>
            <w:u w:val="single"/>
            <w:vertAlign w:val="superscript"/>
          </w:rPr>
          <w:t xml:space="preserve">[9]</w:t>
        </w:r>
      </w:hyperlink>
    </w:p>
    <w:p>
      <w:pPr>
        <w:spacing w:line="360" w:before="315" w:after="105" w:lineRule="auto"/>
        <w:ind w:left="-30"/>
        <w:jc w:val="left"/>
      </w:pPr>
      <w:r>
        <w:rPr>
          <w:rFonts w:eastAsia="inter" w:cs="inter" w:ascii="inter" w:hAnsi="inter"/>
          <w:b/>
          <w:color w:val="000000"/>
          <w:sz w:val="24"/>
        </w:rPr>
        <w:t xml:space="preserve">Regulatory Compliance</w:t>
      </w:r>
    </w:p>
    <w:p>
      <w:pPr>
        <w:spacing w:line="360" w:after="210" w:lineRule="auto"/>
      </w:pPr>
      <w:r>
        <w:rPr>
          <w:rFonts w:eastAsia="inter" w:cs="inter" w:ascii="inter" w:hAnsi="inter"/>
          <w:b/>
          <w:color w:val="000000"/>
        </w:rPr>
        <w:t xml:space="preserve">GDPR and HIPAA Alignment</w:t>
      </w:r>
      <w:r>
        <w:rPr>
          <w:rFonts w:eastAsia="inter" w:cs="inter" w:ascii="inter" w:hAnsi="inter"/>
          <w:color w:val="000000"/>
        </w:rPr>
        <w:t xml:space="preserve">: Frameworks must ensure compliance with data protection regulations while enabling collaborative research</w:t>
      </w:r>
      <w:bookmarkStart w:id="59" w:name="fnref8:2"/>
      <w:bookmarkEnd w:id="59"/>
      <w:hyperlink w:anchor="fn8">
        <w:r>
          <w:rPr>
            <w:rFonts w:eastAsia="inter" w:cs="inter" w:ascii="inter" w:hAnsi="inter"/>
            <w:color w:val="#000"/>
            <w:u w:val="single"/>
            <w:vertAlign w:val="superscript"/>
          </w:rPr>
          <w:t xml:space="preserve">[8]</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Patient Consent Management</w:t>
      </w:r>
      <w:r>
        <w:rPr>
          <w:rFonts w:eastAsia="inter" w:cs="inter" w:ascii="inter" w:hAnsi="inter"/>
          <w:color w:val="000000"/>
        </w:rPr>
        <w:t xml:space="preserve">: Automated smart contract-based systems for managing granular patient consent preferences</w:t>
      </w:r>
      <w:bookmarkStart w:id="60" w:name="fnref8:3"/>
      <w:bookmarkEnd w:id="60"/>
      <w:hyperlink w:anchor="fn8">
        <w:r>
          <w:rPr>
            <w:rFonts w:eastAsia="inter" w:cs="inter" w:ascii="inter" w:hAnsi="inter"/>
            <w:color w:val="#000"/>
            <w:u w:val="single"/>
            <w:vertAlign w:val="superscript"/>
          </w:rPr>
          <w:t xml:space="preserve">[8]</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Audit Trails</w:t>
      </w:r>
      <w:r>
        <w:rPr>
          <w:rFonts w:eastAsia="inter" w:cs="inter" w:ascii="inter" w:hAnsi="inter"/>
          <w:color w:val="000000"/>
        </w:rPr>
        <w:t xml:space="preserve">: Immutable blockchain records for regulatory compliance and accountability</w:t>
      </w:r>
      <w:bookmarkStart w:id="61" w:name="fnref7:4"/>
      <w:bookmarkEnd w:id="61"/>
      <w:hyperlink w:anchor="fn7">
        <w:r>
          <w:rPr>
            <w:rFonts w:eastAsia="inter" w:cs="inter" w:ascii="inter" w:hAnsi="inter"/>
            <w:color w:val="#000"/>
            <w:u w:val="single"/>
            <w:vertAlign w:val="superscript"/>
          </w:rPr>
          <w:t xml:space="preserve">[7]</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Future Research Directions</w:t>
      </w:r>
    </w:p>
    <w:p>
      <w:pPr>
        <w:spacing w:line="360" w:before="315" w:after="105" w:lineRule="auto"/>
        <w:ind w:left="-30"/>
        <w:jc w:val="left"/>
      </w:pPr>
      <w:r>
        <w:rPr>
          <w:rFonts w:eastAsia="inter" w:cs="inter" w:ascii="inter" w:hAnsi="inter"/>
          <w:b/>
          <w:color w:val="000000"/>
          <w:sz w:val="24"/>
        </w:rPr>
        <w:t xml:space="preserve">Promising Areas for Investigation</w:t>
      </w:r>
    </w:p>
    <w:p>
      <w:pPr>
        <w:numPr>
          <w:ilvl w:val="0"/>
          <w:numId w:val="3"/>
        </w:numPr>
        <w:spacing w:line="360" w:before="105" w:after="105" w:lineRule="auto"/>
      </w:pPr>
      <w:r>
        <w:rPr>
          <w:rFonts w:eastAsia="inter" w:cs="inter" w:ascii="inter" w:hAnsi="inter"/>
          <w:b/>
          <w:color w:val="000000"/>
          <w:sz w:val="21"/>
        </w:rPr>
        <w:t xml:space="preserve">Quantum-Enhanced Security</w:t>
      </w:r>
      <w:r>
        <w:rPr>
          <w:rFonts w:eastAsia="inter" w:cs="inter" w:ascii="inter" w:hAnsi="inter"/>
          <w:color w:val="000000"/>
          <w:sz w:val="21"/>
        </w:rPr>
        <w:t xml:space="preserve">: Integration of quantum cryptography for enhanced privacy protection</w:t>
      </w:r>
      <w:bookmarkStart w:id="62" w:name="fnref17:3"/>
      <w:bookmarkEnd w:id="62"/>
      <w:hyperlink w:anchor="fn17">
        <w:r>
          <w:rPr>
            <w:rFonts w:eastAsia="inter" w:cs="inter" w:ascii="inter" w:hAnsi="inter"/>
            <w:color w:val="#000"/>
            <w:sz w:val="21"/>
            <w:u w:val="single"/>
            <w:vertAlign w:val="superscript"/>
          </w:rPr>
          <w:t xml:space="preserve">[17]</w:t>
        </w:r>
      </w:hyperlink>
    </w:p>
    <w:p>
      <w:pPr>
        <w:numPr>
          <w:ilvl w:val="0"/>
          <w:numId w:val="3"/>
        </w:numPr>
        <w:spacing w:line="360" w:before="105" w:after="105" w:lineRule="auto"/>
      </w:pPr>
      <w:r>
        <w:rPr>
          <w:rFonts w:eastAsia="inter" w:cs="inter" w:ascii="inter" w:hAnsi="inter"/>
          <w:b/>
          <w:color w:val="000000"/>
          <w:sz w:val="21"/>
        </w:rPr>
        <w:t xml:space="preserve">Cross-Modal Learning</w:t>
      </w:r>
      <w:r>
        <w:rPr>
          <w:rFonts w:eastAsia="inter" w:cs="inter" w:ascii="inter" w:hAnsi="inter"/>
          <w:color w:val="000000"/>
          <w:sz w:val="21"/>
        </w:rPr>
        <w:t xml:space="preserve">: Federated learning across different medical data modalities</w:t>
      </w:r>
      <w:bookmarkStart w:id="63" w:name="fnref20:2"/>
      <w:bookmarkEnd w:id="63"/>
      <w:hyperlink w:anchor="fn20">
        <w:r>
          <w:rPr>
            <w:rFonts w:eastAsia="inter" w:cs="inter" w:ascii="inter" w:hAnsi="inter"/>
            <w:color w:val="#000"/>
            <w:sz w:val="21"/>
            <w:u w:val="single"/>
            <w:vertAlign w:val="superscript"/>
          </w:rPr>
          <w:t xml:space="preserve">[20]</w:t>
        </w:r>
      </w:hyperlink>
    </w:p>
    <w:p>
      <w:pPr>
        <w:numPr>
          <w:ilvl w:val="0"/>
          <w:numId w:val="3"/>
        </w:numPr>
        <w:spacing w:line="360" w:before="105" w:after="105" w:lineRule="auto"/>
      </w:pPr>
      <w:r>
        <w:rPr>
          <w:rFonts w:eastAsia="inter" w:cs="inter" w:ascii="inter" w:hAnsi="inter"/>
          <w:b/>
          <w:color w:val="000000"/>
          <w:sz w:val="21"/>
        </w:rPr>
        <w:t xml:space="preserve">Real-Time Healthcare Analytics</w:t>
      </w:r>
      <w:r>
        <w:rPr>
          <w:rFonts w:eastAsia="inter" w:cs="inter" w:ascii="inter" w:hAnsi="inter"/>
          <w:color w:val="000000"/>
          <w:sz w:val="21"/>
        </w:rPr>
        <w:t xml:space="preserve">: Edge computing integration for real-time medical decision support</w:t>
      </w:r>
      <w:bookmarkStart w:id="64" w:name="fnref25:2"/>
      <w:bookmarkEnd w:id="64"/>
      <w:hyperlink w:anchor="fn25">
        <w:r>
          <w:rPr>
            <w:rFonts w:eastAsia="inter" w:cs="inter" w:ascii="inter" w:hAnsi="inter"/>
            <w:color w:val="#000"/>
            <w:sz w:val="21"/>
            <w:u w:val="single"/>
            <w:vertAlign w:val="superscript"/>
          </w:rPr>
          <w:t xml:space="preserve">[25]</w:t>
        </w:r>
      </w:hyperlink>
    </w:p>
    <w:p>
      <w:pPr>
        <w:numPr>
          <w:ilvl w:val="0"/>
          <w:numId w:val="3"/>
        </w:numPr>
        <w:spacing w:line="360" w:before="105" w:after="105" w:lineRule="auto"/>
      </w:pPr>
      <w:r>
        <w:rPr>
          <w:rFonts w:eastAsia="inter" w:cs="inter" w:ascii="inter" w:hAnsi="inter"/>
          <w:b/>
          <w:color w:val="000000"/>
          <w:sz w:val="21"/>
        </w:rPr>
        <w:t xml:space="preserve">Personalized Medicine</w:t>
      </w:r>
      <w:r>
        <w:rPr>
          <w:rFonts w:eastAsia="inter" w:cs="inter" w:ascii="inter" w:hAnsi="inter"/>
          <w:color w:val="000000"/>
          <w:sz w:val="21"/>
        </w:rPr>
        <w:t xml:space="preserve">: Federated learning for precision medicine applications</w:t>
      </w:r>
      <w:bookmarkStart w:id="65" w:name="fnref21:4"/>
      <w:bookmarkEnd w:id="65"/>
      <w:hyperlink w:anchor="fn21">
        <w:r>
          <w:rPr>
            <w:rFonts w:eastAsia="inter" w:cs="inter" w:ascii="inter" w:hAnsi="inter"/>
            <w:color w:val="#000"/>
            <w:sz w:val="21"/>
            <w:u w:val="single"/>
            <w:vertAlign w:val="superscript"/>
          </w:rPr>
          <w:t xml:space="preserve">[21]</w:t>
        </w:r>
      </w:hyperlink>
    </w:p>
    <w:p>
      <w:pPr>
        <w:numPr>
          <w:ilvl w:val="0"/>
          <w:numId w:val="3"/>
        </w:numPr>
        <w:spacing w:line="360" w:before="105" w:after="105" w:lineRule="auto"/>
      </w:pPr>
      <w:r>
        <w:rPr>
          <w:rFonts w:eastAsia="inter" w:cs="inter" w:ascii="inter" w:hAnsi="inter"/>
          <w:b/>
          <w:color w:val="000000"/>
          <w:sz w:val="21"/>
        </w:rPr>
        <w:t xml:space="preserve">Global Health Initiatives</w:t>
      </w:r>
      <w:r>
        <w:rPr>
          <w:rFonts w:eastAsia="inter" w:cs="inter" w:ascii="inter" w:hAnsi="inter"/>
          <w:color w:val="000000"/>
          <w:sz w:val="21"/>
        </w:rPr>
        <w:t xml:space="preserve">: Scalable frameworks for international healthcare collaboration</w:t>
      </w:r>
      <w:bookmarkStart w:id="66" w:name="fnref27"/>
      <w:bookmarkEnd w:id="66"/>
      <w:hyperlink w:anchor="fn27">
        <w:r>
          <w:rPr>
            <w:rFonts w:eastAsia="inter" w:cs="inter" w:ascii="inter" w:hAnsi="inter"/>
            <w:color w:val="#000"/>
            <w:sz w:val="21"/>
            <w:u w:val="single"/>
            <w:vertAlign w:val="superscript"/>
          </w:rPr>
          <w:t xml:space="preserve">[27]</w:t>
        </w:r>
      </w:hyperlink>
    </w:p>
    <w:p>
      <w:pPr>
        <w:spacing w:line="360" w:before="315" w:after="105" w:lineRule="auto"/>
        <w:ind w:left="-30"/>
        <w:jc w:val="left"/>
      </w:pPr>
      <w:r>
        <w:rPr>
          <w:rFonts w:eastAsia="inter" w:cs="inter" w:ascii="inter" w:hAnsi="inter"/>
          <w:b/>
          <w:color w:val="000000"/>
          <w:sz w:val="24"/>
        </w:rPr>
        <w:t xml:space="preserve">Methodological Improvements</w:t>
      </w:r>
    </w:p>
    <w:p>
      <w:pPr>
        <w:spacing w:line="360" w:after="210" w:lineRule="auto"/>
      </w:pPr>
      <w:r>
        <w:rPr>
          <w:rFonts w:eastAsia="inter" w:cs="inter" w:ascii="inter" w:hAnsi="inter"/>
          <w:b/>
          <w:color w:val="000000"/>
        </w:rPr>
        <w:t xml:space="preserve">Advanced Aggregation Techniques</w:t>
      </w:r>
      <w:r>
        <w:rPr>
          <w:rFonts w:eastAsia="inter" w:cs="inter" w:ascii="inter" w:hAnsi="inter"/>
          <w:color w:val="000000"/>
        </w:rPr>
        <w:t xml:space="preserve">: Development of more sophisticated weight aggregation methods that consider data quality, model performance, and institutional characteristics</w:t>
      </w:r>
      <w:bookmarkStart w:id="67" w:name="fnref10:2"/>
      <w:bookmarkEnd w:id="67"/>
      <w:hyperlink w:anchor="fn10">
        <w:r>
          <w:rPr>
            <w:rFonts w:eastAsia="inter" w:cs="inter" w:ascii="inter" w:hAnsi="inter"/>
            <w:color w:val="#000"/>
            <w:u w:val="single"/>
            <w:vertAlign w:val="superscript"/>
          </w:rPr>
          <w:t xml:space="preserve">[10]</w:t>
        </w:r>
      </w:hyperlink>
      <w:bookmarkStart w:id="68" w:name="fnref11:3"/>
      <w:bookmarkEnd w:id="68"/>
      <w:hyperlink w:anchor="fn11">
        <w:r>
          <w:rPr>
            <w:rFonts w:eastAsia="inter" w:cs="inter" w:ascii="inter" w:hAnsi="inter"/>
            <w:color w:val="#000"/>
            <w:u w:val="single"/>
            <w:vertAlign w:val="superscript"/>
          </w:rPr>
          <w:t xml:space="preserve">[11]</w:t>
        </w:r>
      </w:hyperlink>
      <w:bookmarkStart w:id="69" w:name="fnref12:2"/>
      <w:bookmarkEnd w:id="69"/>
      <w:hyperlink w:anchor="fn12">
        <w:r>
          <w:rPr>
            <w:rFonts w:eastAsia="inter" w:cs="inter" w:ascii="inter" w:hAnsi="inter"/>
            <w:color w:val="#000"/>
            <w:u w:val="single"/>
            <w:vertAlign w:val="superscript"/>
          </w:rPr>
          <w:t xml:space="preserve">[12]</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Robust Defense Mechanisms</w:t>
      </w:r>
      <w:r>
        <w:rPr>
          <w:rFonts w:eastAsia="inter" w:cs="inter" w:ascii="inter" w:hAnsi="inter"/>
          <w:color w:val="000000"/>
        </w:rPr>
        <w:t xml:space="preserve">: Enhanced frameworks for detecting and mitigating adversarial attacks in federated medical systems</w:t>
      </w:r>
      <w:bookmarkStart w:id="70" w:name="fnref16:2"/>
      <w:bookmarkEnd w:id="70"/>
      <w:hyperlink w:anchor="fn16">
        <w:r>
          <w:rPr>
            <w:rFonts w:eastAsia="inter" w:cs="inter" w:ascii="inter" w:hAnsi="inter"/>
            <w:color w:val="#000"/>
            <w:u w:val="single"/>
            <w:vertAlign w:val="superscript"/>
          </w:rPr>
          <w:t xml:space="preserve">[16]</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Explainable AI Integration</w:t>
      </w:r>
      <w:r>
        <w:rPr>
          <w:rFonts w:eastAsia="inter" w:cs="inter" w:ascii="inter" w:hAnsi="inter"/>
          <w:color w:val="000000"/>
        </w:rPr>
        <w:t xml:space="preserve">: Comprehensive integration of XAI techniques for clinical decision support and regulatory compliance</w:t>
      </w:r>
      <w:bookmarkStart w:id="71" w:name="fnref24:2"/>
      <w:bookmarkEnd w:id="71"/>
      <w:hyperlink w:anchor="fn24">
        <w:r>
          <w:rPr>
            <w:rFonts w:eastAsia="inter" w:cs="inter" w:ascii="inter" w:hAnsi="inter"/>
            <w:color w:val="#000"/>
            <w:u w:val="single"/>
            <w:vertAlign w:val="superscript"/>
          </w:rPr>
          <w:t xml:space="preserve">[24]</w:t>
        </w:r>
      </w:hyperlink>
      <w:bookmarkStart w:id="72" w:name="fnref6:3"/>
      <w:bookmarkEnd w:id="72"/>
      <w:hyperlink w:anchor="fn6">
        <w:r>
          <w:rPr>
            <w:rFonts w:eastAsia="inter" w:cs="inter" w:ascii="inter" w:hAnsi="inter"/>
            <w:color w:val="#000"/>
            <w:u w:val="single"/>
            <w:vertAlign w:val="superscript"/>
          </w:rPr>
          <w:t xml:space="preserve">[6]</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Conclusion</w:t>
      </w:r>
    </w:p>
    <w:p>
      <w:pPr>
        <w:spacing w:line="360" w:after="210" w:lineRule="auto"/>
      </w:pPr>
      <w:r>
        <w:rPr>
          <w:rFonts w:eastAsia="inter" w:cs="inter" w:ascii="inter" w:hAnsi="inter"/>
          <w:color w:val="000000"/>
        </w:rPr>
        <w:t xml:space="preserve">The field of blockchain-based federated learning for medical collaboration has witnessed remarkable progress in 2024-2025, with significant advances in privacy preservation, security mechanisms, and clinical applicability. Key developments include sophisticated smart contract integration for patient consent management</w:t>
      </w:r>
      <w:bookmarkStart w:id="73" w:name="fnref8:4"/>
      <w:bookmarkEnd w:id="73"/>
      <w:hyperlink w:anchor="fn8">
        <w:r>
          <w:rPr>
            <w:rFonts w:eastAsia="inter" w:cs="inter" w:ascii="inter" w:hAnsi="inter"/>
            <w:color w:val="#000"/>
            <w:u w:val="single"/>
            <w:vertAlign w:val="superscript"/>
          </w:rPr>
          <w:t xml:space="preserve">[8]</w:t>
        </w:r>
      </w:hyperlink>
      <w:r>
        <w:rPr>
          <w:rFonts w:eastAsia="inter" w:cs="inter" w:ascii="inter" w:hAnsi="inter"/>
          <w:color w:val="000000"/>
        </w:rPr>
        <w:t xml:space="preserve">, novel aggregation techniques for improved model performance</w:t>
      </w:r>
      <w:bookmarkStart w:id="74" w:name="fnref10:3"/>
      <w:bookmarkEnd w:id="74"/>
      <w:hyperlink w:anchor="fn10">
        <w:r>
          <w:rPr>
            <w:rFonts w:eastAsia="inter" w:cs="inter" w:ascii="inter" w:hAnsi="inter"/>
            <w:color w:val="#000"/>
            <w:u w:val="single"/>
            <w:vertAlign w:val="superscript"/>
          </w:rPr>
          <w:t xml:space="preserve">[10]</w:t>
        </w:r>
      </w:hyperlink>
      <w:bookmarkStart w:id="75" w:name="fnref11:4"/>
      <w:bookmarkEnd w:id="75"/>
      <w:hyperlink w:anchor="fn11">
        <w:r>
          <w:rPr>
            <w:rFonts w:eastAsia="inter" w:cs="inter" w:ascii="inter" w:hAnsi="inter"/>
            <w:color w:val="#000"/>
            <w:u w:val="single"/>
            <w:vertAlign w:val="superscript"/>
          </w:rPr>
          <w:t xml:space="preserve">[11]</w:t>
        </w:r>
      </w:hyperlink>
      <w:bookmarkStart w:id="76" w:name="fnref12:3"/>
      <w:bookmarkEnd w:id="76"/>
      <w:hyperlink w:anchor="fn12">
        <w:r>
          <w:rPr>
            <w:rFonts w:eastAsia="inter" w:cs="inter" w:ascii="inter" w:hAnsi="inter"/>
            <w:color w:val="#000"/>
            <w:u w:val="single"/>
            <w:vertAlign w:val="superscript"/>
          </w:rPr>
          <w:t xml:space="preserve">[12]</w:t>
        </w:r>
      </w:hyperlink>
      <w:r>
        <w:rPr>
          <w:rFonts w:eastAsia="inter" w:cs="inter" w:ascii="inter" w:hAnsi="inter"/>
          <w:color w:val="000000"/>
        </w:rPr>
        <w:t xml:space="preserve">, and comprehensive frameworks combining multiple privacy-preserving technologies</w:t>
      </w:r>
      <w:bookmarkStart w:id="77" w:name="fnref6:4"/>
      <w:bookmarkEnd w:id="77"/>
      <w:hyperlink w:anchor="fn6">
        <w:r>
          <w:rPr>
            <w:rFonts w:eastAsia="inter" w:cs="inter" w:ascii="inter" w:hAnsi="inter"/>
            <w:color w:val="#000"/>
            <w:u w:val="single"/>
            <w:vertAlign w:val="superscript"/>
          </w:rPr>
          <w:t xml:space="preserve">[6]</w:t>
        </w:r>
      </w:hyperlink>
      <w:bookmarkStart w:id="78" w:name="fnref9:3"/>
      <w:bookmarkEnd w:id="78"/>
      <w:hyperlink w:anchor="fn9">
        <w:r>
          <w:rPr>
            <w:rFonts w:eastAsia="inter" w:cs="inter" w:ascii="inter" w:hAnsi="inter"/>
            <w:color w:val="#000"/>
            <w:u w:val="single"/>
            <w:vertAlign w:val="superscript"/>
          </w:rPr>
          <w:t xml:space="preserve">[9]</w:t>
        </w:r>
      </w:hyperlink>
      <w:r>
        <w:rPr>
          <w:rFonts w:eastAsia="inter" w:cs="inter" w:ascii="inter" w:hAnsi="inter"/>
          <w:color w:val="000000"/>
        </w:rPr>
        <w:t xml:space="preserve">.</w:t>
      </w:r>
    </w:p>
    <w:p>
      <w:pPr>
        <w:spacing w:line="360" w:after="210" w:lineRule="auto"/>
      </w:pPr>
      <w:r>
        <w:rPr>
          <w:rFonts w:eastAsia="inter" w:cs="inter" w:ascii="inter" w:hAnsi="inter"/>
          <w:color w:val="000000"/>
        </w:rPr>
        <w:t xml:space="preserve">However, substantial challenges remain, particularly in achieving practical clinical deployment and ensuring robust security against emerging threats</w:t>
      </w:r>
      <w:bookmarkStart w:id="79" w:name="fnref5:3"/>
      <w:bookmarkEnd w:id="79"/>
      <w:hyperlink w:anchor="fn5">
        <w:r>
          <w:rPr>
            <w:rFonts w:eastAsia="inter" w:cs="inter" w:ascii="inter" w:hAnsi="inter"/>
            <w:color w:val="#000"/>
            <w:u w:val="single"/>
            <w:vertAlign w:val="superscript"/>
          </w:rPr>
          <w:t xml:space="preserve">[5]</w:t>
        </w:r>
      </w:hyperlink>
      <w:bookmarkStart w:id="80" w:name="fnref16:3"/>
      <w:bookmarkEnd w:id="80"/>
      <w:hyperlink w:anchor="fn16">
        <w:r>
          <w:rPr>
            <w:rFonts w:eastAsia="inter" w:cs="inter" w:ascii="inter" w:hAnsi="inter"/>
            <w:color w:val="#000"/>
            <w:u w:val="single"/>
            <w:vertAlign w:val="superscript"/>
          </w:rPr>
          <w:t xml:space="preserve">[16]</w:t>
        </w:r>
      </w:hyperlink>
      <w:r>
        <w:rPr>
          <w:rFonts w:eastAsia="inter" w:cs="inter" w:ascii="inter" w:hAnsi="inter"/>
          <w:color w:val="000000"/>
        </w:rPr>
        <w:t xml:space="preserve">. The field is evolving toward more sophisticated approaches that combine federated learning with advanced cryptographic techniques, explainable AI, and comprehensive governance frameworks</w:t>
      </w:r>
      <w:bookmarkStart w:id="81" w:name="fnref7:5"/>
      <w:bookmarkEnd w:id="81"/>
      <w:hyperlink w:anchor="fn7">
        <w:r>
          <w:rPr>
            <w:rFonts w:eastAsia="inter" w:cs="inter" w:ascii="inter" w:hAnsi="inter"/>
            <w:color w:val="#000"/>
            <w:u w:val="single"/>
            <w:vertAlign w:val="superscript"/>
          </w:rPr>
          <w:t xml:space="preserve">[7]</w:t>
        </w:r>
      </w:hyperlink>
      <w:bookmarkStart w:id="82" w:name="fnref24:3"/>
      <w:bookmarkEnd w:id="82"/>
      <w:hyperlink w:anchor="fn24">
        <w:r>
          <w:rPr>
            <w:rFonts w:eastAsia="inter" w:cs="inter" w:ascii="inter" w:hAnsi="inter"/>
            <w:color w:val="#000"/>
            <w:u w:val="single"/>
            <w:vertAlign w:val="superscript"/>
          </w:rPr>
          <w:t xml:space="preserve">[24]</w:t>
        </w:r>
      </w:hyperlink>
      <w:bookmarkStart w:id="83" w:name="fnref6:5"/>
      <w:bookmarkEnd w:id="83"/>
      <w:hyperlink w:anchor="fn6">
        <w:r>
          <w:rPr>
            <w:rFonts w:eastAsia="inter" w:cs="inter" w:ascii="inter" w:hAnsi="inter"/>
            <w:color w:val="#000"/>
            <w:u w:val="single"/>
            <w:vertAlign w:val="superscript"/>
          </w:rPr>
          <w:t xml:space="preserve">[6]</w:t>
        </w:r>
      </w:hyperlink>
      <w:r>
        <w:rPr>
          <w:rFonts w:eastAsia="inter" w:cs="inter" w:ascii="inter" w:hAnsi="inter"/>
          <w:color w:val="000000"/>
        </w:rPr>
        <w:t xml:space="preserve">.</w:t>
      </w:r>
    </w:p>
    <w:p>
      <w:pPr>
        <w:spacing w:line="360" w:after="210" w:lineRule="auto"/>
      </w:pPr>
      <w:r>
        <w:rPr>
          <w:rFonts w:eastAsia="inter" w:cs="inter" w:ascii="inter" w:hAnsi="inter"/>
          <w:color w:val="000000"/>
        </w:rPr>
        <w:t xml:space="preserve">Future research should focus on addressing the identified gaps in clinical utility, developing more robust privacy-preserving mechanisms, and creating standardized frameworks that can be deployed across diverse healthcare institutions globally. The integration of emerging technologies such as quantum computing and advanced consensus mechanisms promises to further enhance the security and efficiency of collaborative medical AI systems</w:t>
      </w:r>
      <w:bookmarkStart w:id="84" w:name="fnref22:3"/>
      <w:bookmarkEnd w:id="84"/>
      <w:hyperlink w:anchor="fn22">
        <w:r>
          <w:rPr>
            <w:rFonts w:eastAsia="inter" w:cs="inter" w:ascii="inter" w:hAnsi="inter"/>
            <w:color w:val="#000"/>
            <w:u w:val="single"/>
            <w:vertAlign w:val="superscript"/>
          </w:rPr>
          <w:t xml:space="preserve">[22]</w:t>
        </w:r>
      </w:hyperlink>
      <w:bookmarkStart w:id="85" w:name="fnref17:4"/>
      <w:bookmarkEnd w:id="85"/>
      <w:hyperlink w:anchor="fn17">
        <w:r>
          <w:rPr>
            <w:rFonts w:eastAsia="inter" w:cs="inter" w:ascii="inter" w:hAnsi="inter"/>
            <w:color w:val="#000"/>
            <w:u w:val="single"/>
            <w:vertAlign w:val="superscript"/>
          </w:rPr>
          <w:t xml:space="preserve">[17]</w:t>
        </w:r>
      </w:hyperlink>
      <w:r>
        <w:rPr>
          <w:rFonts w:eastAsia="inter" w:cs="inter" w:ascii="inter" w:hAnsi="inter"/>
          <w:color w:val="000000"/>
        </w:rPr>
        <w:t xml:space="preserve">.</w:t>
      </w:r>
    </w:p>
    <w:p>
      <w:pPr>
        <w:spacing w:line="360" w:after="210" w:lineRule="auto"/>
      </w:pPr>
      <w:r>
        <w:rPr>
          <w:rFonts w:eastAsia="inter" w:cs="inter" w:ascii="inter" w:hAnsi="inter"/>
          <w:color w:val="000000"/>
        </w:rPr>
        <w:t xml:space="preserve">The continued evolution of this field holds immense promise for revolutionizing global healthcare collaboration while maintaining the highest standards of patient privacy and data security. As these technologies mature, they will likely become essential infrastructure for next-generation healthcare AI systems, enabling unprecedented levels of collaboration in medical research and patient care.</w:t>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86" w:name="fn1"/>
    <w:bookmarkEnd w:id="86"/>
    <w:p>
      <w:pPr>
        <w:numPr>
          <w:ilvl w:val="0"/>
          <w:numId w:val="5"/>
        </w:numPr>
        <w:spacing w:line="360" w:after="210" w:lineRule="auto"/>
      </w:pPr>
      <w:r>
        <w:rPr>
          <w:rFonts w:eastAsia="inter" w:cs="inter" w:ascii="inter" w:hAnsi="inter"/>
          <w:color w:val="000000"/>
          <w:sz w:val="18"/>
        </w:rPr>
        <w:t xml:space="preserve">Blockchain_for_medical_collaboration_A_Federated_learning_based_approach_for_multi-class_respira.pdf </w:t>
      </w:r>
      <w:r>
        <w:rPr>
          <w:rFonts w:eastAsia="inter" w:cs="inter" w:ascii="inter" w:hAnsi="inter"/>
          <w:color w:val="000000"/>
          <w:sz w:val="18"/>
        </w:rPr>
        <w:t xml:space="preserve"> </w:t>
      </w:r>
      <w:r>
        <w:rPr>
          <w:rFonts w:eastAsia="inter" w:cs="inter" w:ascii="inter" w:hAnsi="inter"/>
          <w:color w:val="000000"/>
          <w:sz w:val="18"/>
        </w:rPr>
        <w:t xml:space="preserve"> </w:t>
      </w:r>
    </w:p>
    <w:bookmarkStart w:id="87" w:name="fn2"/>
    <w:bookmarkEnd w:id="87"/>
    <w:p>
      <w:pPr>
        <w:numPr>
          <w:ilvl w:val="0"/>
          <w:numId w:val="5"/>
        </w:numPr>
        <w:spacing w:line="360" w:after="210" w:lineRule="auto"/>
      </w:pPr>
      <w:hyperlink r:id="rId6">
        <w:r>
          <w:rPr>
            <w:rFonts w:eastAsia="inter" w:cs="inter" w:ascii="inter" w:hAnsi="inter"/>
            <w:color w:val="#000"/>
            <w:sz w:val="18"/>
            <w:u w:val="single"/>
          </w:rPr>
          <w:t xml:space="preserve">https://thescipub.com/pdf/jcssp.2024.1610.1621.pdf</w:t>
        </w:r>
      </w:hyperlink>
      <w:r>
        <w:rPr>
          <w:rFonts w:eastAsia="inter" w:cs="inter" w:ascii="inter" w:hAnsi="inter"/>
          <w:color w:val="000000"/>
          <w:sz w:val="18"/>
        </w:rPr>
        <w:t xml:space="preserve"> </w:t>
      </w:r>
    </w:p>
    <w:bookmarkStart w:id="88" w:name="fn3"/>
    <w:bookmarkEnd w:id="88"/>
    <w:p>
      <w:pPr>
        <w:numPr>
          <w:ilvl w:val="0"/>
          <w:numId w:val="5"/>
        </w:numPr>
        <w:spacing w:line="360" w:after="210" w:lineRule="auto"/>
      </w:pPr>
      <w:hyperlink r:id="rId7">
        <w:r>
          <w:rPr>
            <w:rFonts w:eastAsia="inter" w:cs="inter" w:ascii="inter" w:hAnsi="inter"/>
            <w:color w:val="#000"/>
            <w:sz w:val="18"/>
            <w:u w:val="single"/>
          </w:rPr>
          <w:t xml:space="preserve">https://pmc.ncbi.nlm.nih.gov/articles/PMC10976951/</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9" w:name="fn4"/>
    <w:bookmarkEnd w:id="89"/>
    <w:p>
      <w:pPr>
        <w:numPr>
          <w:ilvl w:val="0"/>
          <w:numId w:val="5"/>
        </w:numPr>
        <w:spacing w:line="360" w:after="210" w:lineRule="auto"/>
      </w:pPr>
      <w:hyperlink r:id="rId8">
        <w:r>
          <w:rPr>
            <w:rFonts w:eastAsia="inter" w:cs="inter" w:ascii="inter" w:hAnsi="inter"/>
            <w:color w:val="#000"/>
            <w:sz w:val="18"/>
            <w:u w:val="single"/>
          </w:rPr>
          <w:t xml:space="preserve">https://thescipub.com/abstract/jcssp.2024.1610.1621</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0" w:name="fn5"/>
    <w:bookmarkEnd w:id="90"/>
    <w:p>
      <w:pPr>
        <w:numPr>
          <w:ilvl w:val="0"/>
          <w:numId w:val="5"/>
        </w:numPr>
        <w:spacing w:line="360" w:after="210" w:lineRule="auto"/>
      </w:pPr>
      <w:hyperlink r:id="rId9">
        <w:r>
          <w:rPr>
            <w:rFonts w:eastAsia="inter" w:cs="inter" w:ascii="inter" w:hAnsi="inter"/>
            <w:color w:val="#000"/>
            <w:sz w:val="18"/>
            <w:u w:val="single"/>
          </w:rPr>
          <w:t xml:space="preserve">https://arxiv.org/html/2409.09727v2</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1" w:name="fn6"/>
    <w:bookmarkEnd w:id="91"/>
    <w:p>
      <w:pPr>
        <w:numPr>
          <w:ilvl w:val="0"/>
          <w:numId w:val="5"/>
        </w:numPr>
        <w:spacing w:line="360" w:after="210" w:lineRule="auto"/>
      </w:pPr>
      <w:hyperlink r:id="rId10">
        <w:r>
          <w:rPr>
            <w:rFonts w:eastAsia="inter" w:cs="inter" w:ascii="inter" w:hAnsi="inter"/>
            <w:color w:val="#000"/>
            <w:sz w:val="18"/>
            <w:u w:val="single"/>
          </w:rPr>
          <w:t xml:space="preserve">https://pubmed.ncbi.nlm.nih.gov/40595873/</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2" w:name="fn7"/>
    <w:bookmarkEnd w:id="92"/>
    <w:p>
      <w:pPr>
        <w:numPr>
          <w:ilvl w:val="0"/>
          <w:numId w:val="5"/>
        </w:numPr>
        <w:spacing w:line="360" w:after="210" w:lineRule="auto"/>
      </w:pPr>
      <w:hyperlink r:id="rId11">
        <w:r>
          <w:rPr>
            <w:rFonts w:eastAsia="inter" w:cs="inter" w:ascii="inter" w:hAnsi="inter"/>
            <w:color w:val="#000"/>
            <w:sz w:val="18"/>
            <w:u w:val="single"/>
          </w:rPr>
          <w:t xml:space="preserve">https://pubmed.ncbi.nlm.nih.gov/40031175/</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3" w:name="fn8"/>
    <w:bookmarkEnd w:id="93"/>
    <w:p>
      <w:pPr>
        <w:numPr>
          <w:ilvl w:val="0"/>
          <w:numId w:val="5"/>
        </w:numPr>
        <w:spacing w:line="360" w:after="210" w:lineRule="auto"/>
      </w:pPr>
      <w:hyperlink r:id="rId12">
        <w:r>
          <w:rPr>
            <w:rFonts w:eastAsia="inter" w:cs="inter" w:ascii="inter" w:hAnsi="inter"/>
            <w:color w:val="#000"/>
            <w:sz w:val="18"/>
            <w:u w:val="single"/>
          </w:rPr>
          <w:t xml:space="preserve">https://academic.oup.com/jlb/article/12/1/lsaf003/8123125</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4" w:name="fn9"/>
    <w:bookmarkEnd w:id="94"/>
    <w:p>
      <w:pPr>
        <w:numPr>
          <w:ilvl w:val="0"/>
          <w:numId w:val="5"/>
        </w:numPr>
        <w:spacing w:line="360" w:after="210" w:lineRule="auto"/>
      </w:pPr>
      <w:hyperlink r:id="rId13">
        <w:r>
          <w:rPr>
            <w:rFonts w:eastAsia="inter" w:cs="inter" w:ascii="inter" w:hAnsi="inter"/>
            <w:color w:val="#000"/>
            <w:sz w:val="18"/>
            <w:u w:val="single"/>
          </w:rPr>
          <w:t xml:space="preserve">https://onlinelibrary.wiley.com/doi/abs/10.1155/2024/8138644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5" w:name="fn10"/>
    <w:bookmarkEnd w:id="95"/>
    <w:p>
      <w:pPr>
        <w:numPr>
          <w:ilvl w:val="0"/>
          <w:numId w:val="5"/>
        </w:numPr>
        <w:spacing w:line="360" w:after="210" w:lineRule="auto"/>
      </w:pPr>
      <w:hyperlink r:id="rId14">
        <w:r>
          <w:rPr>
            <w:rFonts w:eastAsia="inter" w:cs="inter" w:ascii="inter" w:hAnsi="inter"/>
            <w:color w:val="#000"/>
            <w:sz w:val="18"/>
            <w:u w:val="single"/>
          </w:rPr>
          <w:t xml:space="preserve">https://dl.acm.org/doi/10.5555/3618408.3619224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6" w:name="fn11"/>
    <w:bookmarkEnd w:id="96"/>
    <w:p>
      <w:pPr>
        <w:numPr>
          <w:ilvl w:val="0"/>
          <w:numId w:val="5"/>
        </w:numPr>
        <w:spacing w:line="360" w:after="210" w:lineRule="auto"/>
      </w:pPr>
      <w:hyperlink r:id="rId15">
        <w:r>
          <w:rPr>
            <w:rFonts w:eastAsia="inter" w:cs="inter" w:ascii="inter" w:hAnsi="inter"/>
            <w:color w:val="#000"/>
            <w:sz w:val="18"/>
            <w:u w:val="single"/>
          </w:rPr>
          <w:t xml:space="preserve">https://arxiv.org/abs/2404.15919</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7" w:name="fn12"/>
    <w:bookmarkEnd w:id="97"/>
    <w:p>
      <w:pPr>
        <w:numPr>
          <w:ilvl w:val="0"/>
          <w:numId w:val="5"/>
        </w:numPr>
        <w:spacing w:line="360" w:after="210" w:lineRule="auto"/>
      </w:pPr>
      <w:hyperlink r:id="rId16">
        <w:r>
          <w:rPr>
            <w:rFonts w:eastAsia="inter" w:cs="inter" w:ascii="inter" w:hAnsi="inter"/>
            <w:color w:val="#000"/>
            <w:sz w:val="18"/>
            <w:u w:val="single"/>
          </w:rPr>
          <w:t xml:space="preserve">https://arxiv.org/html/2503.15842v1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8" w:name="fn13"/>
    <w:bookmarkEnd w:id="98"/>
    <w:p>
      <w:pPr>
        <w:numPr>
          <w:ilvl w:val="0"/>
          <w:numId w:val="5"/>
        </w:numPr>
        <w:spacing w:line="360" w:after="210" w:lineRule="auto"/>
      </w:pPr>
      <w:hyperlink r:id="rId17">
        <w:r>
          <w:rPr>
            <w:rFonts w:eastAsia="inter" w:cs="inter" w:ascii="inter" w:hAnsi="inter"/>
            <w:color w:val="#000"/>
            <w:sz w:val="18"/>
            <w:u w:val="single"/>
          </w:rPr>
          <w:t xml:space="preserve">https://www.irjet.net/archives/V11/i5/IRJET-V11I5119.pdf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9" w:name="fn14"/>
    <w:bookmarkEnd w:id="99"/>
    <w:p>
      <w:pPr>
        <w:numPr>
          <w:ilvl w:val="0"/>
          <w:numId w:val="5"/>
        </w:numPr>
        <w:spacing w:line="360" w:after="210" w:lineRule="auto"/>
      </w:pPr>
      <w:hyperlink r:id="rId18">
        <w:r>
          <w:rPr>
            <w:rFonts w:eastAsia="inter" w:cs="inter" w:ascii="inter" w:hAnsi="inter"/>
            <w:color w:val="#000"/>
            <w:sz w:val="18"/>
            <w:u w:val="single"/>
          </w:rPr>
          <w:t xml:space="preserve">https://arxiv.org/abs/2405.11580</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0" w:name="fn15"/>
    <w:bookmarkEnd w:id="100"/>
    <w:p>
      <w:pPr>
        <w:numPr>
          <w:ilvl w:val="0"/>
          <w:numId w:val="5"/>
        </w:numPr>
        <w:spacing w:line="360" w:after="210" w:lineRule="auto"/>
      </w:pPr>
      <w:hyperlink r:id="rId19">
        <w:r>
          <w:rPr>
            <w:rFonts w:eastAsia="inter" w:cs="inter" w:ascii="inter" w:hAnsi="inter"/>
            <w:color w:val="#000"/>
            <w:sz w:val="18"/>
            <w:u w:val="single"/>
          </w:rPr>
          <w:t xml:space="preserve">https://www.techscience.com/cmc/v80n2/57621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1" w:name="fn16"/>
    <w:bookmarkEnd w:id="101"/>
    <w:p>
      <w:pPr>
        <w:numPr>
          <w:ilvl w:val="0"/>
          <w:numId w:val="5"/>
        </w:numPr>
        <w:spacing w:line="360" w:after="210" w:lineRule="auto"/>
      </w:pPr>
      <w:hyperlink r:id="rId20">
        <w:r>
          <w:rPr>
            <w:rFonts w:eastAsia="inter" w:cs="inter" w:ascii="inter" w:hAnsi="inter"/>
            <w:color w:val="#000"/>
            <w:sz w:val="18"/>
            <w:u w:val="single"/>
          </w:rPr>
          <w:t xml:space="preserve">https://thesai.org/Publications/ViewPaper?Volume=16&amp;Issue=5&amp;Code=IJACSA&amp;SerialNo=1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2" w:name="fn17"/>
    <w:bookmarkEnd w:id="102"/>
    <w:p>
      <w:pPr>
        <w:numPr>
          <w:ilvl w:val="0"/>
          <w:numId w:val="5"/>
        </w:numPr>
        <w:spacing w:line="360" w:after="210" w:lineRule="auto"/>
      </w:pPr>
      <w:hyperlink r:id="rId21">
        <w:r>
          <w:rPr>
            <w:rFonts w:eastAsia="inter" w:cs="inter" w:ascii="inter" w:hAnsi="inter"/>
            <w:color w:val="#000"/>
            <w:sz w:val="18"/>
            <w:u w:val="single"/>
          </w:rPr>
          <w:t xml:space="preserve">https://arxiv.org/pdf/2502.21171.pdf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3" w:name="fn18"/>
    <w:bookmarkEnd w:id="103"/>
    <w:p>
      <w:pPr>
        <w:numPr>
          <w:ilvl w:val="0"/>
          <w:numId w:val="5"/>
        </w:numPr>
        <w:spacing w:line="360" w:after="210" w:lineRule="auto"/>
      </w:pPr>
      <w:hyperlink r:id="rId22">
        <w:r>
          <w:rPr>
            <w:rFonts w:eastAsia="inter" w:cs="inter" w:ascii="inter" w:hAnsi="inter"/>
            <w:color w:val="#000"/>
            <w:sz w:val="18"/>
            <w:u w:val="single"/>
          </w:rPr>
          <w:t xml:space="preserve">https://www.mdpi.com/1424-8220/23/2/743</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4" w:name="fn19"/>
    <w:bookmarkEnd w:id="104"/>
    <w:p>
      <w:pPr>
        <w:numPr>
          <w:ilvl w:val="0"/>
          <w:numId w:val="5"/>
        </w:numPr>
        <w:spacing w:line="360" w:after="210" w:lineRule="auto"/>
      </w:pPr>
      <w:hyperlink r:id="rId23">
        <w:r>
          <w:rPr>
            <w:rFonts w:eastAsia="inter" w:cs="inter" w:ascii="inter" w:hAnsi="inter"/>
            <w:color w:val="#000"/>
            <w:sz w:val="18"/>
            <w:u w:val="single"/>
          </w:rPr>
          <w:t xml:space="preserve">https://arxiv.org/abs/2204.05203</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5" w:name="fn20"/>
    <w:bookmarkEnd w:id="105"/>
    <w:p>
      <w:pPr>
        <w:numPr>
          <w:ilvl w:val="0"/>
          <w:numId w:val="5"/>
        </w:numPr>
        <w:spacing w:line="360" w:after="210" w:lineRule="auto"/>
      </w:pPr>
      <w:hyperlink r:id="rId24">
        <w:r>
          <w:rPr>
            <w:rFonts w:eastAsia="inter" w:cs="inter" w:ascii="inter" w:hAnsi="inter"/>
            <w:color w:val="#000"/>
            <w:sz w:val="18"/>
            <w:u w:val="single"/>
          </w:rPr>
          <w:t xml:space="preserve">https://www.nature.com/articles/s41598-025-97565-4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6" w:name="fn21"/>
    <w:bookmarkEnd w:id="106"/>
    <w:p>
      <w:pPr>
        <w:numPr>
          <w:ilvl w:val="0"/>
          <w:numId w:val="5"/>
        </w:numPr>
        <w:spacing w:line="360" w:after="210" w:lineRule="auto"/>
      </w:pPr>
      <w:hyperlink r:id="rId25">
        <w:r>
          <w:rPr>
            <w:rFonts w:eastAsia="inter" w:cs="inter" w:ascii="inter" w:hAnsi="inter"/>
            <w:color w:val="#000"/>
            <w:sz w:val="18"/>
            <w:u w:val="single"/>
          </w:rPr>
          <w:t xml:space="preserve">https://pmc.ncbi.nlm.nih.gov/articles/PMC11984999/</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7" w:name="fn22"/>
    <w:bookmarkEnd w:id="107"/>
    <w:p>
      <w:pPr>
        <w:numPr>
          <w:ilvl w:val="0"/>
          <w:numId w:val="5"/>
        </w:numPr>
        <w:spacing w:line="360" w:after="210" w:lineRule="auto"/>
      </w:pPr>
      <w:hyperlink r:id="rId26">
        <w:r>
          <w:rPr>
            <w:rFonts w:eastAsia="inter" w:cs="inter" w:ascii="inter" w:hAnsi="inter"/>
            <w:color w:val="#000"/>
            <w:sz w:val="18"/>
            <w:u w:val="single"/>
          </w:rPr>
          <w:t xml:space="preserve">https://arxiv.org/abs/2503.13255</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8" w:name="fn23"/>
    <w:bookmarkEnd w:id="108"/>
    <w:p>
      <w:pPr>
        <w:numPr>
          <w:ilvl w:val="0"/>
          <w:numId w:val="5"/>
        </w:numPr>
        <w:spacing w:line="360" w:after="210" w:lineRule="auto"/>
      </w:pPr>
      <w:hyperlink r:id="rId27">
        <w:r>
          <w:rPr>
            <w:rFonts w:eastAsia="inter" w:cs="inter" w:ascii="inter" w:hAnsi="inter"/>
            <w:color w:val="#000"/>
            <w:sz w:val="18"/>
            <w:u w:val="single"/>
          </w:rPr>
          <w:t xml:space="preserve">https://www.scitepress.org/Papers/2024/124705/124705.pdf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9" w:name="fn24"/>
    <w:bookmarkEnd w:id="109"/>
    <w:p>
      <w:pPr>
        <w:numPr>
          <w:ilvl w:val="0"/>
          <w:numId w:val="5"/>
        </w:numPr>
        <w:spacing w:line="360" w:after="210" w:lineRule="auto"/>
      </w:pPr>
      <w:hyperlink r:id="rId28">
        <w:r>
          <w:rPr>
            <w:rFonts w:eastAsia="inter" w:cs="inter" w:ascii="inter" w:hAnsi="inter"/>
            <w:color w:val="#000"/>
            <w:sz w:val="18"/>
            <w:u w:val="single"/>
          </w:rPr>
          <w:t xml:space="preserve">https://pubmed.ncbi.nlm.nih.gov/38470597/</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10" w:name="fn25"/>
    <w:bookmarkEnd w:id="110"/>
    <w:p>
      <w:pPr>
        <w:numPr>
          <w:ilvl w:val="0"/>
          <w:numId w:val="5"/>
        </w:numPr>
        <w:spacing w:line="360" w:after="210" w:lineRule="auto"/>
      </w:pPr>
      <w:hyperlink r:id="rId29">
        <w:r>
          <w:rPr>
            <w:rFonts w:eastAsia="inter" w:cs="inter" w:ascii="inter" w:hAnsi="inter"/>
            <w:color w:val="#000"/>
            <w:sz w:val="18"/>
            <w:u w:val="single"/>
          </w:rPr>
          <w:t xml:space="preserve">https://ai.jmir.org/2025/1/e60847</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11" w:name="fn26"/>
    <w:bookmarkEnd w:id="111"/>
    <w:p>
      <w:pPr>
        <w:numPr>
          <w:ilvl w:val="0"/>
          <w:numId w:val="5"/>
        </w:numPr>
        <w:spacing w:line="360" w:after="210" w:lineRule="auto"/>
      </w:pPr>
      <w:hyperlink r:id="rId30">
        <w:r>
          <w:rPr>
            <w:rFonts w:eastAsia="inter" w:cs="inter" w:ascii="inter" w:hAnsi="inter"/>
            <w:color w:val="#000"/>
            <w:sz w:val="18"/>
            <w:u w:val="single"/>
          </w:rPr>
          <w:t xml:space="preserve">https://www.decentriq.com/article/healthcare-data-collaboration-beyond-federated-learning</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12" w:name="fn27"/>
    <w:bookmarkEnd w:id="112"/>
    <w:p>
      <w:pPr>
        <w:numPr>
          <w:ilvl w:val="0"/>
          <w:numId w:val="5"/>
        </w:numPr>
        <w:spacing w:line="360" w:after="210" w:lineRule="auto"/>
      </w:pPr>
      <w:hyperlink r:id="rId31">
        <w:r>
          <w:rPr>
            <w:rFonts w:eastAsia="inter" w:cs="inter" w:ascii="inter" w:hAnsi="inter"/>
            <w:color w:val="#000"/>
            <w:sz w:val="18"/>
            <w:u w:val="single"/>
          </w:rPr>
          <w:t xml:space="preserve">https://www.atlantis-press.com/proceedings/icsice-24/126011345</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abstractNum>
  <w:abstractNum w:abstractNumId="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29eedc49ad1754c9ad1a4937e50ac66ed6fb4168.png" TargetMode="Internal"/><Relationship Id="rId6" Type="http://schemas.openxmlformats.org/officeDocument/2006/relationships/hyperlink" Target="https://thescipub.com/pdf/jcssp.2024.1610.1621.pdf" TargetMode="External"/><Relationship Id="rId7" Type="http://schemas.openxmlformats.org/officeDocument/2006/relationships/hyperlink" Target="https://pmc.ncbi.nlm.nih.gov/articles/PMC10976951/" TargetMode="External"/><Relationship Id="rId8" Type="http://schemas.openxmlformats.org/officeDocument/2006/relationships/hyperlink" Target="https://thescipub.com/abstract/jcssp.2024.1610.1621" TargetMode="External"/><Relationship Id="rId9" Type="http://schemas.openxmlformats.org/officeDocument/2006/relationships/hyperlink" Target="https://arxiv.org/html/2409.09727v2" TargetMode="External"/><Relationship Id="rId10" Type="http://schemas.openxmlformats.org/officeDocument/2006/relationships/hyperlink" Target="https://pubmed.ncbi.nlm.nih.gov/40595873/" TargetMode="External"/><Relationship Id="rId11" Type="http://schemas.openxmlformats.org/officeDocument/2006/relationships/hyperlink" Target="https://pubmed.ncbi.nlm.nih.gov/40031175/" TargetMode="External"/><Relationship Id="rId12" Type="http://schemas.openxmlformats.org/officeDocument/2006/relationships/hyperlink" Target="https://academic.oup.com/jlb/article/12/1/lsaf003/8123125" TargetMode="External"/><Relationship Id="rId13" Type="http://schemas.openxmlformats.org/officeDocument/2006/relationships/hyperlink" Target="https://onlinelibrary.wiley.com/doi/abs/10.1155/2024/8138644" TargetMode="External"/><Relationship Id="rId14" Type="http://schemas.openxmlformats.org/officeDocument/2006/relationships/hyperlink" Target="https://dl.acm.org/doi/10.5555/3618408.3619224" TargetMode="External"/><Relationship Id="rId15" Type="http://schemas.openxmlformats.org/officeDocument/2006/relationships/hyperlink" Target="https://arxiv.org/abs/2404.15919" TargetMode="External"/><Relationship Id="rId16" Type="http://schemas.openxmlformats.org/officeDocument/2006/relationships/hyperlink" Target="https://arxiv.org/html/2503.15842v1" TargetMode="External"/><Relationship Id="rId17" Type="http://schemas.openxmlformats.org/officeDocument/2006/relationships/hyperlink" Target="https://www.irjet.net/archives/V11/i5/IRJET-V11I5119.pdf" TargetMode="External"/><Relationship Id="rId18" Type="http://schemas.openxmlformats.org/officeDocument/2006/relationships/hyperlink" Target="https://arxiv.org/abs/2405.11580" TargetMode="External"/><Relationship Id="rId19" Type="http://schemas.openxmlformats.org/officeDocument/2006/relationships/hyperlink" Target="https://www.techscience.com/cmc/v80n2/57621" TargetMode="External"/><Relationship Id="rId20" Type="http://schemas.openxmlformats.org/officeDocument/2006/relationships/hyperlink" Target="https://thesai.org/Publications/ViewPaper?Volume=16&amp;Issue=5&amp;Code=IJACSA&amp;SerialNo=1" TargetMode="External"/><Relationship Id="rId21" Type="http://schemas.openxmlformats.org/officeDocument/2006/relationships/hyperlink" Target="https://arxiv.org/pdf/2502.21171.pdf" TargetMode="External"/><Relationship Id="rId22" Type="http://schemas.openxmlformats.org/officeDocument/2006/relationships/hyperlink" Target="https://www.mdpi.com/1424-8220/23/2/743" TargetMode="External"/><Relationship Id="rId23" Type="http://schemas.openxmlformats.org/officeDocument/2006/relationships/hyperlink" Target="https://arxiv.org/abs/2204.05203" TargetMode="External"/><Relationship Id="rId24" Type="http://schemas.openxmlformats.org/officeDocument/2006/relationships/hyperlink" Target="https://www.nature.com/articles/s41598-025-97565-4" TargetMode="External"/><Relationship Id="rId25" Type="http://schemas.openxmlformats.org/officeDocument/2006/relationships/hyperlink" Target="https://pmc.ncbi.nlm.nih.gov/articles/PMC11984999/" TargetMode="External"/><Relationship Id="rId26" Type="http://schemas.openxmlformats.org/officeDocument/2006/relationships/hyperlink" Target="https://arxiv.org/abs/2503.13255" TargetMode="External"/><Relationship Id="rId27" Type="http://schemas.openxmlformats.org/officeDocument/2006/relationships/hyperlink" Target="https://www.scitepress.org/Papers/2024/124705/124705.pdf" TargetMode="External"/><Relationship Id="rId28" Type="http://schemas.openxmlformats.org/officeDocument/2006/relationships/hyperlink" Target="https://pubmed.ncbi.nlm.nih.gov/38470597/" TargetMode="External"/><Relationship Id="rId29" Type="http://schemas.openxmlformats.org/officeDocument/2006/relationships/hyperlink" Target="https://ai.jmir.org/2025/1/e60847" TargetMode="External"/><Relationship Id="rId30" Type="http://schemas.openxmlformats.org/officeDocument/2006/relationships/hyperlink" Target="https://www.decentriq.com/article/healthcare-data-collaboration-beyond-federated-learning" TargetMode="External"/><Relationship Id="rId31" Type="http://schemas.openxmlformats.org/officeDocument/2006/relationships/hyperlink" Target="https://www.atlantis-press.com/proceedings/icsice-24/126011345"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2025-07-03T15:46:40.896Z</dcterms:created>
  <dcterms:modified xsi:type="dcterms:W3CDTF">2025-07-03T15:46:40.896Z</dcterms:modified>
</cp:coreProperties>
</file>