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spacing w:after="100"/>
      </w:pPr>
      <w:r>
        <w:rPr>
          <w:b/>
          <w:bCs/>
          <w:color w:val="0F4C81"/>
          <w:sz w:val="19"/>
          <w:szCs w:val="19"/>
        </w:rPr>
        <w:t xml:space="preserve">RESEARCH &amp; TECHNICAL BLUEPRINT</w:t>
      </w:r>
    </w:p>
    <w:p>
      <w:pPr>
        <w:spacing w:after="60"/>
      </w:pPr>
      <w:r>
        <w:rPr>
          <w:b/>
          <w:bCs/>
          <w:color w:val="0F2A3F"/>
          <w:sz w:val="52"/>
          <w:szCs w:val="52"/>
        </w:rPr>
        <w:t xml:space="preserve">India ⇄ USA Trade Marketplace</w:t>
      </w:r>
    </w:p>
    <w:p>
      <w:pPr>
        <w:pBdr>
          <w:bottom w:val="single" w:color="0F4C81" w:sz="12"/>
        </w:pBdr>
        <w:spacing w:after="260"/>
      </w:pPr>
    </w:p>
    <w:p>
      <w:pPr>
        <w:spacing w:after="400" w:line="276"/>
      </w:pPr>
      <w:r>
        <w:rPr>
          <w:color w:val="5A5A5A"/>
          <w:sz w:val="24"/>
          <w:szCs w:val="24"/>
        </w:rPr>
        <w:t xml:space="preserve">How to source verified vendor and product data, how to represent export pricing honestly, what to build it on, which APIs to integrate, and the sequence that gets to a liquid marketplace.</w:t>
      </w:r>
    </w:p>
    <w:p>
      <w:pPr>
        <w:spacing w:after="500"/>
      </w:pPr>
    </w:p>
    <w:tbl>
      <w:tblPr>
        <w:tblW w:type="dxa" w:w="9360"/>
        <w:tblBorders>
          <w:top w:val="single" w:color="0F4C81" w:sz="4"/>
          <w:left w:val="none"/>
          <w:bottom w:val="single" w:color="0F4C81" w:sz="4"/>
          <w:right w:val="none"/>
          <w:insideH w:val="single" w:color="C7CDD4" w:sz="2"/>
          <w:insideV w:val="none"/>
        </w:tblBorders>
      </w:tblPr>
      <w:tblGrid>
        <w:gridCol w:w="2200"/>
        <w:gridCol w:w="7160"/>
      </w:tblGrid>
      <w:tr>
        <w:trPr>
          <w:tblHeader/>
        </w:trPr>
        <w:tc>
          <w:tcPr>
            <w:tcW w:type="dxa" w:w="2200"/>
            <w:shd w:fill="EEF2F6" w:val="clear"/>
            <w:tcMar>
              <w:top w:type="dxa" w:w="100"/>
              <w:left w:type="dxa" w:w="120"/>
              <w:bottom w:type="dxa" w:w="100"/>
              <w:right w:type="dxa" w:w="120"/>
            </w:tcMar>
          </w:tcPr>
          <w:p>
            <w:pPr>
              <w:spacing w:after="0"/>
            </w:pPr>
            <w:r>
              <w:rPr>
                <w:b/>
                <w:bCs/>
                <w:color w:val="0F4C81"/>
                <w:sz w:val="18"/>
                <w:szCs w:val="18"/>
              </w:rPr>
              <w:t xml:space="preserve">Field</w:t>
            </w:r>
          </w:p>
        </w:tc>
        <w:tc>
          <w:tcPr>
            <w:tcW w:type="dxa" w:w="7160"/>
            <w:shd w:fill="EEF2F6" w:val="clear"/>
            <w:tcMar>
              <w:top w:type="dxa" w:w="100"/>
              <w:left w:type="dxa" w:w="120"/>
              <w:bottom w:type="dxa" w:w="100"/>
              <w:right w:type="dxa" w:w="120"/>
            </w:tcMar>
          </w:tcPr>
          <w:p>
            <w:pPr>
              <w:spacing w:after="0"/>
            </w:pPr>
            <w:r>
              <w:rPr>
                <w:b/>
                <w:bCs/>
                <w:color w:val="0F4C81"/>
                <w:sz w:val="18"/>
                <w:szCs w:val="18"/>
              </w:rPr>
              <w:t xml:space="preserve">Detail</w:t>
            </w:r>
          </w:p>
        </w:tc>
      </w:tr>
      <w:tr>
        <w:tc>
          <w:tcPr>
            <w:tcW w:type="dxa" w:w="2200"/>
            <w:tcMar>
              <w:top w:type="dxa" w:w="90"/>
              <w:left w:type="dxa" w:w="120"/>
              <w:bottom w:type="dxa" w:w="90"/>
              <w:right w:type="dxa" w:w="120"/>
            </w:tcMar>
          </w:tcPr>
          <w:p>
            <w:pPr>
              <w:spacing w:after="0" w:line="250"/>
            </w:pPr>
            <w:r>
              <w:rPr>
                <w:b/>
                <w:bCs/>
                <w:color w:val="1A1A1A"/>
                <w:sz w:val="18"/>
                <w:szCs w:val="18"/>
              </w:rPr>
              <w:t xml:space="preserve">Concept</w:t>
            </w:r>
          </w:p>
        </w:tc>
        <w:tc>
          <w:tcPr>
            <w:tcW w:type="dxa" w:w="7160"/>
            <w:tcMar>
              <w:top w:type="dxa" w:w="90"/>
              <w:left w:type="dxa" w:w="120"/>
              <w:bottom w:type="dxa" w:w="90"/>
              <w:right w:type="dxa" w:w="120"/>
            </w:tcMar>
          </w:tcPr>
          <w:p>
            <w:pPr>
              <w:spacing w:after="0" w:line="250"/>
            </w:pPr>
            <w:r>
              <w:rPr>
                <w:b w:val="false"/>
                <w:bCs w:val="false"/>
                <w:color w:val="1A1A1A"/>
                <w:sz w:val="18"/>
                <w:szCs w:val="18"/>
              </w:rPr>
              <w:t xml:space="preserve">A two-sided, two-directional B2B marketplace. A US buyer searching for anything made in India finds the vendor, the product and the price on our site. The same in reverse for US sellers into India.</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Defining constraint</w:t>
            </w:r>
          </w:p>
        </w:tc>
        <w:tc>
          <w:tcPr>
            <w:tcW w:type="dxa" w:w="7160"/>
            <w:shd w:fill="F7F9FB" w:val="clear"/>
            <w:tcMar>
              <w:top w:type="dxa" w:w="90"/>
              <w:left w:type="dxa" w:w="120"/>
              <w:bottom w:type="dxa" w:w="90"/>
              <w:right w:type="dxa" w:w="120"/>
            </w:tcMar>
          </w:tcPr>
          <w:p>
            <w:pPr>
              <w:spacing w:after="0" w:line="250"/>
            </w:pPr>
            <w:r>
              <w:rPr>
                <w:b w:val="false"/>
                <w:bCs w:val="false"/>
                <w:color w:val="1A1A1A"/>
                <w:sz w:val="18"/>
                <w:szCs w:val="18"/>
              </w:rPr>
              <w:t xml:space="preserve">The vendor relationship and the vendor data live on our platform. We do not redirect buyers to vendor websites or cite third-party listing sites.</w:t>
            </w:r>
          </w:p>
        </w:tc>
      </w:tr>
      <w:tr>
        <w:tc>
          <w:tcPr>
            <w:tcW w:type="dxa" w:w="2200"/>
            <w:tcMar>
              <w:top w:type="dxa" w:w="90"/>
              <w:left w:type="dxa" w:w="120"/>
              <w:bottom w:type="dxa" w:w="90"/>
              <w:right w:type="dxa" w:w="120"/>
            </w:tcMar>
          </w:tcPr>
          <w:p>
            <w:pPr>
              <w:spacing w:after="0" w:line="250"/>
            </w:pPr>
            <w:r>
              <w:rPr>
                <w:b/>
                <w:bCs/>
                <w:color w:val="1A1A1A"/>
                <w:sz w:val="18"/>
                <w:szCs w:val="18"/>
              </w:rPr>
              <w:t xml:space="preserve">Audience</w:t>
            </w:r>
          </w:p>
        </w:tc>
        <w:tc>
          <w:tcPr>
            <w:tcW w:type="dxa" w:w="7160"/>
            <w:tcMar>
              <w:top w:type="dxa" w:w="90"/>
              <w:left w:type="dxa" w:w="120"/>
              <w:bottom w:type="dxa" w:w="90"/>
              <w:right w:type="dxa" w:w="120"/>
            </w:tcMar>
          </w:tcPr>
          <w:p>
            <w:pPr>
              <w:spacing w:after="0" w:line="250"/>
            </w:pPr>
            <w:r>
              <w:rPr>
                <w:b w:val="false"/>
                <w:bCs w:val="false"/>
                <w:color w:val="1A1A1A"/>
                <w:sz w:val="18"/>
                <w:szCs w:val="18"/>
              </w:rPr>
              <w:t xml:space="preserve">Internal — founder, engineering, and whoever owns supply acquisition.</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Prepared for</w:t>
            </w:r>
          </w:p>
        </w:tc>
        <w:tc>
          <w:tcPr>
            <w:tcW w:type="dxa" w:w="7160"/>
            <w:shd w:fill="F7F9FB" w:val="clear"/>
            <w:tcMar>
              <w:top w:type="dxa" w:w="90"/>
              <w:left w:type="dxa" w:w="120"/>
              <w:bottom w:type="dxa" w:w="90"/>
              <w:right w:type="dxa" w:w="120"/>
            </w:tcMar>
          </w:tcPr>
          <w:p>
            <w:pPr>
              <w:spacing w:after="0" w:line="250"/>
            </w:pPr>
            <w:r>
              <w:rPr>
                <w:b w:val="false"/>
                <w:bCs w:val="false"/>
                <w:color w:val="1A1A1A"/>
                <w:sz w:val="18"/>
                <w:szCs w:val="18"/>
              </w:rPr>
              <w:t xml:space="preserve">LeadStrategus</w:t>
            </w:r>
          </w:p>
        </w:tc>
      </w:tr>
      <w:tr>
        <w:tc>
          <w:tcPr>
            <w:tcW w:type="dxa" w:w="2200"/>
            <w:tcMar>
              <w:top w:type="dxa" w:w="90"/>
              <w:left w:type="dxa" w:w="120"/>
              <w:bottom w:type="dxa" w:w="90"/>
              <w:right w:type="dxa" w:w="120"/>
            </w:tcMar>
          </w:tcPr>
          <w:p>
            <w:pPr>
              <w:spacing w:after="0" w:line="250"/>
            </w:pPr>
            <w:r>
              <w:rPr>
                <w:b/>
                <w:bCs/>
                <w:color w:val="1A1A1A"/>
                <w:sz w:val="18"/>
                <w:szCs w:val="18"/>
              </w:rPr>
              <w:t xml:space="preserve">Research date</w:t>
            </w:r>
          </w:p>
        </w:tc>
        <w:tc>
          <w:tcPr>
            <w:tcW w:type="dxa" w:w="7160"/>
            <w:tcMar>
              <w:top w:type="dxa" w:w="90"/>
              <w:left w:type="dxa" w:w="120"/>
              <w:bottom w:type="dxa" w:w="90"/>
              <w:right w:type="dxa" w:w="120"/>
            </w:tcMar>
          </w:tcPr>
          <w:p>
            <w:pPr>
              <w:spacing w:after="0" w:line="250"/>
            </w:pPr>
            <w:r>
              <w:rPr>
                <w:b w:val="false"/>
                <w:bCs w:val="false"/>
                <w:color w:val="1A1A1A"/>
                <w:sz w:val="18"/>
                <w:szCs w:val="18"/>
              </w:rPr>
              <w:t xml:space="preserve">September 2026</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Status</w:t>
            </w:r>
          </w:p>
        </w:tc>
        <w:tc>
          <w:tcPr>
            <w:tcW w:type="dxa" w:w="7160"/>
            <w:shd w:fill="F7F9FB" w:val="clear"/>
            <w:tcMar>
              <w:top w:type="dxa" w:w="90"/>
              <w:left w:type="dxa" w:w="120"/>
              <w:bottom w:type="dxa" w:w="90"/>
              <w:right w:type="dxa" w:w="120"/>
            </w:tcMar>
          </w:tcPr>
          <w:p>
            <w:pPr>
              <w:spacing w:after="0" w:line="250"/>
            </w:pPr>
            <w:r>
              <w:rPr>
                <w:b w:val="false"/>
                <w:bCs w:val="false"/>
                <w:color w:val="1A1A1A"/>
                <w:sz w:val="18"/>
                <w:szCs w:val="18"/>
              </w:rPr>
              <w:t xml:space="preserve">Pre-build research. No code written.</w:t>
            </w:r>
          </w:p>
        </w:tc>
      </w:tr>
      <w:tr>
        <w:tc>
          <w:tcPr>
            <w:tcW w:type="dxa" w:w="2200"/>
            <w:tcMar>
              <w:top w:type="dxa" w:w="90"/>
              <w:left w:type="dxa" w:w="120"/>
              <w:bottom w:type="dxa" w:w="90"/>
              <w:right w:type="dxa" w:w="120"/>
            </w:tcMar>
          </w:tcPr>
          <w:p>
            <w:pPr>
              <w:spacing w:after="0" w:line="250"/>
            </w:pPr>
            <w:r>
              <w:rPr>
                <w:b/>
                <w:bCs/>
                <w:color w:val="1A1A1A"/>
                <w:sz w:val="18"/>
                <w:szCs w:val="18"/>
              </w:rPr>
              <w:t xml:space="preserve">Companion work</w:t>
            </w:r>
          </w:p>
        </w:tc>
        <w:tc>
          <w:tcPr>
            <w:tcW w:type="dxa" w:w="7160"/>
            <w:tcMar>
              <w:top w:type="dxa" w:w="90"/>
              <w:left w:type="dxa" w:w="120"/>
              <w:bottom w:type="dxa" w:w="90"/>
              <w:right w:type="dxa" w:w="120"/>
            </w:tcMar>
          </w:tcPr>
          <w:p>
            <w:pPr>
              <w:spacing w:after="0" w:line="250"/>
            </w:pPr>
            <w:r>
              <w:rPr>
                <w:b w:val="false"/>
                <w:bCs w:val="false"/>
                <w:color w:val="1A1A1A"/>
                <w:sz w:val="18"/>
                <w:szCs w:val="18"/>
              </w:rPr>
              <w:t xml:space="preserve">The US Export-to-Entry Agent specified earlier in this repository becomes a feature of this platform — see Section 9.</w:t>
            </w:r>
          </w:p>
        </w:tc>
      </w:tr>
    </w:tbl>
    <w:p>
      <w:r>
        <w:br w:type="page"/>
      </w:r>
    </w:p>
    <w:p>
      <w:pPr>
        <w:pStyle w:val="Heading1"/>
        <w:spacing w:after="200" w:before="400"/>
      </w:pPr>
      <w:r>
        <w:rPr>
          <w:b/>
          <w:bCs/>
          <w:color w:val="0F4C81"/>
          <w:sz w:val="32"/>
          <w:szCs w:val="32"/>
        </w:rPr>
        <w:t xml:space="preserve">Contents</w:t>
      </w:r>
    </w:p>
    <w:p>
      <w:pPr>
        <w:spacing w:after="70" w:line="276"/>
      </w:pPr>
      <w:r>
        <w:rPr>
          <w:color w:val="1A1A1A"/>
          <w:sz w:val="21"/>
          <w:szCs w:val="21"/>
        </w:rPr>
        <w:t xml:space="preserve">1.   Executive summary — and the one thing that has to change</w:t>
      </w:r>
    </w:p>
    <w:p>
      <w:pPr>
        <w:spacing w:after="70" w:line="276"/>
      </w:pPr>
      <w:r>
        <w:rPr>
          <w:color w:val="1A1A1A"/>
          <w:sz w:val="21"/>
          <w:szCs w:val="21"/>
        </w:rPr>
        <w:t xml:space="preserve">2.   The business, stated precisely</w:t>
      </w:r>
    </w:p>
    <w:p>
      <w:pPr>
        <w:spacing w:after="70" w:line="276"/>
      </w:pPr>
      <w:r>
        <w:rPr>
          <w:color w:val="1A1A1A"/>
          <w:sz w:val="21"/>
          <w:szCs w:val="21"/>
        </w:rPr>
        <w:t xml:space="preserve">3.   Where the vendor data actually comes from</w:t>
      </w:r>
    </w:p>
    <w:p>
      <w:pPr>
        <w:spacing w:after="70" w:line="276"/>
      </w:pPr>
      <w:r>
        <w:rPr>
          <w:color w:val="1A1A1A"/>
          <w:sz w:val="21"/>
          <w:szCs w:val="21"/>
        </w:rPr>
        <w:t xml:space="preserve">4.   The price problem nobody solves well</w:t>
      </w:r>
    </w:p>
    <w:p>
      <w:pPr>
        <w:spacing w:after="70" w:line="276"/>
      </w:pPr>
      <w:r>
        <w:rPr>
          <w:color w:val="1A1A1A"/>
          <w:sz w:val="21"/>
          <w:szCs w:val="21"/>
        </w:rPr>
        <w:t xml:space="preserve">5.   Whether to show contact details openly</w:t>
      </w:r>
    </w:p>
    <w:p>
      <w:pPr>
        <w:spacing w:after="70" w:line="276"/>
      </w:pPr>
      <w:r>
        <w:rPr>
          <w:color w:val="1A1A1A"/>
          <w:sz w:val="21"/>
          <w:szCs w:val="21"/>
        </w:rPr>
        <w:t xml:space="preserve">6.   Product architecture</w:t>
      </w:r>
    </w:p>
    <w:p>
      <w:pPr>
        <w:spacing w:after="70" w:line="276"/>
      </w:pPr>
      <w:r>
        <w:rPr>
          <w:color w:val="1A1A1A"/>
          <w:sz w:val="21"/>
          <w:szCs w:val="21"/>
        </w:rPr>
        <w:t xml:space="preserve">7.   Technology stack</w:t>
      </w:r>
    </w:p>
    <w:p>
      <w:pPr>
        <w:spacing w:after="70" w:line="276"/>
      </w:pPr>
      <w:r>
        <w:rPr>
          <w:color w:val="1A1A1A"/>
          <w:sz w:val="21"/>
          <w:szCs w:val="21"/>
        </w:rPr>
        <w:t xml:space="preserve">8.   API and data integrations</w:t>
      </w:r>
    </w:p>
    <w:p>
      <w:pPr>
        <w:spacing w:after="70" w:line="276"/>
      </w:pPr>
      <w:r>
        <w:rPr>
          <w:color w:val="1A1A1A"/>
          <w:sz w:val="21"/>
          <w:szCs w:val="21"/>
        </w:rPr>
        <w:t xml:space="preserve">9.   The AI layer — where the defensibility is</w:t>
      </w:r>
    </w:p>
    <w:p>
      <w:pPr>
        <w:spacing w:after="70" w:line="276"/>
      </w:pPr>
      <w:r>
        <w:rPr>
          <w:color w:val="1A1A1A"/>
          <w:sz w:val="21"/>
          <w:szCs w:val="21"/>
        </w:rPr>
        <w:t xml:space="preserve">10. Regulatory and compliance</w:t>
      </w:r>
    </w:p>
    <w:p>
      <w:pPr>
        <w:spacing w:after="70" w:line="276"/>
      </w:pPr>
      <w:r>
        <w:rPr>
          <w:color w:val="1A1A1A"/>
          <w:sz w:val="21"/>
          <w:szCs w:val="21"/>
        </w:rPr>
        <w:t xml:space="preserve">11. Cold start and go-to-market</w:t>
      </w:r>
    </w:p>
    <w:p>
      <w:pPr>
        <w:spacing w:after="70" w:line="276"/>
      </w:pPr>
      <w:r>
        <w:rPr>
          <w:color w:val="1A1A1A"/>
          <w:sz w:val="21"/>
          <w:szCs w:val="21"/>
        </w:rPr>
        <w:t xml:space="preserve">12. Build roadmap</w:t>
      </w:r>
    </w:p>
    <w:p>
      <w:pPr>
        <w:spacing w:after="70" w:line="276"/>
      </w:pPr>
      <w:r>
        <w:rPr>
          <w:color w:val="1A1A1A"/>
          <w:sz w:val="21"/>
          <w:szCs w:val="21"/>
        </w:rPr>
        <w:t xml:space="preserve">13. Cost model</w:t>
      </w:r>
    </w:p>
    <w:p>
      <w:pPr>
        <w:spacing w:after="70" w:line="276"/>
      </w:pPr>
      <w:r>
        <w:rPr>
          <w:color w:val="1A1A1A"/>
          <w:sz w:val="21"/>
          <w:szCs w:val="21"/>
        </w:rPr>
        <w:t xml:space="preserve">14. Risks</w:t>
      </w:r>
    </w:p>
    <w:p>
      <w:pPr>
        <w:spacing w:after="70" w:line="276"/>
      </w:pPr>
      <w:r>
        <w:rPr>
          <w:color w:val="1A1A1A"/>
          <w:sz w:val="21"/>
          <w:szCs w:val="21"/>
        </w:rPr>
        <w:t xml:space="preserve">15. Open decisions</w:t>
      </w:r>
    </w:p>
    <w:p>
      <w:pPr>
        <w:spacing w:after="70" w:line="276"/>
      </w:pPr>
      <w:r>
        <w:rPr>
          <w:color w:val="1A1A1A"/>
          <w:sz w:val="21"/>
          <w:szCs w:val="21"/>
        </w:rPr>
        <w:t xml:space="preserve">Appendix A — Core data model</w:t>
      </w:r>
    </w:p>
    <w:p>
      <w:pPr>
        <w:spacing w:after="70" w:line="276"/>
      </w:pPr>
      <w:r>
        <w:rPr>
          <w:color w:val="1A1A1A"/>
          <w:sz w:val="21"/>
          <w:szCs w:val="21"/>
        </w:rPr>
        <w:t xml:space="preserve">Appendix B — Integration inventory</w:t>
      </w:r>
    </w:p>
    <w:p>
      <w:pPr>
        <w:spacing w:after="70" w:line="276"/>
      </w:pPr>
      <w:r>
        <w:rPr>
          <w:color w:val="1A1A1A"/>
          <w:sz w:val="21"/>
          <w:szCs w:val="21"/>
        </w:rPr>
        <w:t xml:space="preserve">Appendix C — Sources consulted</w:t>
      </w:r>
    </w:p>
    <w:p>
      <w:r>
        <w:br w:type="page"/>
      </w:r>
    </w:p>
    <w:p>
      <w:pPr>
        <w:pStyle w:val="Heading1"/>
        <w:spacing w:after="200" w:before="400"/>
      </w:pPr>
      <w:r>
        <w:rPr>
          <w:b/>
          <w:bCs/>
          <w:color w:val="0F4C81"/>
          <w:sz w:val="32"/>
          <w:szCs w:val="32"/>
        </w:rPr>
        <w:t xml:space="preserve">1.  Executive summary — and the one thing that has to change</w:t>
      </w:r>
    </w:p>
    <w:p>
      <w:pPr>
        <w:pStyle w:val="Heading2"/>
        <w:spacing w:after="140" w:before="320"/>
      </w:pPr>
      <w:r>
        <w:rPr>
          <w:b/>
          <w:bCs/>
          <w:color w:val="1A1A1A"/>
          <w:sz w:val="25"/>
          <w:szCs w:val="25"/>
        </w:rPr>
        <w:t xml:space="preserve">1.1  The idea is sound</w:t>
      </w:r>
    </w:p>
    <w:p>
      <w:pPr>
        <w:spacing w:after="120" w:line="276"/>
      </w:pPr>
      <w:r>
        <w:rPr>
          <w:color w:val="1A1A1A"/>
          <w:sz w:val="21"/>
          <w:szCs w:val="21"/>
        </w:rPr>
        <w:t xml:space="preserve">A focused India–USA trade marketplace is a real business. The corridor is large, it is growing, and the existing options serve it badly. IndiaMART is built for domestic Indian buyers and is noisy and unverified at the export end. Alibaba is China-first and treats India as a secondary catalogue. ThomasNet is US-domestic. None of them answers the question a US buyer actually has, which is not "who makes this" but "what does it cost me, delivered, from a supplier I can trust."</w:t>
      </w:r>
    </w:p>
    <w:p>
      <w:pPr>
        <w:spacing w:after="120" w:line="276"/>
      </w:pPr>
      <w:r>
        <w:rPr>
          <w:color w:val="1A1A1A"/>
          <w:sz w:val="21"/>
          <w:szCs w:val="21"/>
        </w:rPr>
        <w:t xml:space="preserve">Your instinct to keep the buyer on your own site rather than handing them off to a vendor website is also commercially correct. The platform that owns the conversation owns the transaction, the data and the repeat business. Directories that link out become free traffic for somebody else.</w:t>
      </w:r>
    </w:p>
    <w:p>
      <w:pPr>
        <w:pStyle w:val="Heading2"/>
        <w:spacing w:after="140" w:before="320"/>
      </w:pPr>
      <w:r>
        <w:rPr>
          <w:b/>
          <w:bCs/>
          <w:color w:val="1A1A1A"/>
          <w:sz w:val="25"/>
          <w:szCs w:val="25"/>
        </w:rPr>
        <w:t xml:space="preserve">1.2  The plan as described has one fatal step</w:t>
      </w:r>
    </w:p>
    <w:p>
      <w:pPr>
        <w:spacing w:after="120" w:line="276"/>
      </w:pPr>
      <w:r>
        <w:rPr>
          <w:color w:val="1A1A1A"/>
          <w:sz w:val="21"/>
          <w:szCs w:val="21"/>
        </w:rPr>
        <w:t xml:space="preserve">The question you asked — how do we get the Indian seller details, what they sell and their prices, and host them on our site without crediting the source — has an implied answer that will not survive contact with reality. Harvesting listings from IndiaMART, TradeIndia, ExportersIndia or Alibaba and republishing them as our own catalogue fails on four separate grounds at once, any one of which is enough to end the project.</w:t>
      </w:r>
    </w:p>
    <w:p>
      <w:pPr>
        <w:spacing w:after="60"/>
      </w:pPr>
    </w:p>
    <w:tbl>
      <w:tblPr>
        <w:tblW w:type="dxa" w:w="9360"/>
        <w:tblBorders>
          <w:top w:val="single" w:color="0F4C81" w:sz="4"/>
          <w:left w:val="none"/>
          <w:bottom w:val="single" w:color="0F4C81" w:sz="4"/>
          <w:right w:val="none"/>
          <w:insideH w:val="single" w:color="C7CDD4" w:sz="2"/>
          <w:insideV w:val="none"/>
        </w:tblBorders>
      </w:tblPr>
      <w:tblGrid>
        <w:gridCol w:w="2200"/>
        <w:gridCol w:w="7160"/>
      </w:tblGrid>
      <w:tr>
        <w:trPr>
          <w:tblHeader/>
        </w:trPr>
        <w:tc>
          <w:tcPr>
            <w:tcW w:type="dxa" w:w="2200"/>
            <w:shd w:fill="EEF2F6" w:val="clear"/>
            <w:tcMar>
              <w:top w:type="dxa" w:w="100"/>
              <w:left w:type="dxa" w:w="120"/>
              <w:bottom w:type="dxa" w:w="100"/>
              <w:right w:type="dxa" w:w="120"/>
            </w:tcMar>
          </w:tcPr>
          <w:p>
            <w:pPr>
              <w:spacing w:after="0"/>
            </w:pPr>
            <w:r>
              <w:rPr>
                <w:b/>
                <w:bCs/>
                <w:color w:val="0F4C81"/>
                <w:sz w:val="18"/>
                <w:szCs w:val="18"/>
              </w:rPr>
              <w:t xml:space="preserve">Ground</w:t>
            </w:r>
          </w:p>
        </w:tc>
        <w:tc>
          <w:tcPr>
            <w:tcW w:type="dxa" w:w="7160"/>
            <w:shd w:fill="EEF2F6" w:val="clear"/>
            <w:tcMar>
              <w:top w:type="dxa" w:w="100"/>
              <w:left w:type="dxa" w:w="120"/>
              <w:bottom w:type="dxa" w:w="100"/>
              <w:right w:type="dxa" w:w="120"/>
            </w:tcMar>
          </w:tcPr>
          <w:p>
            <w:pPr>
              <w:spacing w:after="0"/>
            </w:pPr>
            <w:r>
              <w:rPr>
                <w:b/>
                <w:bCs/>
                <w:color w:val="0F4C81"/>
                <w:sz w:val="18"/>
                <w:szCs w:val="18"/>
              </w:rPr>
              <w:t xml:space="preserve">Why it fails</w:t>
            </w:r>
          </w:p>
        </w:tc>
      </w:tr>
      <w:tr>
        <w:tc>
          <w:tcPr>
            <w:tcW w:type="dxa" w:w="2200"/>
            <w:tcMar>
              <w:top w:type="dxa" w:w="90"/>
              <w:left w:type="dxa" w:w="120"/>
              <w:bottom w:type="dxa" w:w="90"/>
              <w:right w:type="dxa" w:w="120"/>
            </w:tcMar>
          </w:tcPr>
          <w:p>
            <w:pPr>
              <w:spacing w:after="0" w:line="250"/>
            </w:pPr>
            <w:r>
              <w:rPr>
                <w:b/>
                <w:bCs/>
                <w:color w:val="1A1A1A"/>
                <w:sz w:val="18"/>
                <w:szCs w:val="18"/>
              </w:rPr>
              <w:t xml:space="preserve">Litigation</w:t>
            </w:r>
          </w:p>
        </w:tc>
        <w:tc>
          <w:tcPr>
            <w:tcW w:type="dxa" w:w="7160"/>
            <w:tcMar>
              <w:top w:type="dxa" w:w="90"/>
              <w:left w:type="dxa" w:w="120"/>
              <w:bottom w:type="dxa" w:w="90"/>
              <w:right w:type="dxa" w:w="120"/>
            </w:tcMar>
          </w:tcPr>
          <w:p>
            <w:pPr>
              <w:spacing w:after="0" w:line="250"/>
            </w:pPr>
            <w:r>
              <w:rPr>
                <w:b w:val="false"/>
                <w:bCs w:val="false"/>
                <w:color w:val="1A1A1A"/>
                <w:sz w:val="18"/>
                <w:szCs w:val="18"/>
              </w:rPr>
              <w:t xml:space="preserve">This precise act has already been litigated in India. In November 2020 IndiaMART sued Justdial in the Delhi High Court over its JdMart marketplace, alleging wholesale copying of its listing compilation; the court appointed local commissioners to search Justdial's premises. A compiled directory is protected as a compilation, and the incumbents have both the money and the demonstrated appetite to enforce that.</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Data protection</w:t>
            </w:r>
          </w:p>
        </w:tc>
        <w:tc>
          <w:tcPr>
            <w:tcW w:type="dxa" w:w="7160"/>
            <w:shd w:fill="F7F9FB" w:val="clear"/>
            <w:tcMar>
              <w:top w:type="dxa" w:w="90"/>
              <w:left w:type="dxa" w:w="120"/>
              <w:bottom w:type="dxa" w:w="90"/>
              <w:right w:type="dxa" w:w="120"/>
            </w:tcMar>
          </w:tcPr>
          <w:p>
            <w:pPr>
              <w:spacing w:after="0" w:line="250"/>
            </w:pPr>
            <w:r>
              <w:rPr>
                <w:b w:val="false"/>
                <w:bCs w:val="false"/>
                <w:color w:val="1A1A1A"/>
                <w:sz w:val="18"/>
                <w:szCs w:val="18"/>
              </w:rPr>
              <w:t xml:space="preserve">Vendor contact details are largely personal data — a proprietor's mobile number, a named individual's email. India's DPDP Rules were notified in November 2025 with phased compliance running through 2026 and penalties reaching ₹250 crore. Building a business on bulk-collected third-party personal data in that environment is a standing liability.</w:t>
            </w:r>
          </w:p>
        </w:tc>
      </w:tr>
      <w:tr>
        <w:tc>
          <w:tcPr>
            <w:tcW w:type="dxa" w:w="2200"/>
            <w:tcMar>
              <w:top w:type="dxa" w:w="90"/>
              <w:left w:type="dxa" w:w="120"/>
              <w:bottom w:type="dxa" w:w="90"/>
              <w:right w:type="dxa" w:w="120"/>
            </w:tcMar>
          </w:tcPr>
          <w:p>
            <w:pPr>
              <w:spacing w:after="0" w:line="250"/>
            </w:pPr>
            <w:r>
              <w:rPr>
                <w:b/>
                <w:bCs/>
                <w:color w:val="1A1A1A"/>
                <w:sz w:val="18"/>
                <w:szCs w:val="18"/>
              </w:rPr>
              <w:t xml:space="preserve">Computer misuse</w:t>
            </w:r>
          </w:p>
        </w:tc>
        <w:tc>
          <w:tcPr>
            <w:tcW w:type="dxa" w:w="7160"/>
            <w:tcMar>
              <w:top w:type="dxa" w:w="90"/>
              <w:left w:type="dxa" w:w="120"/>
              <w:bottom w:type="dxa" w:w="90"/>
              <w:right w:type="dxa" w:w="120"/>
            </w:tcMar>
          </w:tcPr>
          <w:p>
            <w:pPr>
              <w:spacing w:after="0" w:line="250"/>
            </w:pPr>
            <w:r>
              <w:rPr>
                <w:b w:val="false"/>
                <w:bCs w:val="false"/>
                <w:color w:val="1A1A1A"/>
                <w:sz w:val="18"/>
                <w:szCs w:val="18"/>
              </w:rPr>
              <w:t xml:space="preserve">Scraping in breach of a site's terms has been argued in India under section 43 of the Information Technology Act, 2000, independently of any copyright claim.</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It does not work</w:t>
            </w:r>
          </w:p>
        </w:tc>
        <w:tc>
          <w:tcPr>
            <w:tcW w:type="dxa" w:w="7160"/>
            <w:shd w:fill="F7F9FB" w:val="clear"/>
            <w:tcMar>
              <w:top w:type="dxa" w:w="90"/>
              <w:left w:type="dxa" w:w="120"/>
              <w:bottom w:type="dxa" w:w="90"/>
              <w:right w:type="dxa" w:w="120"/>
            </w:tcMar>
          </w:tcPr>
          <w:p>
            <w:pPr>
              <w:spacing w:after="0" w:line="250"/>
            </w:pPr>
            <w:r>
              <w:rPr>
                <w:b w:val="false"/>
                <w:bCs w:val="false"/>
                <w:color w:val="1A1A1A"/>
                <w:sz w:val="18"/>
                <w:szCs w:val="18"/>
              </w:rPr>
              <w:t xml:space="preserve">The commercial objection is stronger than the legal one. Scraped directory data is stale, duplicated, and full of dead numbers and prices that were never real. You would be rebuilding a competitor's worst asset and inheriting its reputation, with no vendor relationship, no ability to update anything, and nothing a buyer would trust.</w:t>
            </w:r>
          </w:p>
        </w:tc>
      </w:tr>
    </w:tbl>
    <w:p>
      <w:pPr>
        <w:spacing w:after="80"/>
      </w:pPr>
    </w:p>
    <w:tbl>
      <w:tblPr>
        <w:tblW w:type="dxa" w:w="9360"/>
        <w:tblBorders>
          <w:top w:val="single" w:color="C7CDD4" w:sz="2"/>
          <w:left w:val="single" w:color="0F4C81" w:sz="18"/>
          <w:bottom w:val="single" w:color="C7CDD4" w:sz="2"/>
          <w:right w:val="single" w:color="C7CDD4" w:sz="2"/>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60"/>
            </w:pPr>
            <w:r>
              <w:rPr>
                <w:b/>
                <w:bCs/>
                <w:color w:val="0F4C81"/>
                <w:sz w:val="17"/>
                <w:szCs w:val="17"/>
              </w:rPr>
              <w:t xml:space="preserve">THE REFRAME</w:t>
            </w:r>
          </w:p>
          <w:p>
            <w:pPr>
              <w:spacing w:after="0" w:line="276"/>
            </w:pPr>
            <w:r>
              <w:rPr>
                <w:color w:val="1A1A1A"/>
                <w:sz w:val="21"/>
                <w:szCs w:val="21"/>
              </w:rPr>
              <w:t xml:space="preserve">Your own constraint — that the vendor data lives on your platform and is not attributed to anyone else — can only be satisfied legitimately if the vendor gives it to you directly. The requirement and the legal path point at the same answer: you must own the supply relationship. That is harder than scraping, and it is the only version of this business that is worth anything.</w:t>
            </w:r>
          </w:p>
        </w:tc>
      </w:tr>
    </w:tbl>
    <w:p>
      <w:pPr>
        <w:pStyle w:val="Heading2"/>
        <w:spacing w:after="140" w:before="320"/>
      </w:pPr>
      <w:r>
        <w:rPr>
          <w:b/>
          <w:bCs/>
          <w:color w:val="1A1A1A"/>
          <w:sz w:val="25"/>
          <w:szCs w:val="25"/>
        </w:rPr>
        <w:t xml:space="preserve">1.3  What replaces it</w:t>
      </w:r>
    </w:p>
    <w:p>
      <w:pPr>
        <w:spacing w:after="120" w:line="276"/>
      </w:pPr>
      <w:r>
        <w:rPr>
          <w:color w:val="1A1A1A"/>
          <w:sz w:val="21"/>
          <w:szCs w:val="21"/>
        </w:rPr>
        <w:t xml:space="preserve">There is a legitimate route to a catalogue that is non-empty on day one, and it is better than scraping because the data is more accurate and the vendors are pre-qualified. It has three layers.</w:t>
      </w:r>
    </w:p>
    <w:p>
      <w:pPr>
        <w:pStyle w:val="ListParagraph"/>
        <w:numPr>
          <w:ilvl w:val="0"/>
          <w:numId w:val="2"/>
        </w:numPr>
        <w:spacing w:after="80" w:line="276"/>
      </w:pPr>
      <w:r>
        <w:rPr>
          <w:color w:val="1A1A1A"/>
          <w:sz w:val="21"/>
          <w:szCs w:val="21"/>
        </w:rPr>
        <w:t xml:space="preserve">Seed from public trade data. US ocean import manifests are public records released under the Freedom of Information Act — that is the source Panjiva, ImportGenius, Datamyne and ImportYeti are all built on. They tell you which Indian company has actually shipped which commodity to which US buyer, and when. Indian export shipment data is available commercially from Volza, Export Genius and similar. This gives you a list of proven exporters — not aspirational ones — with the HS codes they really ship.</w:t>
      </w:r>
    </w:p>
    <w:p>
      <w:pPr>
        <w:pStyle w:val="ListParagraph"/>
        <w:numPr>
          <w:ilvl w:val="0"/>
          <w:numId w:val="2"/>
        </w:numPr>
        <w:spacing w:after="80" w:line="276"/>
      </w:pPr>
      <w:r>
        <w:rPr>
          <w:color w:val="1A1A1A"/>
          <w:sz w:val="21"/>
          <w:szCs w:val="21"/>
        </w:rPr>
        <w:t xml:space="preserve">Verify from government registries. Every legal Indian exporter holds an Import Export Code from the DGFT. GSTIN, MCA21 company master data and Udyam MSME registration are all verifiable through commercial KYB APIs. This is how you build a trust layer no competitor has.</w:t>
      </w:r>
    </w:p>
    <w:p>
      <w:pPr>
        <w:pStyle w:val="ListParagraph"/>
        <w:numPr>
          <w:ilvl w:val="0"/>
          <w:numId w:val="2"/>
        </w:numPr>
        <w:spacing w:after="80" w:line="276"/>
      </w:pPr>
      <w:r>
        <w:rPr>
          <w:color w:val="1A1A1A"/>
          <w:sz w:val="21"/>
          <w:szCs w:val="21"/>
        </w:rPr>
        <w:t xml:space="preserve">Onboard through institutions, then direct sales. FIEO is the apex body serving roughly 200,000 Indian exporters, sitting above fourteen-plus commodity Export Promotion Councils. Every exporter claiming export benefits needs an RCMC from one of them. These bodies exist specifically to connect their members with foreign buyers — they are a partnership channel, not a scraping target.</w:t>
      </w:r>
    </w:p>
    <w:p>
      <w:pPr>
        <w:spacing w:after="60"/>
      </w:pPr>
    </w:p>
    <w:p>
      <w:pPr>
        <w:spacing w:after="120" w:line="276"/>
      </w:pPr>
      <w:r>
        <w:rPr>
          <w:color w:val="1A1A1A"/>
          <w:sz w:val="21"/>
          <w:szCs w:val="21"/>
        </w:rPr>
        <w:t xml:space="preserve">The bridge between layer 1 and layer 3 is a claim-your-profile model: publish a factual, registry-sourced company page with no personal contact details, then invite the vendor to claim it, enrich it and set prices. Google Business Profiles, Crunchbase and LinkedIn company pages all bootstrapped exactly this way. Section 3 covers the mechanics.</w:t>
      </w:r>
    </w:p>
    <w:p>
      <w:pPr>
        <w:pStyle w:val="Heading2"/>
        <w:spacing w:after="140" w:before="320"/>
      </w:pPr>
      <w:r>
        <w:rPr>
          <w:b/>
          <w:bCs/>
          <w:color w:val="1A1A1A"/>
          <w:sz w:val="25"/>
          <w:szCs w:val="25"/>
        </w:rPr>
        <w:t xml:space="preserve">1.4  Two design decisions worth making now</w:t>
      </w:r>
    </w:p>
    <w:p>
      <w:pPr>
        <w:pStyle w:val="ListParagraph"/>
        <w:numPr>
          <w:ilvl w:val="0"/>
          <w:numId w:val="3"/>
        </w:numPr>
        <w:spacing w:after="80" w:line="276"/>
      </w:pPr>
      <w:r>
        <w:rPr>
          <w:b/>
          <w:bCs/>
          <w:color w:val="1A1A1A"/>
          <w:sz w:val="21"/>
          <w:szCs w:val="21"/>
        </w:rPr>
        <w:t xml:space="preserve">Do not publish contact details openly. </w:t>
      </w:r>
      <w:r>
        <w:rPr>
          <w:color w:val="1A1A1A"/>
          <w:sz w:val="21"/>
          <w:szCs w:val="21"/>
        </w:rPr>
        <w:t xml:space="preserve">Gate them behind a registered buyer and an enquiry. This is not a compliance compromise — it is how IndiaMART, Alibaba and ThomasNet all monetise, it keeps you inside DPDP consent rules, and it stops a competitor doing to you what Section 1.2 warns against. Public: product, specification, indicative price band, verification badges. Gated: contact, exact quote, direct messaging.</w:t>
      </w:r>
    </w:p>
    <w:p>
      <w:pPr>
        <w:pStyle w:val="ListParagraph"/>
        <w:numPr>
          <w:ilvl w:val="0"/>
          <w:numId w:val="3"/>
        </w:numPr>
        <w:spacing w:after="80" w:line="276"/>
      </w:pPr>
      <w:r>
        <w:rPr>
          <w:b/>
          <w:bCs/>
          <w:color w:val="1A1A1A"/>
          <w:sz w:val="21"/>
          <w:szCs w:val="21"/>
        </w:rPr>
        <w:t xml:space="preserve">A single price is a lie in export trade. </w:t>
      </w:r>
      <w:r>
        <w:rPr>
          <w:color w:val="1A1A1A"/>
          <w:sz w:val="21"/>
          <w:szCs w:val="21"/>
        </w:rPr>
        <w:t xml:space="preserve">An export price is meaningless without quantity tier, Incoterm, validity date and currency. The same goods at ex-works and delivered-duty-paid can differ by forty per cent. Modelling price as one number will make the site wrong on day one and unfixable later. Section 4 gives the data model that works.</w:t>
      </w:r>
    </w:p>
    <w:p>
      <w:pPr>
        <w:pStyle w:val="Heading2"/>
        <w:spacing w:after="140" w:before="320"/>
      </w:pPr>
      <w:r>
        <w:rPr>
          <w:b/>
          <w:bCs/>
          <w:color w:val="1A1A1A"/>
          <w:sz w:val="25"/>
          <w:szCs w:val="25"/>
        </w:rPr>
        <w:t xml:space="preserve">1.5  Where the real advantage is</w:t>
      </w:r>
    </w:p>
    <w:p>
      <w:pPr>
        <w:spacing w:after="120" w:line="276"/>
      </w:pPr>
      <w:r>
        <w:rPr>
          <w:color w:val="1A1A1A"/>
          <w:sz w:val="21"/>
          <w:szCs w:val="21"/>
        </w:rPr>
        <w:t xml:space="preserve">A better-organised directory is not defensible; anyone can build one. The defensible product is the number a US buyer actually needs and nobody currently shows them:</w:t>
      </w:r>
    </w:p>
    <w:p>
      <w:pPr>
        <w:spacing w:after="60"/>
      </w:pPr>
    </w:p>
    <w:tbl>
      <w:tblPr>
        <w:tblW w:type="dxa" w:w="9360"/>
        <w:tblBorders>
          <w:top w:val="single" w:color="C7CDD4" w:sz="2"/>
          <w:left w:val="single" w:color="0F4C81" w:sz="18"/>
          <w:bottom w:val="single" w:color="C7CDD4" w:sz="2"/>
          <w:right w:val="single" w:color="C7CDD4" w:sz="2"/>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60"/>
            </w:pPr>
            <w:r>
              <w:rPr>
                <w:b/>
                <w:bCs/>
                <w:color w:val="0F4C81"/>
                <w:sz w:val="17"/>
                <w:szCs w:val="17"/>
              </w:rPr>
              <w:t xml:space="preserve">THE FEATURE THAT WINS THE CORRIDOR</w:t>
            </w:r>
          </w:p>
          <w:p>
            <w:pPr>
              <w:spacing w:after="0" w:line="276"/>
            </w:pPr>
            <w:r>
              <w:rPr>
                <w:color w:val="1A1A1A"/>
                <w:sz w:val="21"/>
                <w:szCs w:val="21"/>
              </w:rPr>
              <w:t xml:space="preserve">IndiaMART shows a US buyer a price in rupees, ex-works, from an unverified seller. Show them instead the landed cost in dollars at their own door — the vendor price, plus freight, plus the correct tariff classification, plus every duty that applies to that code and origin today, from a supplier whose IEC and GST you have verified. That is a genuinely different product, it is the buying decision rather than an input to it, and you have already specified the engine that computes it.</w:t>
            </w:r>
          </w:p>
        </w:tc>
      </w:tr>
    </w:tbl>
    <w:p>
      <w:pPr>
        <w:spacing w:after="60"/>
      </w:pPr>
    </w:p>
    <w:p>
      <w:pPr>
        <w:spacing w:after="120" w:line="276"/>
      </w:pPr>
      <w:r>
        <w:rPr>
          <w:color w:val="1A1A1A"/>
          <w:sz w:val="21"/>
          <w:szCs w:val="21"/>
        </w:rPr>
        <w:t xml:space="preserve">The US Export-to-Entry Agent specified earlier in this repository — classification, duty stack, landed cost, agency requirements — is not a separate product. It is the pricing engine of this marketplace. Every listing gets a tariff code and a delivered price automatically. Section 9 sets out how.</w:t>
      </w:r>
    </w:p>
    <w:p>
      <w:pPr>
        <w:pStyle w:val="Heading2"/>
        <w:spacing w:after="140" w:before="320"/>
      </w:pPr>
      <w:r>
        <w:rPr>
          <w:b/>
          <w:bCs/>
          <w:color w:val="1A1A1A"/>
          <w:sz w:val="25"/>
          <w:szCs w:val="25"/>
        </w:rPr>
        <w:t xml:space="preserve">1.6  Recommended first move</w:t>
      </w:r>
    </w:p>
    <w:p>
      <w:pPr>
        <w:spacing w:after="120" w:line="276"/>
      </w:pPr>
      <w:r>
        <w:rPr>
          <w:color w:val="1A1A1A"/>
          <w:sz w:val="21"/>
          <w:szCs w:val="21"/>
        </w:rPr>
        <w:t xml:space="preserve">Do not build a horizontal marketplace for "anything." Marketplaces are won one category at a time, and liquidity in a narrow slice beats emptiness across a wide one. Pick a single corridor direction, a single product category and a defined buyer type, and spend the first month acquiring two hundred real vendors by hand with no product built at all. Section 11 explains the selection criteria and Section 12 sequences the build.</w:t>
      </w:r>
    </w:p>
    <w:p>
      <w:r>
        <w:br w:type="page"/>
      </w:r>
    </w:p>
    <w:p>
      <w:pPr>
        <w:pStyle w:val="Heading1"/>
        <w:spacing w:after="200" w:before="400"/>
      </w:pPr>
      <w:r>
        <w:rPr>
          <w:b/>
          <w:bCs/>
          <w:color w:val="0F4C81"/>
          <w:sz w:val="32"/>
          <w:szCs w:val="32"/>
        </w:rPr>
        <w:t xml:space="preserve">2.  The business, stated precisely</w:t>
      </w:r>
    </w:p>
    <w:p>
      <w:pPr>
        <w:pStyle w:val="Heading2"/>
        <w:spacing w:after="140" w:before="320"/>
      </w:pPr>
      <w:r>
        <w:rPr>
          <w:b/>
          <w:bCs/>
          <w:color w:val="1A1A1A"/>
          <w:sz w:val="25"/>
          <w:szCs w:val="25"/>
        </w:rPr>
        <w:t xml:space="preserve">2.1  What the platform does</w:t>
      </w:r>
    </w:p>
    <w:p>
      <w:pPr>
        <w:spacing w:after="120" w:line="276"/>
      </w:pPr>
      <w:r>
        <w:rPr>
          <w:color w:val="1A1A1A"/>
          <w:sz w:val="21"/>
          <w:szCs w:val="21"/>
        </w:rPr>
        <w:t xml:space="preserve">Two marketplaces sharing one codebase, one trust layer and one search index:</w:t>
      </w:r>
    </w:p>
    <w:tbl>
      <w:tblPr>
        <w:tblW w:type="dxa" w:w="9360"/>
        <w:tblBorders>
          <w:top w:val="single" w:color="0F4C81" w:sz="4"/>
          <w:left w:val="none"/>
          <w:bottom w:val="single" w:color="0F4C81" w:sz="4"/>
          <w:right w:val="none"/>
          <w:insideH w:val="single" w:color="C7CDD4" w:sz="2"/>
          <w:insideV w:val="none"/>
        </w:tblBorders>
      </w:tblPr>
      <w:tblGrid>
        <w:gridCol w:w="1900"/>
        <w:gridCol w:w="3700"/>
        <w:gridCol w:w="3760"/>
      </w:tblGrid>
      <w:tr>
        <w:trPr>
          <w:tblHeader/>
        </w:trPr>
        <w:tc>
          <w:tcPr>
            <w:tcW w:type="dxa" w:w="1900"/>
            <w:shd w:fill="EEF2F6" w:val="clear"/>
            <w:tcMar>
              <w:top w:type="dxa" w:w="100"/>
              <w:left w:type="dxa" w:w="120"/>
              <w:bottom w:type="dxa" w:w="100"/>
              <w:right w:type="dxa" w:w="120"/>
            </w:tcMar>
          </w:tcPr>
          <w:p>
            <w:pPr>
              <w:spacing w:after="0"/>
            </w:pPr>
            <w:r>
              <w:rPr>
                <w:b/>
                <w:bCs/>
                <w:color w:val="0F4C81"/>
                <w:sz w:val="18"/>
                <w:szCs w:val="18"/>
              </w:rPr>
              <w:t xml:space="preserve"/>
            </w:r>
          </w:p>
        </w:tc>
        <w:tc>
          <w:tcPr>
            <w:tcW w:type="dxa" w:w="3700"/>
            <w:shd w:fill="EEF2F6" w:val="clear"/>
            <w:tcMar>
              <w:top w:type="dxa" w:w="100"/>
              <w:left w:type="dxa" w:w="120"/>
              <w:bottom w:type="dxa" w:w="100"/>
              <w:right w:type="dxa" w:w="120"/>
            </w:tcMar>
          </w:tcPr>
          <w:p>
            <w:pPr>
              <w:spacing w:after="0"/>
            </w:pPr>
            <w:r>
              <w:rPr>
                <w:b/>
                <w:bCs/>
                <w:color w:val="0F4C81"/>
                <w:sz w:val="18"/>
                <w:szCs w:val="18"/>
              </w:rPr>
              <w:t xml:space="preserve">Corridor A — India to USA</w:t>
            </w:r>
          </w:p>
        </w:tc>
        <w:tc>
          <w:tcPr>
            <w:tcW w:type="dxa" w:w="3760"/>
            <w:shd w:fill="EEF2F6" w:val="clear"/>
            <w:tcMar>
              <w:top w:type="dxa" w:w="100"/>
              <w:left w:type="dxa" w:w="120"/>
              <w:bottom w:type="dxa" w:w="100"/>
              <w:right w:type="dxa" w:w="120"/>
            </w:tcMar>
          </w:tcPr>
          <w:p>
            <w:pPr>
              <w:spacing w:after="0"/>
            </w:pPr>
            <w:r>
              <w:rPr>
                <w:b/>
                <w:bCs/>
                <w:color w:val="0F4C81"/>
                <w:sz w:val="18"/>
                <w:szCs w:val="18"/>
              </w:rPr>
              <w:t xml:space="preserve">Corridor B — USA to India</w:t>
            </w:r>
          </w:p>
        </w:tc>
      </w:tr>
      <w:tr>
        <w:tc>
          <w:tcPr>
            <w:tcW w:type="dxa" w:w="1900"/>
            <w:tcMar>
              <w:top w:type="dxa" w:w="90"/>
              <w:left w:type="dxa" w:w="120"/>
              <w:bottom w:type="dxa" w:w="90"/>
              <w:right w:type="dxa" w:w="120"/>
            </w:tcMar>
          </w:tcPr>
          <w:p>
            <w:pPr>
              <w:spacing w:after="0" w:line="250"/>
            </w:pPr>
            <w:r>
              <w:rPr>
                <w:b/>
                <w:bCs/>
                <w:color w:val="1A1A1A"/>
                <w:sz w:val="18"/>
                <w:szCs w:val="18"/>
              </w:rPr>
              <w:t xml:space="preserve">Buyer</w:t>
            </w:r>
          </w:p>
        </w:tc>
        <w:tc>
          <w:tcPr>
            <w:tcW w:type="dxa" w:w="3700"/>
            <w:tcMar>
              <w:top w:type="dxa" w:w="90"/>
              <w:left w:type="dxa" w:w="120"/>
              <w:bottom w:type="dxa" w:w="90"/>
              <w:right w:type="dxa" w:w="120"/>
            </w:tcMar>
          </w:tcPr>
          <w:p>
            <w:pPr>
              <w:spacing w:after="0" w:line="250"/>
            </w:pPr>
            <w:r>
              <w:rPr>
                <w:b w:val="false"/>
                <w:bCs w:val="false"/>
                <w:color w:val="1A1A1A"/>
                <w:sz w:val="18"/>
                <w:szCs w:val="18"/>
              </w:rPr>
              <w:t xml:space="preserve">US importer, distributor, retailer, brand or manufacturer sourcing inputs.</w:t>
            </w:r>
          </w:p>
        </w:tc>
        <w:tc>
          <w:tcPr>
            <w:tcW w:type="dxa" w:w="3760"/>
            <w:tcMar>
              <w:top w:type="dxa" w:w="90"/>
              <w:left w:type="dxa" w:w="120"/>
              <w:bottom w:type="dxa" w:w="90"/>
              <w:right w:type="dxa" w:w="120"/>
            </w:tcMar>
          </w:tcPr>
          <w:p>
            <w:pPr>
              <w:spacing w:after="0" w:line="250"/>
            </w:pPr>
            <w:r>
              <w:rPr>
                <w:b w:val="false"/>
                <w:bCs w:val="false"/>
                <w:color w:val="1A1A1A"/>
                <w:sz w:val="18"/>
                <w:szCs w:val="18"/>
              </w:rPr>
              <w:t xml:space="preserve">Indian importer, distributor or manufacturer.</w:t>
            </w:r>
          </w:p>
        </w:tc>
      </w:tr>
      <w:tr>
        <w:tc>
          <w:tcPr>
            <w:tcW w:type="dxa" w:w="1900"/>
            <w:shd w:fill="F7F9FB" w:val="clear"/>
            <w:tcMar>
              <w:top w:type="dxa" w:w="90"/>
              <w:left w:type="dxa" w:w="120"/>
              <w:bottom w:type="dxa" w:w="90"/>
              <w:right w:type="dxa" w:w="120"/>
            </w:tcMar>
          </w:tcPr>
          <w:p>
            <w:pPr>
              <w:spacing w:after="0" w:line="250"/>
            </w:pPr>
            <w:r>
              <w:rPr>
                <w:b/>
                <w:bCs/>
                <w:color w:val="1A1A1A"/>
                <w:sz w:val="18"/>
                <w:szCs w:val="18"/>
              </w:rPr>
              <w:t xml:space="preserve">Seller</w:t>
            </w:r>
          </w:p>
        </w:tc>
        <w:tc>
          <w:tcPr>
            <w:tcW w:type="dxa" w:w="3700"/>
            <w:shd w:fill="F7F9FB" w:val="clear"/>
            <w:tcMar>
              <w:top w:type="dxa" w:w="90"/>
              <w:left w:type="dxa" w:w="120"/>
              <w:bottom w:type="dxa" w:w="90"/>
              <w:right w:type="dxa" w:w="120"/>
            </w:tcMar>
          </w:tcPr>
          <w:p>
            <w:pPr>
              <w:spacing w:after="0" w:line="250"/>
            </w:pPr>
            <w:r>
              <w:rPr>
                <w:b w:val="false"/>
                <w:bCs w:val="false"/>
                <w:color w:val="1A1A1A"/>
                <w:sz w:val="18"/>
                <w:szCs w:val="18"/>
              </w:rPr>
              <w:t xml:space="preserve">Indian manufacturer, exporter or merchant exporter.</w:t>
            </w:r>
          </w:p>
        </w:tc>
        <w:tc>
          <w:tcPr>
            <w:tcW w:type="dxa" w:w="3760"/>
            <w:shd w:fill="F7F9FB" w:val="clear"/>
            <w:tcMar>
              <w:top w:type="dxa" w:w="90"/>
              <w:left w:type="dxa" w:w="120"/>
              <w:bottom w:type="dxa" w:w="90"/>
              <w:right w:type="dxa" w:w="120"/>
            </w:tcMar>
          </w:tcPr>
          <w:p>
            <w:pPr>
              <w:spacing w:after="0" w:line="250"/>
            </w:pPr>
            <w:r>
              <w:rPr>
                <w:b w:val="false"/>
                <w:bCs w:val="false"/>
                <w:color w:val="1A1A1A"/>
                <w:sz w:val="18"/>
                <w:szCs w:val="18"/>
              </w:rPr>
              <w:t xml:space="preserve">US manufacturer, brand or exporter.</w:t>
            </w:r>
          </w:p>
        </w:tc>
      </w:tr>
      <w:tr>
        <w:tc>
          <w:tcPr>
            <w:tcW w:type="dxa" w:w="1900"/>
            <w:tcMar>
              <w:top w:type="dxa" w:w="90"/>
              <w:left w:type="dxa" w:w="120"/>
              <w:bottom w:type="dxa" w:w="90"/>
              <w:right w:type="dxa" w:w="120"/>
            </w:tcMar>
          </w:tcPr>
          <w:p>
            <w:pPr>
              <w:spacing w:after="0" w:line="250"/>
            </w:pPr>
            <w:r>
              <w:rPr>
                <w:b/>
                <w:bCs/>
                <w:color w:val="1A1A1A"/>
                <w:sz w:val="18"/>
                <w:szCs w:val="18"/>
              </w:rPr>
              <w:t xml:space="preserve">Buyer’s question</w:t>
            </w:r>
          </w:p>
        </w:tc>
        <w:tc>
          <w:tcPr>
            <w:tcW w:type="dxa" w:w="3700"/>
            <w:tcMar>
              <w:top w:type="dxa" w:w="90"/>
              <w:left w:type="dxa" w:w="120"/>
              <w:bottom w:type="dxa" w:w="90"/>
              <w:right w:type="dxa" w:w="120"/>
            </w:tcMar>
          </w:tcPr>
          <w:p>
            <w:pPr>
              <w:spacing w:after="0" w:line="250"/>
            </w:pPr>
            <w:r>
              <w:rPr>
                <w:b w:val="false"/>
                <w:bCs w:val="false"/>
                <w:color w:val="1A1A1A"/>
                <w:sz w:val="18"/>
                <w:szCs w:val="18"/>
              </w:rPr>
              <w:t xml:space="preserve">"Who in India makes this to my spec, at what quantity, and what does it cost me delivered to my warehouse?"</w:t>
            </w:r>
          </w:p>
        </w:tc>
        <w:tc>
          <w:tcPr>
            <w:tcW w:type="dxa" w:w="3760"/>
            <w:tcMar>
              <w:top w:type="dxa" w:w="90"/>
              <w:left w:type="dxa" w:w="120"/>
              <w:bottom w:type="dxa" w:w="90"/>
              <w:right w:type="dxa" w:w="120"/>
            </w:tcMar>
          </w:tcPr>
          <w:p>
            <w:pPr>
              <w:spacing w:after="0" w:line="250"/>
            </w:pPr>
            <w:r>
              <w:rPr>
                <w:b w:val="false"/>
                <w:bCs w:val="false"/>
                <w:color w:val="1A1A1A"/>
                <w:sz w:val="18"/>
                <w:szCs w:val="18"/>
              </w:rPr>
              <w:t xml:space="preserve">"Who in the US supplies this, and what does it cost me landed in India after customs?"</w:t>
            </w:r>
          </w:p>
        </w:tc>
      </w:tr>
      <w:tr>
        <w:tc>
          <w:tcPr>
            <w:tcW w:type="dxa" w:w="1900"/>
            <w:shd w:fill="F7F9FB" w:val="clear"/>
            <w:tcMar>
              <w:top w:type="dxa" w:w="90"/>
              <w:left w:type="dxa" w:w="120"/>
              <w:bottom w:type="dxa" w:w="90"/>
              <w:right w:type="dxa" w:w="120"/>
            </w:tcMar>
          </w:tcPr>
          <w:p>
            <w:pPr>
              <w:spacing w:after="0" w:line="250"/>
            </w:pPr>
            <w:r>
              <w:rPr>
                <w:b/>
                <w:bCs/>
                <w:color w:val="1A1A1A"/>
                <w:sz w:val="18"/>
                <w:szCs w:val="18"/>
              </w:rPr>
              <w:t xml:space="preserve">Supply acquisition</w:t>
            </w:r>
          </w:p>
        </w:tc>
        <w:tc>
          <w:tcPr>
            <w:tcW w:type="dxa" w:w="3700"/>
            <w:shd w:fill="F7F9FB" w:val="clear"/>
            <w:tcMar>
              <w:top w:type="dxa" w:w="90"/>
              <w:left w:type="dxa" w:w="120"/>
              <w:bottom w:type="dxa" w:w="90"/>
              <w:right w:type="dxa" w:w="120"/>
            </w:tcMar>
          </w:tcPr>
          <w:p>
            <w:pPr>
              <w:spacing w:after="0" w:line="250"/>
            </w:pPr>
            <w:r>
              <w:rPr>
                <w:b w:val="false"/>
                <w:bCs w:val="false"/>
                <w:color w:val="1A1A1A"/>
                <w:sz w:val="18"/>
                <w:szCs w:val="18"/>
              </w:rPr>
              <w:t xml:space="preserve">Trade data plus government registries plus FIEO and the Export Promotion Councils plus direct sales.</w:t>
            </w:r>
          </w:p>
        </w:tc>
        <w:tc>
          <w:tcPr>
            <w:tcW w:type="dxa" w:w="3760"/>
            <w:shd w:fill="F7F9FB" w:val="clear"/>
            <w:tcMar>
              <w:top w:type="dxa" w:w="90"/>
              <w:left w:type="dxa" w:w="120"/>
              <w:bottom w:type="dxa" w:w="90"/>
              <w:right w:type="dxa" w:w="120"/>
            </w:tcMar>
          </w:tcPr>
          <w:p>
            <w:pPr>
              <w:spacing w:after="0" w:line="250"/>
            </w:pPr>
            <w:r>
              <w:rPr>
                <w:b w:val="false"/>
                <w:bCs w:val="false"/>
                <w:color w:val="1A1A1A"/>
                <w:sz w:val="18"/>
                <w:szCs w:val="18"/>
              </w:rPr>
              <w:t xml:space="preserve">Trade.gov Business Service Providers and Trade Leads APIs, state trade offices, industry associations, direct sales.</w:t>
            </w:r>
          </w:p>
        </w:tc>
      </w:tr>
      <w:tr>
        <w:tc>
          <w:tcPr>
            <w:tcW w:type="dxa" w:w="1900"/>
            <w:tcMar>
              <w:top w:type="dxa" w:w="90"/>
              <w:left w:type="dxa" w:w="120"/>
              <w:bottom w:type="dxa" w:w="90"/>
              <w:right w:type="dxa" w:w="120"/>
            </w:tcMar>
          </w:tcPr>
          <w:p>
            <w:pPr>
              <w:spacing w:after="0" w:line="250"/>
            </w:pPr>
            <w:r>
              <w:rPr>
                <w:b/>
                <w:bCs/>
                <w:color w:val="1A1A1A"/>
                <w:sz w:val="18"/>
                <w:szCs w:val="18"/>
              </w:rPr>
              <w:t xml:space="preserve">Maturity</w:t>
            </w:r>
          </w:p>
        </w:tc>
        <w:tc>
          <w:tcPr>
            <w:tcW w:type="dxa" w:w="3700"/>
            <w:tcMar>
              <w:top w:type="dxa" w:w="90"/>
              <w:left w:type="dxa" w:w="120"/>
              <w:bottom w:type="dxa" w:w="90"/>
              <w:right w:type="dxa" w:w="120"/>
            </w:tcMar>
          </w:tcPr>
          <w:p>
            <w:pPr>
              <w:spacing w:after="0" w:line="250"/>
            </w:pPr>
            <w:r>
              <w:rPr>
                <w:b w:val="false"/>
                <w:bCs w:val="false"/>
                <w:color w:val="1A1A1A"/>
                <w:sz w:val="18"/>
                <w:szCs w:val="18"/>
              </w:rPr>
              <w:t xml:space="preserve">Build first. Larger, more fragmented supply, weaker incumbents.</w:t>
            </w:r>
          </w:p>
        </w:tc>
        <w:tc>
          <w:tcPr>
            <w:tcW w:type="dxa" w:w="3760"/>
            <w:tcMar>
              <w:top w:type="dxa" w:w="90"/>
              <w:left w:type="dxa" w:w="120"/>
              <w:bottom w:type="dxa" w:w="90"/>
              <w:right w:type="dxa" w:w="120"/>
            </w:tcMar>
          </w:tcPr>
          <w:p>
            <w:pPr>
              <w:spacing w:after="0" w:line="250"/>
            </w:pPr>
            <w:r>
              <w:rPr>
                <w:b w:val="false"/>
                <w:bCs w:val="false"/>
                <w:color w:val="1A1A1A"/>
                <w:sz w:val="18"/>
                <w:szCs w:val="18"/>
              </w:rPr>
              <w:t xml:space="preserve">Phase 3. Smaller volume, more consolidated supply, better-served already.</w:t>
            </w:r>
          </w:p>
        </w:tc>
      </w:tr>
    </w:tbl>
    <w:p>
      <w:pPr>
        <w:spacing w:after="80"/>
      </w:pPr>
    </w:p>
    <w:p>
      <w:pPr>
        <w:spacing w:after="120" w:line="276"/>
      </w:pPr>
      <w:r>
        <w:rPr>
          <w:color w:val="1A1A1A"/>
          <w:sz w:val="21"/>
          <w:szCs w:val="21"/>
        </w:rPr>
        <w:t xml:space="preserve">Corridor A should be built first and alone. The two directions look symmetrical but are not: Indian export supply is fragmented across hundreds of thousands of small firms who are genuinely underserved, while US suppliers selling into India are fewer, larger and already have channels. Building both at once doubles the supply problem, which is the only problem that matters at the start.</w:t>
      </w:r>
    </w:p>
    <w:p>
      <w:pPr>
        <w:pStyle w:val="Heading2"/>
        <w:spacing w:after="140" w:before="320"/>
      </w:pPr>
      <w:r>
        <w:rPr>
          <w:b/>
          <w:bCs/>
          <w:color w:val="1A1A1A"/>
          <w:sz w:val="25"/>
          <w:szCs w:val="25"/>
        </w:rPr>
        <w:t xml:space="preserve">2.2  The four hard problems</w:t>
      </w:r>
    </w:p>
    <w:p>
      <w:pPr>
        <w:spacing w:after="120" w:line="276"/>
      </w:pPr>
      <w:r>
        <w:rPr>
          <w:color w:val="1A1A1A"/>
          <w:sz w:val="21"/>
          <w:szCs w:val="21"/>
        </w:rPr>
        <w:t xml:space="preserve">Everything in this document serves one of four problems. They are listed in order of difficulty, which is the reverse of the order most people build them in.</w:t>
      </w:r>
    </w:p>
    <w:tbl>
      <w:tblPr>
        <w:tblW w:type="dxa" w:w="9360"/>
        <w:tblBorders>
          <w:top w:val="single" w:color="0F4C81" w:sz="4"/>
          <w:left w:val="none"/>
          <w:bottom w:val="single" w:color="0F4C81" w:sz="4"/>
          <w:right w:val="none"/>
          <w:insideH w:val="single" w:color="C7CDD4" w:sz="2"/>
          <w:insideV w:val="none"/>
        </w:tblBorders>
      </w:tblPr>
      <w:tblGrid>
        <w:gridCol w:w="600"/>
        <w:gridCol w:w="2400"/>
        <w:gridCol w:w="6360"/>
      </w:tblGrid>
      <w:tr>
        <w:trPr>
          <w:tblHeader/>
        </w:trPr>
        <w:tc>
          <w:tcPr>
            <w:tcW w:type="dxa" w:w="600"/>
            <w:shd w:fill="EEF2F6" w:val="clear"/>
            <w:tcMar>
              <w:top w:type="dxa" w:w="100"/>
              <w:left w:type="dxa" w:w="120"/>
              <w:bottom w:type="dxa" w:w="100"/>
              <w:right w:type="dxa" w:w="120"/>
            </w:tcMar>
          </w:tcPr>
          <w:p>
            <w:pPr>
              <w:spacing w:after="0"/>
            </w:pPr>
            <w:r>
              <w:rPr>
                <w:b/>
                <w:bCs/>
                <w:color w:val="0F4C81"/>
                <w:sz w:val="18"/>
                <w:szCs w:val="18"/>
              </w:rPr>
              <w:t xml:space="preserve">#</w:t>
            </w:r>
          </w:p>
        </w:tc>
        <w:tc>
          <w:tcPr>
            <w:tcW w:type="dxa" w:w="2400"/>
            <w:shd w:fill="EEF2F6" w:val="clear"/>
            <w:tcMar>
              <w:top w:type="dxa" w:w="100"/>
              <w:left w:type="dxa" w:w="120"/>
              <w:bottom w:type="dxa" w:w="100"/>
              <w:right w:type="dxa" w:w="120"/>
            </w:tcMar>
          </w:tcPr>
          <w:p>
            <w:pPr>
              <w:spacing w:after="0"/>
            </w:pPr>
            <w:r>
              <w:rPr>
                <w:b/>
                <w:bCs/>
                <w:color w:val="0F4C81"/>
                <w:sz w:val="18"/>
                <w:szCs w:val="18"/>
              </w:rPr>
              <w:t xml:space="preserve">Problem</w:t>
            </w:r>
          </w:p>
        </w:tc>
        <w:tc>
          <w:tcPr>
            <w:tcW w:type="dxa" w:w="6360"/>
            <w:shd w:fill="EEF2F6" w:val="clear"/>
            <w:tcMar>
              <w:top w:type="dxa" w:w="100"/>
              <w:left w:type="dxa" w:w="120"/>
              <w:bottom w:type="dxa" w:w="100"/>
              <w:right w:type="dxa" w:w="120"/>
            </w:tcMar>
          </w:tcPr>
          <w:p>
            <w:pPr>
              <w:spacing w:after="0"/>
            </w:pPr>
            <w:r>
              <w:rPr>
                <w:b/>
                <w:bCs/>
                <w:color w:val="0F4C81"/>
                <w:sz w:val="18"/>
                <w:szCs w:val="18"/>
              </w:rPr>
              <w:t xml:space="preserve">Why it is hard</w:t>
            </w:r>
          </w:p>
        </w:tc>
      </w:tr>
      <w:tr>
        <w:tc>
          <w:tcPr>
            <w:tcW w:type="dxa" w:w="600"/>
            <w:tcMar>
              <w:top w:type="dxa" w:w="90"/>
              <w:left w:type="dxa" w:w="120"/>
              <w:bottom w:type="dxa" w:w="90"/>
              <w:right w:type="dxa" w:w="120"/>
            </w:tcMar>
          </w:tcPr>
          <w:p>
            <w:pPr>
              <w:spacing w:after="0" w:line="250"/>
            </w:pPr>
            <w:r>
              <w:rPr>
                <w:b/>
                <w:bCs/>
                <w:color w:val="1A1A1A"/>
                <w:sz w:val="18"/>
                <w:szCs w:val="18"/>
              </w:rPr>
              <w:t xml:space="preserve">1</w:t>
            </w:r>
          </w:p>
        </w:tc>
        <w:tc>
          <w:tcPr>
            <w:tcW w:type="dxa" w:w="2400"/>
            <w:tcMar>
              <w:top w:type="dxa" w:w="90"/>
              <w:left w:type="dxa" w:w="120"/>
              <w:bottom w:type="dxa" w:w="90"/>
              <w:right w:type="dxa" w:w="120"/>
            </w:tcMar>
          </w:tcPr>
          <w:p>
            <w:pPr>
              <w:spacing w:after="0" w:line="250"/>
            </w:pPr>
            <w:r>
              <w:rPr>
                <w:b w:val="false"/>
                <w:bCs w:val="false"/>
                <w:color w:val="1A1A1A"/>
                <w:sz w:val="18"/>
                <w:szCs w:val="18"/>
              </w:rPr>
              <w:t xml:space="preserve">Supply acquisition</w:t>
            </w:r>
          </w:p>
        </w:tc>
        <w:tc>
          <w:tcPr>
            <w:tcW w:type="dxa" w:w="6360"/>
            <w:tcMar>
              <w:top w:type="dxa" w:w="90"/>
              <w:left w:type="dxa" w:w="120"/>
              <w:bottom w:type="dxa" w:w="90"/>
              <w:right w:type="dxa" w:w="120"/>
            </w:tcMar>
          </w:tcPr>
          <w:p>
            <w:pPr>
              <w:spacing w:after="0" w:line="250"/>
            </w:pPr>
            <w:r>
              <w:rPr>
                <w:b w:val="false"/>
                <w:bCs w:val="false"/>
                <w:color w:val="1A1A1A"/>
                <w:sz w:val="18"/>
                <w:szCs w:val="18"/>
              </w:rPr>
              <w:t xml:space="preserve">A marketplace with no vendors has no product. Vendors join for buyers and buyers come for vendors. Nothing about this is a technology problem, which is exactly why technical founders under-resource it.</w:t>
            </w:r>
          </w:p>
        </w:tc>
      </w:tr>
      <w:tr>
        <w:tc>
          <w:tcPr>
            <w:tcW w:type="dxa" w:w="600"/>
            <w:shd w:fill="F7F9FB" w:val="clear"/>
            <w:tcMar>
              <w:top w:type="dxa" w:w="90"/>
              <w:left w:type="dxa" w:w="120"/>
              <w:bottom w:type="dxa" w:w="90"/>
              <w:right w:type="dxa" w:w="120"/>
            </w:tcMar>
          </w:tcPr>
          <w:p>
            <w:pPr>
              <w:spacing w:after="0" w:line="250"/>
            </w:pPr>
            <w:r>
              <w:rPr>
                <w:b/>
                <w:bCs/>
                <w:color w:val="1A1A1A"/>
                <w:sz w:val="18"/>
                <w:szCs w:val="18"/>
              </w:rPr>
              <w:t xml:space="preserve">2</w:t>
            </w:r>
          </w:p>
        </w:tc>
        <w:tc>
          <w:tcPr>
            <w:tcW w:type="dxa" w:w="2400"/>
            <w:shd w:fill="F7F9FB" w:val="clear"/>
            <w:tcMar>
              <w:top w:type="dxa" w:w="90"/>
              <w:left w:type="dxa" w:w="120"/>
              <w:bottom w:type="dxa" w:w="90"/>
              <w:right w:type="dxa" w:w="120"/>
            </w:tcMar>
          </w:tcPr>
          <w:p>
            <w:pPr>
              <w:spacing w:after="0" w:line="250"/>
            </w:pPr>
            <w:r>
              <w:rPr>
                <w:b w:val="false"/>
                <w:bCs w:val="false"/>
                <w:color w:val="1A1A1A"/>
                <w:sz w:val="18"/>
                <w:szCs w:val="18"/>
              </w:rPr>
              <w:t xml:space="preserve">Honest pricing</w:t>
            </w:r>
          </w:p>
        </w:tc>
        <w:tc>
          <w:tcPr>
            <w:tcW w:type="dxa" w:w="6360"/>
            <w:shd w:fill="F7F9FB" w:val="clear"/>
            <w:tcMar>
              <w:top w:type="dxa" w:w="90"/>
              <w:left w:type="dxa" w:w="120"/>
              <w:bottom w:type="dxa" w:w="90"/>
              <w:right w:type="dxa" w:w="120"/>
            </w:tcMar>
          </w:tcPr>
          <w:p>
            <w:pPr>
              <w:spacing w:after="0" w:line="250"/>
            </w:pPr>
            <w:r>
              <w:rPr>
                <w:b w:val="false"/>
                <w:bCs w:val="false"/>
                <w:color w:val="1A1A1A"/>
                <w:sz w:val="18"/>
                <w:szCs w:val="18"/>
              </w:rPr>
              <w:t xml:space="preserve">Export pricing is multi-dimensional and most exporters will not publish real numbers publicly. Getting this wrong makes the site useless to buyers; getting it right is the differentiator.</w:t>
            </w:r>
          </w:p>
        </w:tc>
      </w:tr>
      <w:tr>
        <w:tc>
          <w:tcPr>
            <w:tcW w:type="dxa" w:w="600"/>
            <w:tcMar>
              <w:top w:type="dxa" w:w="90"/>
              <w:left w:type="dxa" w:w="120"/>
              <w:bottom w:type="dxa" w:w="90"/>
              <w:right w:type="dxa" w:w="120"/>
            </w:tcMar>
          </w:tcPr>
          <w:p>
            <w:pPr>
              <w:spacing w:after="0" w:line="250"/>
            </w:pPr>
            <w:r>
              <w:rPr>
                <w:b/>
                <w:bCs/>
                <w:color w:val="1A1A1A"/>
                <w:sz w:val="18"/>
                <w:szCs w:val="18"/>
              </w:rPr>
              <w:t xml:space="preserve">3</w:t>
            </w:r>
          </w:p>
        </w:tc>
        <w:tc>
          <w:tcPr>
            <w:tcW w:type="dxa" w:w="2400"/>
            <w:tcMar>
              <w:top w:type="dxa" w:w="90"/>
              <w:left w:type="dxa" w:w="120"/>
              <w:bottom w:type="dxa" w:w="90"/>
              <w:right w:type="dxa" w:w="120"/>
            </w:tcMar>
          </w:tcPr>
          <w:p>
            <w:pPr>
              <w:spacing w:after="0" w:line="250"/>
            </w:pPr>
            <w:r>
              <w:rPr>
                <w:b w:val="false"/>
                <w:bCs w:val="false"/>
                <w:color w:val="1A1A1A"/>
                <w:sz w:val="18"/>
                <w:szCs w:val="18"/>
              </w:rPr>
              <w:t xml:space="preserve">Trust</w:t>
            </w:r>
          </w:p>
        </w:tc>
        <w:tc>
          <w:tcPr>
            <w:tcW w:type="dxa" w:w="6360"/>
            <w:tcMar>
              <w:top w:type="dxa" w:w="90"/>
              <w:left w:type="dxa" w:w="120"/>
              <w:bottom w:type="dxa" w:w="90"/>
              <w:right w:type="dxa" w:w="120"/>
            </w:tcMar>
          </w:tcPr>
          <w:p>
            <w:pPr>
              <w:spacing w:after="0" w:line="250"/>
            </w:pPr>
            <w:r>
              <w:rPr>
                <w:b w:val="false"/>
                <w:bCs w:val="false"/>
                <w:color w:val="1A1A1A"/>
                <w:sz w:val="18"/>
                <w:szCs w:val="18"/>
              </w:rPr>
              <w:t xml:space="preserve">A US buyer wiring money to an unknown Indian supplier is the single biggest friction in this corridor. Fraud, spec mismatch, non-delivery and quality failure are the reasons they use agents instead. Verification is the product, not a badge.</w:t>
            </w:r>
          </w:p>
        </w:tc>
      </w:tr>
      <w:tr>
        <w:tc>
          <w:tcPr>
            <w:tcW w:type="dxa" w:w="600"/>
            <w:shd w:fill="F7F9FB" w:val="clear"/>
            <w:tcMar>
              <w:top w:type="dxa" w:w="90"/>
              <w:left w:type="dxa" w:w="120"/>
              <w:bottom w:type="dxa" w:w="90"/>
              <w:right w:type="dxa" w:w="120"/>
            </w:tcMar>
          </w:tcPr>
          <w:p>
            <w:pPr>
              <w:spacing w:after="0" w:line="250"/>
            </w:pPr>
            <w:r>
              <w:rPr>
                <w:b/>
                <w:bCs/>
                <w:color w:val="1A1A1A"/>
                <w:sz w:val="18"/>
                <w:szCs w:val="18"/>
              </w:rPr>
              <w:t xml:space="preserve">4</w:t>
            </w:r>
          </w:p>
        </w:tc>
        <w:tc>
          <w:tcPr>
            <w:tcW w:type="dxa" w:w="2400"/>
            <w:shd w:fill="F7F9FB" w:val="clear"/>
            <w:tcMar>
              <w:top w:type="dxa" w:w="90"/>
              <w:left w:type="dxa" w:w="120"/>
              <w:bottom w:type="dxa" w:w="90"/>
              <w:right w:type="dxa" w:w="120"/>
            </w:tcMar>
          </w:tcPr>
          <w:p>
            <w:pPr>
              <w:spacing w:after="0" w:line="250"/>
            </w:pPr>
            <w:r>
              <w:rPr>
                <w:b w:val="false"/>
                <w:bCs w:val="false"/>
                <w:color w:val="1A1A1A"/>
                <w:sz w:val="18"/>
                <w:szCs w:val="18"/>
              </w:rPr>
              <w:t xml:space="preserve">Demand acquisition</w:t>
            </w:r>
          </w:p>
        </w:tc>
        <w:tc>
          <w:tcPr>
            <w:tcW w:type="dxa" w:w="6360"/>
            <w:shd w:fill="F7F9FB" w:val="clear"/>
            <w:tcMar>
              <w:top w:type="dxa" w:w="90"/>
              <w:left w:type="dxa" w:w="120"/>
              <w:bottom w:type="dxa" w:w="90"/>
              <w:right w:type="dxa" w:w="120"/>
            </w:tcMar>
          </w:tcPr>
          <w:p>
            <w:pPr>
              <w:spacing w:after="0" w:line="250"/>
            </w:pPr>
            <w:r>
              <w:rPr>
                <w:b w:val="false"/>
                <w:bCs w:val="false"/>
                <w:color w:val="1A1A1A"/>
                <w:sz w:val="18"/>
                <w:szCs w:val="18"/>
              </w:rPr>
              <w:t xml:space="preserve">Genuinely the easiest of the four, and the only one search engine optimisation can do most of the work on — product and HS-code pages are exactly what a sourcing buyer types.</w:t>
            </w:r>
          </w:p>
        </w:tc>
      </w:tr>
    </w:tbl>
    <w:p>
      <w:pPr>
        <w:pStyle w:val="Heading2"/>
        <w:spacing w:after="140" w:before="320"/>
      </w:pPr>
      <w:r>
        <w:rPr>
          <w:b/>
          <w:bCs/>
          <w:color w:val="1A1A1A"/>
          <w:sz w:val="25"/>
          <w:szCs w:val="25"/>
        </w:rPr>
        <w:t xml:space="preserve">2.3  What the platform is not</w:t>
      </w:r>
    </w:p>
    <w:p>
      <w:pPr>
        <w:pStyle w:val="ListParagraph"/>
        <w:numPr>
          <w:ilvl w:val="0"/>
          <w:numId w:val="3"/>
        </w:numPr>
        <w:spacing w:after="80" w:line="276"/>
      </w:pPr>
      <w:r>
        <w:rPr>
          <w:color w:val="1A1A1A"/>
          <w:sz w:val="21"/>
          <w:szCs w:val="21"/>
        </w:rPr>
        <w:t xml:space="preserve">Not a transaction platform in version 1. Taking payment across this corridor brings the Reserve Bank of India's cross-border payment aggregator framework into scope, with a net-worth requirement running to ₹25 crore and a per-unit transaction cap. Section 10 covers it. Lead generation first; payments much later, through a licensed partner.</w:t>
      </w:r>
    </w:p>
    <w:p>
      <w:pPr>
        <w:pStyle w:val="ListParagraph"/>
        <w:numPr>
          <w:ilvl w:val="0"/>
          <w:numId w:val="3"/>
        </w:numPr>
        <w:spacing w:after="80" w:line="276"/>
      </w:pPr>
      <w:r>
        <w:rPr>
          <w:color w:val="1A1A1A"/>
          <w:sz w:val="21"/>
          <w:szCs w:val="21"/>
        </w:rPr>
        <w:t xml:space="preserve">Not a logistics provider. Freight quotation can be integrated later through an API; owning freight is a different company.</w:t>
      </w:r>
    </w:p>
    <w:p>
      <w:pPr>
        <w:pStyle w:val="ListParagraph"/>
        <w:numPr>
          <w:ilvl w:val="0"/>
          <w:numId w:val="3"/>
        </w:numPr>
        <w:spacing w:after="80" w:line="276"/>
      </w:pPr>
      <w:r>
        <w:rPr>
          <w:color w:val="1A1A1A"/>
          <w:sz w:val="21"/>
          <w:szCs w:val="21"/>
        </w:rPr>
        <w:t xml:space="preserve">Not an inventory holder. Note however that unlike business-to-consumer e-commerce in India, business-to-business platforms are not restricted from holding inventory or influencing price — see Section 10.1. That flexibility exists if you want it later.</w:t>
      </w:r>
    </w:p>
    <w:p>
      <w:pPr>
        <w:pStyle w:val="ListParagraph"/>
        <w:numPr>
          <w:ilvl w:val="0"/>
          <w:numId w:val="3"/>
        </w:numPr>
        <w:spacing w:after="80" w:line="276"/>
      </w:pPr>
      <w:r>
        <w:rPr>
          <w:color w:val="1A1A1A"/>
          <w:sz w:val="21"/>
          <w:szCs w:val="21"/>
        </w:rPr>
        <w:t xml:space="preserve">Not a horizontal catalogue on day one, regardless of the eventual ambition.</w:t>
      </w:r>
    </w:p>
    <w:p>
      <w:r>
        <w:br w:type="page"/>
      </w:r>
    </w:p>
    <w:p>
      <w:pPr>
        <w:pStyle w:val="Heading1"/>
        <w:spacing w:after="200" w:before="400"/>
      </w:pPr>
      <w:r>
        <w:rPr>
          <w:b/>
          <w:bCs/>
          <w:color w:val="0F4C81"/>
          <w:sz w:val="32"/>
          <w:szCs w:val="32"/>
        </w:rPr>
        <w:t xml:space="preserve">3.  Where the vendor data actually comes from</w:t>
      </w:r>
    </w:p>
    <w:p>
      <w:pPr>
        <w:spacing w:after="120" w:line="276"/>
      </w:pPr>
      <w:r>
        <w:rPr>
          <w:color w:val="1A1A1A"/>
          <w:sz w:val="21"/>
          <w:szCs w:val="21"/>
        </w:rPr>
        <w:t xml:space="preserve">This is the question you asked, and it is the right question — it is the hardest part of the business. There are five legitimate channels. Used together they produce a catalogue that is more accurate than anything scraped, and a vendor list that is pre-qualified by the fact that they already export.</w:t>
      </w:r>
    </w:p>
    <w:p>
      <w:pPr>
        <w:pStyle w:val="Heading2"/>
        <w:spacing w:after="140" w:before="320"/>
      </w:pPr>
      <w:r>
        <w:rPr>
          <w:b/>
          <w:bCs/>
          <w:color w:val="1A1A1A"/>
          <w:sz w:val="25"/>
          <w:szCs w:val="25"/>
        </w:rPr>
        <w:t xml:space="preserve">3.1  Channel A — public trade and customs data</w:t>
      </w:r>
    </w:p>
    <w:p>
      <w:pPr>
        <w:spacing w:after="120" w:line="276"/>
      </w:pPr>
      <w:r>
        <w:rPr>
          <w:color w:val="1A1A1A"/>
          <w:sz w:val="21"/>
          <w:szCs w:val="21"/>
        </w:rPr>
        <w:t xml:space="preserve">The most under-used asset in this business. Bills of lading for ocean freight entering the United States are public records, released by US Customs and Border Protection under the Freedom of Information Act. This is the raw material behind every commercial trade-intelligence product; it is not proprietary to them.</w:t>
      </w:r>
    </w:p>
    <w:tbl>
      <w:tblPr>
        <w:tblW w:type="dxa" w:w="9360"/>
        <w:tblBorders>
          <w:top w:val="single" w:color="0F4C81" w:sz="4"/>
          <w:left w:val="none"/>
          <w:bottom w:val="single" w:color="0F4C81" w:sz="4"/>
          <w:right w:val="none"/>
          <w:insideH w:val="single" w:color="C7CDD4" w:sz="2"/>
          <w:insideV w:val="none"/>
        </w:tblBorders>
      </w:tblPr>
      <w:tblGrid>
        <w:gridCol w:w="2600"/>
        <w:gridCol w:w="3300"/>
        <w:gridCol w:w="3460"/>
      </w:tblGrid>
      <w:tr>
        <w:trPr>
          <w:tblHeader/>
        </w:trPr>
        <w:tc>
          <w:tcPr>
            <w:tcW w:type="dxa" w:w="2600"/>
            <w:shd w:fill="EEF2F6" w:val="clear"/>
            <w:tcMar>
              <w:top w:type="dxa" w:w="100"/>
              <w:left w:type="dxa" w:w="120"/>
              <w:bottom w:type="dxa" w:w="100"/>
              <w:right w:type="dxa" w:w="120"/>
            </w:tcMar>
          </w:tcPr>
          <w:p>
            <w:pPr>
              <w:spacing w:after="0"/>
            </w:pPr>
            <w:r>
              <w:rPr>
                <w:b/>
                <w:bCs/>
                <w:color w:val="0F4C81"/>
                <w:sz w:val="18"/>
                <w:szCs w:val="18"/>
              </w:rPr>
              <w:t xml:space="preserve">Source</w:t>
            </w:r>
          </w:p>
        </w:tc>
        <w:tc>
          <w:tcPr>
            <w:tcW w:type="dxa" w:w="3300"/>
            <w:shd w:fill="EEF2F6" w:val="clear"/>
            <w:tcMar>
              <w:top w:type="dxa" w:w="100"/>
              <w:left w:type="dxa" w:w="120"/>
              <w:bottom w:type="dxa" w:w="100"/>
              <w:right w:type="dxa" w:w="120"/>
            </w:tcMar>
          </w:tcPr>
          <w:p>
            <w:pPr>
              <w:spacing w:after="0"/>
            </w:pPr>
            <w:r>
              <w:rPr>
                <w:b/>
                <w:bCs/>
                <w:color w:val="0F4C81"/>
                <w:sz w:val="18"/>
                <w:szCs w:val="18"/>
              </w:rPr>
              <w:t xml:space="preserve">What it gives you</w:t>
            </w:r>
          </w:p>
        </w:tc>
        <w:tc>
          <w:tcPr>
            <w:tcW w:type="dxa" w:w="3460"/>
            <w:shd w:fill="EEF2F6" w:val="clear"/>
            <w:tcMar>
              <w:top w:type="dxa" w:w="100"/>
              <w:left w:type="dxa" w:w="120"/>
              <w:bottom w:type="dxa" w:w="100"/>
              <w:right w:type="dxa" w:w="120"/>
            </w:tcMar>
          </w:tcPr>
          <w:p>
            <w:pPr>
              <w:spacing w:after="0"/>
            </w:pPr>
            <w:r>
              <w:rPr>
                <w:b/>
                <w:bCs/>
                <w:color w:val="0F4C81"/>
                <w:sz w:val="18"/>
                <w:szCs w:val="18"/>
              </w:rPr>
              <w:t xml:space="preserve">Notes</w:t>
            </w:r>
          </w:p>
        </w:tc>
      </w:tr>
      <w:tr>
        <w:tc>
          <w:tcPr>
            <w:tcW w:type="dxa" w:w="2600"/>
            <w:tcMar>
              <w:top w:type="dxa" w:w="90"/>
              <w:left w:type="dxa" w:w="120"/>
              <w:bottom w:type="dxa" w:w="90"/>
              <w:right w:type="dxa" w:w="120"/>
            </w:tcMar>
          </w:tcPr>
          <w:p>
            <w:pPr>
              <w:spacing w:after="0" w:line="250"/>
            </w:pPr>
            <w:r>
              <w:rPr>
                <w:b/>
                <w:bCs/>
                <w:color w:val="1A1A1A"/>
                <w:sz w:val="18"/>
                <w:szCs w:val="18"/>
              </w:rPr>
              <w:t xml:space="preserve">US ocean manifest data (CBP, via FOIA or a reseller)</w:t>
            </w:r>
          </w:p>
        </w:tc>
        <w:tc>
          <w:tcPr>
            <w:tcW w:type="dxa" w:w="3300"/>
            <w:tcMar>
              <w:top w:type="dxa" w:w="90"/>
              <w:left w:type="dxa" w:w="120"/>
              <w:bottom w:type="dxa" w:w="90"/>
              <w:right w:type="dxa" w:w="120"/>
            </w:tcMar>
          </w:tcPr>
          <w:p>
            <w:pPr>
              <w:spacing w:after="0" w:line="250"/>
            </w:pPr>
            <w:r>
              <w:rPr>
                <w:b w:val="false"/>
                <w:bCs w:val="false"/>
                <w:color w:val="1A1A1A"/>
                <w:sz w:val="18"/>
                <w:szCs w:val="18"/>
              </w:rPr>
              <w:t xml:space="preserve">Shipper name, consignee, notify party, ports of lading and discharge, vessel, container, commodity description, HS code, weight, quantity, arrival date.</w:t>
            </w:r>
          </w:p>
        </w:tc>
        <w:tc>
          <w:tcPr>
            <w:tcW w:type="dxa" w:w="3460"/>
            <w:tcMar>
              <w:top w:type="dxa" w:w="90"/>
              <w:left w:type="dxa" w:w="120"/>
              <w:bottom w:type="dxa" w:w="90"/>
              <w:right w:type="dxa" w:w="120"/>
            </w:tcMar>
          </w:tcPr>
          <w:p>
            <w:pPr>
              <w:spacing w:after="0" w:line="250"/>
            </w:pPr>
            <w:r>
              <w:rPr>
                <w:b w:val="false"/>
                <w:bCs w:val="false"/>
                <w:color w:val="1A1A1A"/>
                <w:sz w:val="18"/>
                <w:szCs w:val="18"/>
              </w:rPr>
              <w:t xml:space="preserve">Ocean only — air, rail and truck manifests are not public. Importers may file for confidentiality, so coverage is good but not complete.</w:t>
            </w:r>
          </w:p>
        </w:tc>
      </w:tr>
      <w:tr>
        <w:tc>
          <w:tcPr>
            <w:tcW w:type="dxa" w:w="2600"/>
            <w:shd w:fill="F7F9FB" w:val="clear"/>
            <w:tcMar>
              <w:top w:type="dxa" w:w="90"/>
              <w:left w:type="dxa" w:w="120"/>
              <w:bottom w:type="dxa" w:w="90"/>
              <w:right w:type="dxa" w:w="120"/>
            </w:tcMar>
          </w:tcPr>
          <w:p>
            <w:pPr>
              <w:spacing w:after="0" w:line="250"/>
            </w:pPr>
            <w:r>
              <w:rPr>
                <w:b/>
                <w:bCs/>
                <w:color w:val="1A1A1A"/>
                <w:sz w:val="18"/>
                <w:szCs w:val="18"/>
              </w:rPr>
              <w:t xml:space="preserve">Commercial resellers — Panjiva, ImportGenius, Datamyne, ImportYeti</w:t>
            </w:r>
          </w:p>
        </w:tc>
        <w:tc>
          <w:tcPr>
            <w:tcW w:type="dxa" w:w="3300"/>
            <w:shd w:fill="F7F9FB" w:val="clear"/>
            <w:tcMar>
              <w:top w:type="dxa" w:w="90"/>
              <w:left w:type="dxa" w:w="120"/>
              <w:bottom w:type="dxa" w:w="90"/>
              <w:right w:type="dxa" w:w="120"/>
            </w:tcMar>
          </w:tcPr>
          <w:p>
            <w:pPr>
              <w:spacing w:after="0" w:line="250"/>
            </w:pPr>
            <w:r>
              <w:rPr>
                <w:b w:val="false"/>
                <w:bCs w:val="false"/>
                <w:color w:val="1A1A1A"/>
                <w:sz w:val="18"/>
                <w:szCs w:val="18"/>
              </w:rPr>
              <w:t xml:space="preserve">The same data, cleaned, entity-resolved and API-accessible.</w:t>
            </w:r>
          </w:p>
        </w:tc>
        <w:tc>
          <w:tcPr>
            <w:tcW w:type="dxa" w:w="3460"/>
            <w:shd w:fill="F7F9FB" w:val="clear"/>
            <w:tcMar>
              <w:top w:type="dxa" w:w="90"/>
              <w:left w:type="dxa" w:w="120"/>
              <w:bottom w:type="dxa" w:w="90"/>
              <w:right w:type="dxa" w:w="120"/>
            </w:tcMar>
          </w:tcPr>
          <w:p>
            <w:pPr>
              <w:spacing w:after="0" w:line="250"/>
            </w:pPr>
            <w:r>
              <w:rPr>
                <w:b w:val="false"/>
                <w:bCs w:val="false"/>
                <w:color w:val="1A1A1A"/>
                <w:sz w:val="18"/>
                <w:szCs w:val="18"/>
              </w:rPr>
              <w:t xml:space="preserve">Buy rather than build the FOIA pipeline for version 1. Entity resolution across name variants is most of the work.</w:t>
            </w:r>
          </w:p>
        </w:tc>
      </w:tr>
      <w:tr>
        <w:tc>
          <w:tcPr>
            <w:tcW w:type="dxa" w:w="2600"/>
            <w:tcMar>
              <w:top w:type="dxa" w:w="90"/>
              <w:left w:type="dxa" w:w="120"/>
              <w:bottom w:type="dxa" w:w="90"/>
              <w:right w:type="dxa" w:w="120"/>
            </w:tcMar>
          </w:tcPr>
          <w:p>
            <w:pPr>
              <w:spacing w:after="0" w:line="250"/>
            </w:pPr>
            <w:r>
              <w:rPr>
                <w:b/>
                <w:bCs/>
                <w:color w:val="1A1A1A"/>
                <w:sz w:val="18"/>
                <w:szCs w:val="18"/>
              </w:rPr>
              <w:t xml:space="preserve">India export shipment data — Volza, Export Genius, Zauba</w:t>
            </w:r>
          </w:p>
        </w:tc>
        <w:tc>
          <w:tcPr>
            <w:tcW w:type="dxa" w:w="3300"/>
            <w:tcMar>
              <w:top w:type="dxa" w:w="90"/>
              <w:left w:type="dxa" w:w="120"/>
              <w:bottom w:type="dxa" w:w="90"/>
              <w:right w:type="dxa" w:w="120"/>
            </w:tcMar>
          </w:tcPr>
          <w:p>
            <w:pPr>
              <w:spacing w:after="0" w:line="250"/>
            </w:pPr>
            <w:r>
              <w:rPr>
                <w:b w:val="false"/>
                <w:bCs w:val="false"/>
                <w:color w:val="1A1A1A"/>
                <w:sz w:val="18"/>
                <w:szCs w:val="18"/>
              </w:rPr>
              <w:t xml:space="preserve">Indian customs export records: exporter name, HS code, destination, value, quantity. Volza publishes trade-intelligence APIs.</w:t>
            </w:r>
          </w:p>
        </w:tc>
        <w:tc>
          <w:tcPr>
            <w:tcW w:type="dxa" w:w="3460"/>
            <w:tcMar>
              <w:top w:type="dxa" w:w="90"/>
              <w:left w:type="dxa" w:w="120"/>
              <w:bottom w:type="dxa" w:w="90"/>
              <w:right w:type="dxa" w:w="120"/>
            </w:tcMar>
          </w:tcPr>
          <w:p>
            <w:pPr>
              <w:spacing w:after="0" w:line="250"/>
            </w:pPr>
            <w:r>
              <w:rPr>
                <w:b w:val="false"/>
                <w:bCs w:val="false"/>
                <w:color w:val="1A1A1A"/>
                <w:sz w:val="18"/>
                <w:szCs w:val="18"/>
              </w:rPr>
              <w:t xml:space="preserve">Quality varies sharply between providers. Trial at least two on your target category before committing.</w:t>
            </w:r>
          </w:p>
        </w:tc>
      </w:tr>
      <w:tr>
        <w:tc>
          <w:tcPr>
            <w:tcW w:type="dxa" w:w="2600"/>
            <w:shd w:fill="F7F9FB" w:val="clear"/>
            <w:tcMar>
              <w:top w:type="dxa" w:w="90"/>
              <w:left w:type="dxa" w:w="120"/>
              <w:bottom w:type="dxa" w:w="90"/>
              <w:right w:type="dxa" w:w="120"/>
            </w:tcMar>
          </w:tcPr>
          <w:p>
            <w:pPr>
              <w:spacing w:after="0" w:line="250"/>
            </w:pPr>
            <w:r>
              <w:rPr>
                <w:b/>
                <w:bCs/>
                <w:color w:val="1A1A1A"/>
                <w:sz w:val="18"/>
                <w:szCs w:val="18"/>
              </w:rPr>
              <w:t xml:space="preserve">UN Comtrade</w:t>
            </w:r>
          </w:p>
        </w:tc>
        <w:tc>
          <w:tcPr>
            <w:tcW w:type="dxa" w:w="3300"/>
            <w:shd w:fill="F7F9FB" w:val="clear"/>
            <w:tcMar>
              <w:top w:type="dxa" w:w="90"/>
              <w:left w:type="dxa" w:w="120"/>
              <w:bottom w:type="dxa" w:w="90"/>
              <w:right w:type="dxa" w:w="120"/>
            </w:tcMar>
          </w:tcPr>
          <w:p>
            <w:pPr>
              <w:spacing w:after="0" w:line="250"/>
            </w:pPr>
            <w:r>
              <w:rPr>
                <w:b w:val="false"/>
                <w:bCs w:val="false"/>
                <w:color w:val="1A1A1A"/>
                <w:sz w:val="18"/>
                <w:szCs w:val="18"/>
              </w:rPr>
              <w:t xml:space="preserve">Aggregate bilateral trade by HS code and country pair. Free tier available; full API needs a subscription key.</w:t>
            </w:r>
          </w:p>
        </w:tc>
        <w:tc>
          <w:tcPr>
            <w:tcW w:type="dxa" w:w="3460"/>
            <w:shd w:fill="F7F9FB" w:val="clear"/>
            <w:tcMar>
              <w:top w:type="dxa" w:w="90"/>
              <w:left w:type="dxa" w:w="120"/>
              <w:bottom w:type="dxa" w:w="90"/>
              <w:right w:type="dxa" w:w="120"/>
            </w:tcMar>
          </w:tcPr>
          <w:p>
            <w:pPr>
              <w:spacing w:after="0" w:line="250"/>
            </w:pPr>
            <w:r>
              <w:rPr>
                <w:b w:val="false"/>
                <w:bCs w:val="false"/>
                <w:color w:val="1A1A1A"/>
                <w:sz w:val="18"/>
                <w:szCs w:val="18"/>
              </w:rPr>
              <w:t xml:space="preserve">Market sizing and category selection, not company-level discovery.</w:t>
            </w:r>
          </w:p>
        </w:tc>
      </w:tr>
    </w:tbl>
    <w:p>
      <w:pPr>
        <w:spacing w:after="80"/>
      </w:pPr>
    </w:p>
    <w:p>
      <w:pPr>
        <w:spacing w:after="120" w:line="276"/>
      </w:pPr>
      <w:r>
        <w:rPr>
          <w:color w:val="1A1A1A"/>
          <w:sz w:val="21"/>
          <w:szCs w:val="21"/>
        </w:rPr>
        <w:t xml:space="preserve">What this gives you is decisive. Filter Indian export records to United States destinations for one HS chapter and you have a list of companies that have demonstrably shipped that product to that market, with volumes. These are not leads scraped from a directory — they are exporters with a proven track record, ranked by how much they actually ship. For supply acquisition, that list is worth more than any directory, and it is also the honest basis for a "verified exporter" claim.</w:t>
      </w:r>
    </w:p>
    <w:p>
      <w:pPr>
        <w:spacing w:after="60"/>
      </w:pPr>
    </w:p>
    <w:tbl>
      <w:tblPr>
        <w:tblW w:type="dxa" w:w="9360"/>
        <w:tblBorders>
          <w:top w:val="single" w:color="C7CDD4" w:sz="2"/>
          <w:left w:val="single" w:color="0F4C81" w:sz="18"/>
          <w:bottom w:val="single" w:color="C7CDD4" w:sz="2"/>
          <w:right w:val="single" w:color="C7CDD4" w:sz="2"/>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60"/>
            </w:pPr>
            <w:r>
              <w:rPr>
                <w:b/>
                <w:bCs/>
                <w:color w:val="0F4C81"/>
                <w:sz w:val="17"/>
                <w:szCs w:val="17"/>
              </w:rPr>
              <w:t xml:space="preserve">WHAT TRADE DATA DOES NOT GIVE YOU</w:t>
            </w:r>
          </w:p>
          <w:p>
            <w:pPr>
              <w:spacing w:after="0" w:line="276"/>
            </w:pPr>
            <w:r>
              <w:rPr>
                <w:color w:val="1A1A1A"/>
                <w:sz w:val="21"/>
                <w:szCs w:val="21"/>
              </w:rPr>
              <w:t xml:space="preserve">Shipment records contain company names and commodities. They do not contain email addresses, phone numbers, price lists or product catalogues. They tell you who to approach and what they ship — they are a sales prospecting asset, not a catalogue. The catalogue still has to come from the vendor. That is the correct division of labour.</w:t>
            </w:r>
          </w:p>
        </w:tc>
      </w:tr>
    </w:tbl>
    <w:p>
      <w:pPr>
        <w:pStyle w:val="Heading2"/>
        <w:spacing w:after="140" w:before="320"/>
      </w:pPr>
      <w:r>
        <w:rPr>
          <w:b/>
          <w:bCs/>
          <w:color w:val="1A1A1A"/>
          <w:sz w:val="25"/>
          <w:szCs w:val="25"/>
        </w:rPr>
        <w:t xml:space="preserve">3.2  Channel B — government registries and verification</w:t>
      </w:r>
    </w:p>
    <w:p>
      <w:pPr>
        <w:spacing w:after="120" w:line="276"/>
      </w:pPr>
      <w:r>
        <w:rPr>
          <w:color w:val="1A1A1A"/>
          <w:sz w:val="21"/>
          <w:szCs w:val="21"/>
        </w:rPr>
        <w:t xml:space="preserve">These establish that a vendor is real, legally able to export, and currently active. They are the foundation of the trust layer.</w:t>
      </w:r>
    </w:p>
    <w:tbl>
      <w:tblPr>
        <w:tblW w:type="dxa" w:w="9360"/>
        <w:tblBorders>
          <w:top w:val="single" w:color="0F4C81" w:sz="4"/>
          <w:left w:val="none"/>
          <w:bottom w:val="single" w:color="0F4C81" w:sz="4"/>
          <w:right w:val="none"/>
          <w:insideH w:val="single" w:color="C7CDD4" w:sz="2"/>
          <w:insideV w:val="none"/>
        </w:tblBorders>
      </w:tblPr>
      <w:tblGrid>
        <w:gridCol w:w="2400"/>
        <w:gridCol w:w="3400"/>
        <w:gridCol w:w="3560"/>
      </w:tblGrid>
      <w:tr>
        <w:trPr>
          <w:tblHeader/>
        </w:trPr>
        <w:tc>
          <w:tcPr>
            <w:tcW w:type="dxa" w:w="2400"/>
            <w:shd w:fill="EEF2F6" w:val="clear"/>
            <w:tcMar>
              <w:top w:type="dxa" w:w="100"/>
              <w:left w:type="dxa" w:w="120"/>
              <w:bottom w:type="dxa" w:w="100"/>
              <w:right w:type="dxa" w:w="120"/>
            </w:tcMar>
          </w:tcPr>
          <w:p>
            <w:pPr>
              <w:spacing w:after="0"/>
            </w:pPr>
            <w:r>
              <w:rPr>
                <w:b/>
                <w:bCs/>
                <w:color w:val="0F4C81"/>
                <w:sz w:val="18"/>
                <w:szCs w:val="18"/>
              </w:rPr>
              <w:t xml:space="preserve">Registry</w:t>
            </w:r>
          </w:p>
        </w:tc>
        <w:tc>
          <w:tcPr>
            <w:tcW w:type="dxa" w:w="3400"/>
            <w:shd w:fill="EEF2F6" w:val="clear"/>
            <w:tcMar>
              <w:top w:type="dxa" w:w="100"/>
              <w:left w:type="dxa" w:w="120"/>
              <w:bottom w:type="dxa" w:w="100"/>
              <w:right w:type="dxa" w:w="120"/>
            </w:tcMar>
          </w:tcPr>
          <w:p>
            <w:pPr>
              <w:spacing w:after="0"/>
            </w:pPr>
            <w:r>
              <w:rPr>
                <w:b/>
                <w:bCs/>
                <w:color w:val="0F4C81"/>
                <w:sz w:val="18"/>
                <w:szCs w:val="18"/>
              </w:rPr>
              <w:t xml:space="preserve">Establishes</w:t>
            </w:r>
          </w:p>
        </w:tc>
        <w:tc>
          <w:tcPr>
            <w:tcW w:type="dxa" w:w="3560"/>
            <w:shd w:fill="EEF2F6" w:val="clear"/>
            <w:tcMar>
              <w:top w:type="dxa" w:w="100"/>
              <w:left w:type="dxa" w:w="120"/>
              <w:bottom w:type="dxa" w:w="100"/>
              <w:right w:type="dxa" w:w="120"/>
            </w:tcMar>
          </w:tcPr>
          <w:p>
            <w:pPr>
              <w:spacing w:after="0"/>
            </w:pPr>
            <w:r>
              <w:rPr>
                <w:b/>
                <w:bCs/>
                <w:color w:val="0F4C81"/>
                <w:sz w:val="18"/>
                <w:szCs w:val="18"/>
              </w:rPr>
              <w:t xml:space="preserve">Access</w:t>
            </w:r>
          </w:p>
        </w:tc>
      </w:tr>
      <w:tr>
        <w:tc>
          <w:tcPr>
            <w:tcW w:type="dxa" w:w="2400"/>
            <w:tcMar>
              <w:top w:type="dxa" w:w="90"/>
              <w:left w:type="dxa" w:w="120"/>
              <w:bottom w:type="dxa" w:w="90"/>
              <w:right w:type="dxa" w:w="120"/>
            </w:tcMar>
          </w:tcPr>
          <w:p>
            <w:pPr>
              <w:spacing w:after="0" w:line="250"/>
            </w:pPr>
            <w:r>
              <w:rPr>
                <w:b/>
                <w:bCs/>
                <w:color w:val="1A1A1A"/>
                <w:sz w:val="18"/>
                <w:szCs w:val="18"/>
              </w:rPr>
              <w:t xml:space="preserve">DGFT Import Export Code</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That the firm is legally registered to export from India. Every legal Indian exporter holds one.</w:t>
            </w:r>
          </w:p>
        </w:tc>
        <w:tc>
          <w:tcPr>
            <w:tcW w:type="dxa" w:w="3560"/>
            <w:tcMar>
              <w:top w:type="dxa" w:w="90"/>
              <w:left w:type="dxa" w:w="120"/>
              <w:bottom w:type="dxa" w:w="90"/>
              <w:right w:type="dxa" w:w="120"/>
            </w:tcMar>
          </w:tcPr>
          <w:p>
            <w:pPr>
              <w:spacing w:after="0" w:line="250"/>
            </w:pPr>
            <w:r>
              <w:rPr>
                <w:b w:val="false"/>
                <w:bCs w:val="false"/>
                <w:color w:val="1A1A1A"/>
                <w:sz w:val="18"/>
                <w:szCs w:val="18"/>
              </w:rPr>
              <w:t xml:space="preserve">DGFT portal; IEC validation available through commercial KYB providers.</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GSTIN</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Tax registration status, legal name, registration date, filing jurisdiction and whether filings are current.</w:t>
            </w:r>
          </w:p>
        </w:tc>
        <w:tc>
          <w:tcPr>
            <w:tcW w:type="dxa" w:w="3560"/>
            <w:shd w:fill="F7F9FB" w:val="clear"/>
            <w:tcMar>
              <w:top w:type="dxa" w:w="90"/>
              <w:left w:type="dxa" w:w="120"/>
              <w:bottom w:type="dxa" w:w="90"/>
              <w:right w:type="dxa" w:w="120"/>
            </w:tcMar>
          </w:tcPr>
          <w:p>
            <w:pPr>
              <w:spacing w:after="0" w:line="250"/>
            </w:pPr>
            <w:r>
              <w:rPr>
                <w:b w:val="false"/>
                <w:bCs w:val="false"/>
                <w:color w:val="1A1A1A"/>
                <w:sz w:val="18"/>
                <w:szCs w:val="18"/>
              </w:rPr>
              <w:t xml:space="preserve">GSTN verification APIs from HyperVerge, Signzy, Karza and others.</w:t>
            </w:r>
          </w:p>
        </w:tc>
      </w:tr>
      <w:tr>
        <w:tc>
          <w:tcPr>
            <w:tcW w:type="dxa" w:w="2400"/>
            <w:tcMar>
              <w:top w:type="dxa" w:w="90"/>
              <w:left w:type="dxa" w:w="120"/>
              <w:bottom w:type="dxa" w:w="90"/>
              <w:right w:type="dxa" w:w="120"/>
            </w:tcMar>
          </w:tcPr>
          <w:p>
            <w:pPr>
              <w:spacing w:after="0" w:line="250"/>
            </w:pPr>
            <w:r>
              <w:rPr>
                <w:b/>
                <w:bCs/>
                <w:color w:val="1A1A1A"/>
                <w:sz w:val="18"/>
                <w:szCs w:val="18"/>
              </w:rPr>
              <w:t xml:space="preserve">MCA21</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Company or LLP master data: incorporation date, status, registered address, directors, paid-up capital, charges.</w:t>
            </w:r>
          </w:p>
        </w:tc>
        <w:tc>
          <w:tcPr>
            <w:tcW w:type="dxa" w:w="3560"/>
            <w:tcMar>
              <w:top w:type="dxa" w:w="90"/>
              <w:left w:type="dxa" w:w="120"/>
              <w:bottom w:type="dxa" w:w="90"/>
              <w:right w:type="dxa" w:w="120"/>
            </w:tcMar>
          </w:tcPr>
          <w:p>
            <w:pPr>
              <w:spacing w:after="0" w:line="250"/>
            </w:pPr>
            <w:r>
              <w:rPr>
                <w:b w:val="false"/>
                <w:bCs w:val="false"/>
                <w:color w:val="1A1A1A"/>
                <w:sz w:val="18"/>
                <w:szCs w:val="18"/>
              </w:rPr>
              <w:t xml:space="preserve">MCA registry; commercial API wrappers available.</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Udyam</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MSME registration and classification.</w:t>
            </w:r>
          </w:p>
        </w:tc>
        <w:tc>
          <w:tcPr>
            <w:tcW w:type="dxa" w:w="3560"/>
            <w:shd w:fill="F7F9FB" w:val="clear"/>
            <w:tcMar>
              <w:top w:type="dxa" w:w="90"/>
              <w:left w:type="dxa" w:w="120"/>
              <w:bottom w:type="dxa" w:w="90"/>
              <w:right w:type="dxa" w:w="120"/>
            </w:tcMar>
          </w:tcPr>
          <w:p>
            <w:pPr>
              <w:spacing w:after="0" w:line="250"/>
            </w:pPr>
            <w:r>
              <w:rPr>
                <w:b w:val="false"/>
                <w:bCs w:val="false"/>
                <w:color w:val="1A1A1A"/>
                <w:sz w:val="18"/>
                <w:szCs w:val="18"/>
              </w:rPr>
              <w:t xml:space="preserve">Udyam portal; included in most KYB bundles.</w:t>
            </w:r>
          </w:p>
        </w:tc>
      </w:tr>
      <w:tr>
        <w:tc>
          <w:tcPr>
            <w:tcW w:type="dxa" w:w="2400"/>
            <w:tcMar>
              <w:top w:type="dxa" w:w="90"/>
              <w:left w:type="dxa" w:w="120"/>
              <w:bottom w:type="dxa" w:w="90"/>
              <w:right w:type="dxa" w:w="120"/>
            </w:tcMar>
          </w:tcPr>
          <w:p>
            <w:pPr>
              <w:spacing w:after="0" w:line="250"/>
            </w:pPr>
            <w:r>
              <w:rPr>
                <w:b/>
                <w:bCs/>
                <w:color w:val="1A1A1A"/>
                <w:sz w:val="18"/>
                <w:szCs w:val="18"/>
              </w:rPr>
              <w:t xml:space="preserve">RCMC</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Registration cum Membership Certificate from an Export Promotion Council — required to claim most export benefits.</w:t>
            </w:r>
          </w:p>
        </w:tc>
        <w:tc>
          <w:tcPr>
            <w:tcW w:type="dxa" w:w="3560"/>
            <w:tcMar>
              <w:top w:type="dxa" w:w="90"/>
              <w:left w:type="dxa" w:w="120"/>
              <w:bottom w:type="dxa" w:w="90"/>
              <w:right w:type="dxa" w:w="120"/>
            </w:tcMar>
          </w:tcPr>
          <w:p>
            <w:pPr>
              <w:spacing w:after="0" w:line="250"/>
            </w:pPr>
            <w:r>
              <w:rPr>
                <w:b w:val="false"/>
                <w:bCs w:val="false"/>
                <w:color w:val="1A1A1A"/>
                <w:sz w:val="18"/>
                <w:szCs w:val="18"/>
              </w:rPr>
              <w:t xml:space="preserve">Issued by the relevant EPC; vendor-supplied and verifiable with the council.</w:t>
            </w:r>
          </w:p>
        </w:tc>
      </w:tr>
    </w:tbl>
    <w:p>
      <w:pPr>
        <w:spacing w:after="60"/>
      </w:pPr>
    </w:p>
    <w:p>
      <w:pPr>
        <w:spacing w:after="120" w:line="276"/>
      </w:pPr>
      <w:r>
        <w:rPr>
          <w:color w:val="1A1A1A"/>
          <w:sz w:val="21"/>
          <w:szCs w:val="21"/>
        </w:rPr>
        <w:t xml:space="preserve">Registry data is factual business information about a legal entity rather than personal data about an individual, which places it on far safer footing than harvested contact details. Use it freely for verification and for the factual half of an unclaimed profile. Do not use it as a substitute for contact permission.</w:t>
      </w:r>
    </w:p>
    <w:p>
      <w:pPr>
        <w:pStyle w:val="Heading2"/>
        <w:spacing w:after="140" w:before="320"/>
      </w:pPr>
      <w:r>
        <w:rPr>
          <w:b/>
          <w:bCs/>
          <w:color w:val="1A1A1A"/>
          <w:sz w:val="25"/>
          <w:szCs w:val="25"/>
        </w:rPr>
        <w:t xml:space="preserve">3.3  Channel C — institutional partnerships</w:t>
      </w:r>
    </w:p>
    <w:p>
      <w:pPr>
        <w:spacing w:after="120" w:line="276"/>
      </w:pPr>
      <w:r>
        <w:rPr>
          <w:color w:val="1A1A1A"/>
          <w:sz w:val="21"/>
          <w:szCs w:val="21"/>
        </w:rPr>
        <w:t xml:space="preserve">This is the answer to the cold-start problem, and it is the channel most technical founders skip. India has an entire state-funded apparatus whose explicit purpose is connecting Indian exporters to foreign buyers. It is not a competitor; it is a distribution channel that will co-operate if approached properly.</w:t>
      </w:r>
    </w:p>
    <w:tbl>
      <w:tblPr>
        <w:tblW w:type="dxa" w:w="9360"/>
        <w:tblBorders>
          <w:top w:val="single" w:color="0F4C81" w:sz="4"/>
          <w:left w:val="none"/>
          <w:bottom w:val="single" w:color="0F4C81" w:sz="4"/>
          <w:right w:val="none"/>
          <w:insideH w:val="single" w:color="C7CDD4" w:sz="2"/>
          <w:insideV w:val="none"/>
        </w:tblBorders>
      </w:tblPr>
      <w:tblGrid>
        <w:gridCol w:w="2600"/>
        <w:gridCol w:w="6760"/>
      </w:tblGrid>
      <w:tr>
        <w:trPr>
          <w:tblHeader/>
        </w:trPr>
        <w:tc>
          <w:tcPr>
            <w:tcW w:type="dxa" w:w="2600"/>
            <w:shd w:fill="EEF2F6" w:val="clear"/>
            <w:tcMar>
              <w:top w:type="dxa" w:w="100"/>
              <w:left w:type="dxa" w:w="120"/>
              <w:bottom w:type="dxa" w:w="100"/>
              <w:right w:type="dxa" w:w="120"/>
            </w:tcMar>
          </w:tcPr>
          <w:p>
            <w:pPr>
              <w:spacing w:after="0"/>
            </w:pPr>
            <w:r>
              <w:rPr>
                <w:b/>
                <w:bCs/>
                <w:color w:val="0F4C81"/>
                <w:sz w:val="18"/>
                <w:szCs w:val="18"/>
              </w:rPr>
              <w:t xml:space="preserve">Body</w:t>
            </w:r>
          </w:p>
        </w:tc>
        <w:tc>
          <w:tcPr>
            <w:tcW w:type="dxa" w:w="6760"/>
            <w:shd w:fill="EEF2F6" w:val="clear"/>
            <w:tcMar>
              <w:top w:type="dxa" w:w="100"/>
              <w:left w:type="dxa" w:w="120"/>
              <w:bottom w:type="dxa" w:w="100"/>
              <w:right w:type="dxa" w:w="120"/>
            </w:tcMar>
          </w:tcPr>
          <w:p>
            <w:pPr>
              <w:spacing w:after="0"/>
            </w:pPr>
            <w:r>
              <w:rPr>
                <w:b/>
                <w:bCs/>
                <w:color w:val="0F4C81"/>
                <w:sz w:val="18"/>
                <w:szCs w:val="18"/>
              </w:rPr>
              <w:t xml:space="preserve">Why it matters</w:t>
            </w:r>
          </w:p>
        </w:tc>
      </w:tr>
      <w:tr>
        <w:tc>
          <w:tcPr>
            <w:tcW w:type="dxa" w:w="2600"/>
            <w:tcMar>
              <w:top w:type="dxa" w:w="90"/>
              <w:left w:type="dxa" w:w="120"/>
              <w:bottom w:type="dxa" w:w="90"/>
              <w:right w:type="dxa" w:w="120"/>
            </w:tcMar>
          </w:tcPr>
          <w:p>
            <w:pPr>
              <w:spacing w:after="0" w:line="250"/>
            </w:pPr>
            <w:r>
              <w:rPr>
                <w:b/>
                <w:bCs/>
                <w:color w:val="1A1A1A"/>
                <w:sz w:val="18"/>
                <w:szCs w:val="18"/>
              </w:rPr>
              <w:t xml:space="preserve">FIEO — Federation of Indian Export Organisations</w:t>
            </w:r>
          </w:p>
        </w:tc>
        <w:tc>
          <w:tcPr>
            <w:tcW w:type="dxa" w:w="6760"/>
            <w:tcMar>
              <w:top w:type="dxa" w:w="90"/>
              <w:left w:type="dxa" w:w="120"/>
              <w:bottom w:type="dxa" w:w="90"/>
              <w:right w:type="dxa" w:w="120"/>
            </w:tcMar>
          </w:tcPr>
          <w:p>
            <w:pPr>
              <w:spacing w:after="0" w:line="250"/>
            </w:pPr>
            <w:r>
              <w:rPr>
                <w:b w:val="false"/>
                <w:bCs w:val="false"/>
                <w:color w:val="1A1A1A"/>
                <w:sz w:val="18"/>
                <w:szCs w:val="18"/>
              </w:rPr>
              <w:t xml:space="preserve">Set up by the Ministry of Commerce and industry in 1965; the apex body above all Export Promotion Councils and commodity boards, serving roughly 200,000 exporters directly and indirectly. Runs a member portal, RCMC applications, trade enquiries and buyer-seller meets. A single institutional relationship here reaches more qualified exporters than a year of scraping.</w:t>
            </w:r>
          </w:p>
        </w:tc>
      </w:tr>
      <w:tr>
        <w:tc>
          <w:tcPr>
            <w:tcW w:type="dxa" w:w="2600"/>
            <w:shd w:fill="F7F9FB" w:val="clear"/>
            <w:tcMar>
              <w:top w:type="dxa" w:w="90"/>
              <w:left w:type="dxa" w:w="120"/>
              <w:bottom w:type="dxa" w:w="90"/>
              <w:right w:type="dxa" w:w="120"/>
            </w:tcMar>
          </w:tcPr>
          <w:p>
            <w:pPr>
              <w:spacing w:after="0" w:line="250"/>
            </w:pPr>
            <w:r>
              <w:rPr>
                <w:b/>
                <w:bCs/>
                <w:color w:val="1A1A1A"/>
                <w:sz w:val="18"/>
                <w:szCs w:val="18"/>
              </w:rPr>
              <w:t xml:space="preserve">Commodity Export Promotion Councils</w:t>
            </w:r>
          </w:p>
        </w:tc>
        <w:tc>
          <w:tcPr>
            <w:tcW w:type="dxa" w:w="6760"/>
            <w:shd w:fill="F7F9FB" w:val="clear"/>
            <w:tcMar>
              <w:top w:type="dxa" w:w="90"/>
              <w:left w:type="dxa" w:w="120"/>
              <w:bottom w:type="dxa" w:w="90"/>
              <w:right w:type="dxa" w:w="120"/>
            </w:tcMar>
          </w:tcPr>
          <w:p>
            <w:pPr>
              <w:spacing w:after="0" w:line="250"/>
            </w:pPr>
            <w:r>
              <w:rPr>
                <w:b w:val="false"/>
                <w:bCs w:val="false"/>
                <w:color w:val="1A1A1A"/>
                <w:sz w:val="18"/>
                <w:szCs w:val="18"/>
              </w:rPr>
              <w:t xml:space="preserve">Fourteen-plus sector bodies, each with its own member directory and an explicit mandate to promote its members abroad: engineering, chemicals, pharmaceuticals, textiles, leather, plastics, gems and jewellery, handicrafts, sports goods, and the agricultural and marine authorities. Choose the one matching your first category and start there.</w:t>
            </w:r>
          </w:p>
        </w:tc>
      </w:tr>
      <w:tr>
        <w:tc>
          <w:tcPr>
            <w:tcW w:type="dxa" w:w="2600"/>
            <w:tcMar>
              <w:top w:type="dxa" w:w="90"/>
              <w:left w:type="dxa" w:w="120"/>
              <w:bottom w:type="dxa" w:w="90"/>
              <w:right w:type="dxa" w:w="120"/>
            </w:tcMar>
          </w:tcPr>
          <w:p>
            <w:pPr>
              <w:spacing w:after="0" w:line="250"/>
            </w:pPr>
            <w:r>
              <w:rPr>
                <w:b/>
                <w:bCs/>
                <w:color w:val="1A1A1A"/>
                <w:sz w:val="18"/>
                <w:szCs w:val="18"/>
              </w:rPr>
              <w:t xml:space="preserve">Commodity Boards</w:t>
            </w:r>
          </w:p>
        </w:tc>
        <w:tc>
          <w:tcPr>
            <w:tcW w:type="dxa" w:w="6760"/>
            <w:tcMar>
              <w:top w:type="dxa" w:w="90"/>
              <w:left w:type="dxa" w:w="120"/>
              <w:bottom w:type="dxa" w:w="90"/>
              <w:right w:type="dxa" w:w="120"/>
            </w:tcMar>
          </w:tcPr>
          <w:p>
            <w:pPr>
              <w:spacing w:after="0" w:line="250"/>
            </w:pPr>
            <w:r>
              <w:rPr>
                <w:b w:val="false"/>
                <w:bCs w:val="false"/>
                <w:color w:val="1A1A1A"/>
                <w:sz w:val="18"/>
                <w:szCs w:val="18"/>
              </w:rPr>
              <w:t xml:space="preserve">Tea, Coffee, Spices, Rubber, Tobacco, Coir — sector-specific, with registered exporter lists.</w:t>
            </w:r>
          </w:p>
        </w:tc>
      </w:tr>
      <w:tr>
        <w:tc>
          <w:tcPr>
            <w:tcW w:type="dxa" w:w="2600"/>
            <w:shd w:fill="F7F9FB" w:val="clear"/>
            <w:tcMar>
              <w:top w:type="dxa" w:w="90"/>
              <w:left w:type="dxa" w:w="120"/>
              <w:bottom w:type="dxa" w:w="90"/>
              <w:right w:type="dxa" w:w="120"/>
            </w:tcMar>
          </w:tcPr>
          <w:p>
            <w:pPr>
              <w:spacing w:after="0" w:line="250"/>
            </w:pPr>
            <w:r>
              <w:rPr>
                <w:b/>
                <w:bCs/>
                <w:color w:val="1A1A1A"/>
                <w:sz w:val="18"/>
                <w:szCs w:val="18"/>
              </w:rPr>
              <w:t xml:space="preserve">Chambers of commerce</w:t>
            </w:r>
          </w:p>
        </w:tc>
        <w:tc>
          <w:tcPr>
            <w:tcW w:type="dxa" w:w="6760"/>
            <w:shd w:fill="F7F9FB" w:val="clear"/>
            <w:tcMar>
              <w:top w:type="dxa" w:w="90"/>
              <w:left w:type="dxa" w:w="120"/>
              <w:bottom w:type="dxa" w:w="90"/>
              <w:right w:type="dxa" w:w="120"/>
            </w:tcMar>
          </w:tcPr>
          <w:p>
            <w:pPr>
              <w:spacing w:after="0" w:line="250"/>
            </w:pPr>
            <w:r>
              <w:rPr>
                <w:b w:val="false"/>
                <w:bCs w:val="false"/>
                <w:color w:val="1A1A1A"/>
                <w:sz w:val="18"/>
                <w:szCs w:val="18"/>
              </w:rPr>
              <w:t xml:space="preserve">FICCI, CII, ASSOCHAM, and specifically the Indo-American Chamber of Commerce, which exists for precisely this corridor.</w:t>
            </w:r>
          </w:p>
        </w:tc>
      </w:tr>
      <w:tr>
        <w:tc>
          <w:tcPr>
            <w:tcW w:type="dxa" w:w="2600"/>
            <w:tcMar>
              <w:top w:type="dxa" w:w="90"/>
              <w:left w:type="dxa" w:w="120"/>
              <w:bottom w:type="dxa" w:w="90"/>
              <w:right w:type="dxa" w:w="120"/>
            </w:tcMar>
          </w:tcPr>
          <w:p>
            <w:pPr>
              <w:spacing w:after="0" w:line="250"/>
            </w:pPr>
            <w:r>
              <w:rPr>
                <w:b/>
                <w:bCs/>
                <w:color w:val="1A1A1A"/>
                <w:sz w:val="18"/>
                <w:szCs w:val="18"/>
              </w:rPr>
              <w:t xml:space="preserve">State export promotion agencies</w:t>
            </w:r>
          </w:p>
        </w:tc>
        <w:tc>
          <w:tcPr>
            <w:tcW w:type="dxa" w:w="6760"/>
            <w:tcMar>
              <w:top w:type="dxa" w:w="90"/>
              <w:left w:type="dxa" w:w="120"/>
              <w:bottom w:type="dxa" w:w="90"/>
              <w:right w:type="dxa" w:w="120"/>
            </w:tcMar>
          </w:tcPr>
          <w:p>
            <w:pPr>
              <w:spacing w:after="0" w:line="250"/>
            </w:pPr>
            <w:r>
              <w:rPr>
                <w:b w:val="false"/>
                <w:bCs w:val="false"/>
                <w:color w:val="1A1A1A"/>
                <w:sz w:val="18"/>
                <w:szCs w:val="18"/>
              </w:rPr>
              <w:t xml:space="preserve">Every major exporting state runs one. Useful for geographic concentration — a cluster strategy beats a national one early.</w:t>
            </w:r>
          </w:p>
        </w:tc>
      </w:tr>
      <w:tr>
        <w:tc>
          <w:tcPr>
            <w:tcW w:type="dxa" w:w="2600"/>
            <w:shd w:fill="F7F9FB" w:val="clear"/>
            <w:tcMar>
              <w:top w:type="dxa" w:w="90"/>
              <w:left w:type="dxa" w:w="120"/>
              <w:bottom w:type="dxa" w:w="90"/>
              <w:right w:type="dxa" w:w="120"/>
            </w:tcMar>
          </w:tcPr>
          <w:p>
            <w:pPr>
              <w:spacing w:after="0" w:line="250"/>
            </w:pPr>
            <w:r>
              <w:rPr>
                <w:b/>
                <w:bCs/>
                <w:color w:val="1A1A1A"/>
                <w:sz w:val="18"/>
                <w:szCs w:val="18"/>
              </w:rPr>
              <w:t xml:space="preserve">US-side institutions</w:t>
            </w:r>
          </w:p>
        </w:tc>
        <w:tc>
          <w:tcPr>
            <w:tcW w:type="dxa" w:w="6760"/>
            <w:shd w:fill="F7F9FB" w:val="clear"/>
            <w:tcMar>
              <w:top w:type="dxa" w:w="90"/>
              <w:left w:type="dxa" w:w="120"/>
              <w:bottom w:type="dxa" w:w="90"/>
              <w:right w:type="dxa" w:w="120"/>
            </w:tcMar>
          </w:tcPr>
          <w:p>
            <w:pPr>
              <w:spacing w:after="0" w:line="250"/>
            </w:pPr>
            <w:r>
              <w:rPr>
                <w:b w:val="false"/>
                <w:bCs w:val="false"/>
                <w:color w:val="1A1A1A"/>
                <w:sz w:val="18"/>
                <w:szCs w:val="18"/>
              </w:rPr>
              <w:t xml:space="preserve">The International Trade Administration, US Commercial Service, state trade offices and district export councils for Corridor B and for US buyer demand.</w:t>
            </w:r>
          </w:p>
        </w:tc>
      </w:tr>
    </w:tbl>
    <w:p>
      <w:pPr>
        <w:spacing w:after="60"/>
      </w:pPr>
    </w:p>
    <w:p>
      <w:pPr>
        <w:spacing w:after="120" w:line="276"/>
      </w:pPr>
      <w:r>
        <w:rPr>
          <w:color w:val="1A1A1A"/>
          <w:sz w:val="21"/>
          <w:szCs w:val="21"/>
        </w:rPr>
        <w:t xml:space="preserve">The pitch to these bodies is straightforward and true: you are building a free, verified shop window that puts their members in front of US buyers, and you want to onboard their membership. They are measured on exactly that outcome. Expect a memorandum of understanding, a co-branded onboarding drive and access to member lists with consent — which is the legally clean version of the thing scraping only approximates.</w:t>
      </w:r>
    </w:p>
    <w:p>
      <w:pPr>
        <w:pStyle w:val="Heading2"/>
        <w:spacing w:after="140" w:before="320"/>
      </w:pPr>
      <w:r>
        <w:rPr>
          <w:b/>
          <w:bCs/>
          <w:color w:val="1A1A1A"/>
          <w:sz w:val="25"/>
          <w:szCs w:val="25"/>
        </w:rPr>
        <w:t xml:space="preserve">3.4  Channel D — direct sales onboarding</w:t>
      </w:r>
    </w:p>
    <w:p>
      <w:pPr>
        <w:spacing w:after="120" w:line="276"/>
      </w:pPr>
      <w:r>
        <w:rPr>
          <w:color w:val="1A1A1A"/>
          <w:sz w:val="21"/>
          <w:szCs w:val="21"/>
        </w:rPr>
        <w:t xml:space="preserve">The unglamorous truth about every marketplace: the first thousand suppliers are acquired by people making calls. Trade data gives the call list, ranked by actual export volume to the United States. A small team in India with a defined script and a target category can onboard at a rate that no automated approach matches, and the vendors acquired this way are real, reachable and invested.</w:t>
      </w:r>
    </w:p>
    <w:p>
      <w:pPr>
        <w:spacing w:after="120" w:line="276"/>
      </w:pPr>
      <w:r>
        <w:rPr>
          <w:color w:val="1A1A1A"/>
          <w:sz w:val="21"/>
          <w:szCs w:val="21"/>
        </w:rPr>
        <w:t xml:space="preserve">Budget for this explicitly. It is the single largest line item in year one and the one most likely to be under-funded because it does not look like product development.</w:t>
      </w:r>
    </w:p>
    <w:p>
      <w:pPr>
        <w:pStyle w:val="Heading2"/>
        <w:spacing w:after="140" w:before="320"/>
      </w:pPr>
      <w:r>
        <w:rPr>
          <w:b/>
          <w:bCs/>
          <w:color w:val="1A1A1A"/>
          <w:sz w:val="25"/>
          <w:szCs w:val="25"/>
        </w:rPr>
        <w:t xml:space="preserve">3.5  Channel E — the US side</w:t>
      </w:r>
    </w:p>
    <w:p>
      <w:pPr>
        <w:spacing w:after="120" w:line="276"/>
      </w:pPr>
      <w:r>
        <w:rPr>
          <w:color w:val="1A1A1A"/>
          <w:sz w:val="21"/>
          <w:szCs w:val="21"/>
        </w:rPr>
        <w:t xml:space="preserve">For Corridor B and for demand-side intelligence, the International Trade Administration publishes free JSON APIs specifically intended to help small and medium US businesses trade internationally. An API key is free and covers all of them.</w:t>
      </w:r>
    </w:p>
    <w:tbl>
      <w:tblPr>
        <w:tblW w:type="dxa" w:w="9360"/>
        <w:tblBorders>
          <w:top w:val="single" w:color="0F4C81" w:sz="4"/>
          <w:left w:val="none"/>
          <w:bottom w:val="single" w:color="0F4C81" w:sz="4"/>
          <w:right w:val="none"/>
          <w:insideH w:val="single" w:color="C7CDD4" w:sz="2"/>
          <w:insideV w:val="none"/>
        </w:tblBorders>
      </w:tblPr>
      <w:tblGrid>
        <w:gridCol w:w="2600"/>
        <w:gridCol w:w="6760"/>
      </w:tblGrid>
      <w:tr>
        <w:trPr>
          <w:tblHeader/>
        </w:trPr>
        <w:tc>
          <w:tcPr>
            <w:tcW w:type="dxa" w:w="2600"/>
            <w:shd w:fill="EEF2F6" w:val="clear"/>
            <w:tcMar>
              <w:top w:type="dxa" w:w="100"/>
              <w:left w:type="dxa" w:w="120"/>
              <w:bottom w:type="dxa" w:w="100"/>
              <w:right w:type="dxa" w:w="120"/>
            </w:tcMar>
          </w:tcPr>
          <w:p>
            <w:pPr>
              <w:spacing w:after="0"/>
            </w:pPr>
            <w:r>
              <w:rPr>
                <w:b/>
                <w:bCs/>
                <w:color w:val="0F4C81"/>
                <w:sz w:val="18"/>
                <w:szCs w:val="18"/>
              </w:rPr>
              <w:t xml:space="preserve">API</w:t>
            </w:r>
          </w:p>
        </w:tc>
        <w:tc>
          <w:tcPr>
            <w:tcW w:type="dxa" w:w="6760"/>
            <w:shd w:fill="EEF2F6" w:val="clear"/>
            <w:tcMar>
              <w:top w:type="dxa" w:w="100"/>
              <w:left w:type="dxa" w:w="120"/>
              <w:bottom w:type="dxa" w:w="100"/>
              <w:right w:type="dxa" w:w="120"/>
            </w:tcMar>
          </w:tcPr>
          <w:p>
            <w:pPr>
              <w:spacing w:after="0"/>
            </w:pPr>
            <w:r>
              <w:rPr>
                <w:b/>
                <w:bCs/>
                <w:color w:val="0F4C81"/>
                <w:sz w:val="18"/>
                <w:szCs w:val="18"/>
              </w:rPr>
              <w:t xml:space="preserve">Use</w:t>
            </w:r>
          </w:p>
        </w:tc>
      </w:tr>
      <w:tr>
        <w:tc>
          <w:tcPr>
            <w:tcW w:type="dxa" w:w="2600"/>
            <w:tcMar>
              <w:top w:type="dxa" w:w="90"/>
              <w:left w:type="dxa" w:w="120"/>
              <w:bottom w:type="dxa" w:w="90"/>
              <w:right w:type="dxa" w:w="120"/>
            </w:tcMar>
          </w:tcPr>
          <w:p>
            <w:pPr>
              <w:spacing w:after="0" w:line="250"/>
            </w:pPr>
            <w:r>
              <w:rPr>
                <w:b/>
                <w:bCs/>
                <w:color w:val="1A1A1A"/>
                <w:sz w:val="18"/>
                <w:szCs w:val="18"/>
              </w:rPr>
              <w:t xml:space="preserve">Business Service Providers</w:t>
            </w:r>
          </w:p>
        </w:tc>
        <w:tc>
          <w:tcPr>
            <w:tcW w:type="dxa" w:w="6760"/>
            <w:tcMar>
              <w:top w:type="dxa" w:w="90"/>
              <w:left w:type="dxa" w:w="120"/>
              <w:bottom w:type="dxa" w:w="90"/>
              <w:right w:type="dxa" w:w="120"/>
            </w:tcMar>
          </w:tcPr>
          <w:p>
            <w:pPr>
              <w:spacing w:after="0" w:line="250"/>
            </w:pPr>
            <w:r>
              <w:rPr>
                <w:b w:val="false"/>
                <w:bCs w:val="false"/>
                <w:color w:val="1A1A1A"/>
                <w:sz w:val="18"/>
                <w:szCs w:val="18"/>
              </w:rPr>
              <w:t xml:space="preserve">Directory of firms serving US exporters. Useful for Corridor B supply and for partner discovery.</w:t>
            </w:r>
          </w:p>
        </w:tc>
      </w:tr>
      <w:tr>
        <w:tc>
          <w:tcPr>
            <w:tcW w:type="dxa" w:w="2600"/>
            <w:shd w:fill="F7F9FB" w:val="clear"/>
            <w:tcMar>
              <w:top w:type="dxa" w:w="90"/>
              <w:left w:type="dxa" w:w="120"/>
              <w:bottom w:type="dxa" w:w="90"/>
              <w:right w:type="dxa" w:w="120"/>
            </w:tcMar>
          </w:tcPr>
          <w:p>
            <w:pPr>
              <w:spacing w:after="0" w:line="250"/>
            </w:pPr>
            <w:r>
              <w:rPr>
                <w:b/>
                <w:bCs/>
                <w:color w:val="1A1A1A"/>
                <w:sz w:val="18"/>
                <w:szCs w:val="18"/>
              </w:rPr>
              <w:t xml:space="preserve">Trade Leads</w:t>
            </w:r>
          </w:p>
        </w:tc>
        <w:tc>
          <w:tcPr>
            <w:tcW w:type="dxa" w:w="6760"/>
            <w:shd w:fill="F7F9FB" w:val="clear"/>
            <w:tcMar>
              <w:top w:type="dxa" w:w="90"/>
              <w:left w:type="dxa" w:w="120"/>
              <w:bottom w:type="dxa" w:w="90"/>
              <w:right w:type="dxa" w:w="120"/>
            </w:tcMar>
          </w:tcPr>
          <w:p>
            <w:pPr>
              <w:spacing w:after="0" w:line="250"/>
            </w:pPr>
            <w:r>
              <w:rPr>
                <w:b w:val="false"/>
                <w:bCs w:val="false"/>
                <w:color w:val="1A1A1A"/>
                <w:sz w:val="18"/>
                <w:szCs w:val="18"/>
              </w:rPr>
              <w:t xml:space="preserve">Published international trade opportunities — a genuine demand signal.</w:t>
            </w:r>
          </w:p>
        </w:tc>
      </w:tr>
      <w:tr>
        <w:tc>
          <w:tcPr>
            <w:tcW w:type="dxa" w:w="2600"/>
            <w:tcMar>
              <w:top w:type="dxa" w:w="90"/>
              <w:left w:type="dxa" w:w="120"/>
              <w:bottom w:type="dxa" w:w="90"/>
              <w:right w:type="dxa" w:w="120"/>
            </w:tcMar>
          </w:tcPr>
          <w:p>
            <w:pPr>
              <w:spacing w:after="0" w:line="250"/>
            </w:pPr>
            <w:r>
              <w:rPr>
                <w:b/>
                <w:bCs/>
                <w:color w:val="1A1A1A"/>
                <w:sz w:val="18"/>
                <w:szCs w:val="18"/>
              </w:rPr>
              <w:t xml:space="preserve">Consolidated Screening List</w:t>
            </w:r>
          </w:p>
        </w:tc>
        <w:tc>
          <w:tcPr>
            <w:tcW w:type="dxa" w:w="6760"/>
            <w:tcMar>
              <w:top w:type="dxa" w:w="90"/>
              <w:left w:type="dxa" w:w="120"/>
              <w:bottom w:type="dxa" w:w="90"/>
              <w:right w:type="dxa" w:w="120"/>
            </w:tcMar>
          </w:tcPr>
          <w:p>
            <w:pPr>
              <w:spacing w:after="0" w:line="250"/>
            </w:pPr>
            <w:r>
              <w:rPr>
                <w:b w:val="false"/>
                <w:bCs w:val="false"/>
                <w:color w:val="1A1A1A"/>
                <w:sz w:val="18"/>
                <w:szCs w:val="18"/>
              </w:rPr>
              <w:t xml:space="preserve">Eleven US restricted-party lists from Commerce, State and Treasury in one feed. Essential compliance infrastructure, covered in Section 10.</w:t>
            </w:r>
          </w:p>
        </w:tc>
      </w:tr>
      <w:tr>
        <w:tc>
          <w:tcPr>
            <w:tcW w:type="dxa" w:w="2600"/>
            <w:shd w:fill="F7F9FB" w:val="clear"/>
            <w:tcMar>
              <w:top w:type="dxa" w:w="90"/>
              <w:left w:type="dxa" w:w="120"/>
              <w:bottom w:type="dxa" w:w="90"/>
              <w:right w:type="dxa" w:w="120"/>
            </w:tcMar>
          </w:tcPr>
          <w:p>
            <w:pPr>
              <w:spacing w:after="0" w:line="250"/>
            </w:pPr>
            <w:r>
              <w:rPr>
                <w:b/>
                <w:bCs/>
                <w:color w:val="1A1A1A"/>
                <w:sz w:val="18"/>
                <w:szCs w:val="18"/>
              </w:rPr>
              <w:t xml:space="preserve">FTA Tariff Rates</w:t>
            </w:r>
          </w:p>
        </w:tc>
        <w:tc>
          <w:tcPr>
            <w:tcW w:type="dxa" w:w="6760"/>
            <w:shd w:fill="F7F9FB" w:val="clear"/>
            <w:tcMar>
              <w:top w:type="dxa" w:w="90"/>
              <w:left w:type="dxa" w:w="120"/>
              <w:bottom w:type="dxa" w:w="90"/>
              <w:right w:type="dxa" w:w="120"/>
            </w:tcMar>
          </w:tcPr>
          <w:p>
            <w:pPr>
              <w:spacing w:after="0" w:line="250"/>
            </w:pPr>
            <w:r>
              <w:rPr>
                <w:b w:val="false"/>
                <w:bCs w:val="false"/>
                <w:color w:val="1A1A1A"/>
                <w:sz w:val="18"/>
                <w:szCs w:val="18"/>
              </w:rPr>
              <w:t xml:space="preserve">Preferential rates under US free trade agreements.</w:t>
            </w:r>
          </w:p>
        </w:tc>
      </w:tr>
      <w:tr>
        <w:tc>
          <w:tcPr>
            <w:tcW w:type="dxa" w:w="2600"/>
            <w:tcMar>
              <w:top w:type="dxa" w:w="90"/>
              <w:left w:type="dxa" w:w="120"/>
              <w:bottom w:type="dxa" w:w="90"/>
              <w:right w:type="dxa" w:w="120"/>
            </w:tcMar>
          </w:tcPr>
          <w:p>
            <w:pPr>
              <w:spacing w:after="0" w:line="250"/>
            </w:pPr>
            <w:r>
              <w:rPr>
                <w:b/>
                <w:bCs/>
                <w:color w:val="1A1A1A"/>
                <w:sz w:val="18"/>
                <w:szCs w:val="18"/>
              </w:rPr>
              <w:t xml:space="preserve">Market Intelligence</w:t>
            </w:r>
          </w:p>
        </w:tc>
        <w:tc>
          <w:tcPr>
            <w:tcW w:type="dxa" w:w="6760"/>
            <w:tcMar>
              <w:top w:type="dxa" w:w="90"/>
              <w:left w:type="dxa" w:w="120"/>
              <w:bottom w:type="dxa" w:w="90"/>
              <w:right w:type="dxa" w:w="120"/>
            </w:tcMar>
          </w:tcPr>
          <w:p>
            <w:pPr>
              <w:spacing w:after="0" w:line="250"/>
            </w:pPr>
            <w:r>
              <w:rPr>
                <w:b w:val="false"/>
                <w:bCs w:val="false"/>
                <w:color w:val="1A1A1A"/>
                <w:sz w:val="18"/>
                <w:szCs w:val="18"/>
              </w:rPr>
              <w:t xml:space="preserve">Country Commercial Guides written by ITA trade officers, updated daily. Good content seed for search-driven demand.</w:t>
            </w:r>
          </w:p>
        </w:tc>
      </w:tr>
      <w:tr>
        <w:tc>
          <w:tcPr>
            <w:tcW w:type="dxa" w:w="2600"/>
            <w:shd w:fill="F7F9FB" w:val="clear"/>
            <w:tcMar>
              <w:top w:type="dxa" w:w="90"/>
              <w:left w:type="dxa" w:w="120"/>
              <w:bottom w:type="dxa" w:w="90"/>
              <w:right w:type="dxa" w:w="120"/>
            </w:tcMar>
          </w:tcPr>
          <w:p>
            <w:pPr>
              <w:spacing w:after="0" w:line="250"/>
            </w:pPr>
            <w:r>
              <w:rPr>
                <w:b/>
                <w:bCs/>
                <w:color w:val="1A1A1A"/>
                <w:sz w:val="18"/>
                <w:szCs w:val="18"/>
              </w:rPr>
              <w:t xml:space="preserve">Trade Events</w:t>
            </w:r>
          </w:p>
        </w:tc>
        <w:tc>
          <w:tcPr>
            <w:tcW w:type="dxa" w:w="6760"/>
            <w:shd w:fill="F7F9FB" w:val="clear"/>
            <w:tcMar>
              <w:top w:type="dxa" w:w="90"/>
              <w:left w:type="dxa" w:w="120"/>
              <w:bottom w:type="dxa" w:w="90"/>
              <w:right w:type="dxa" w:w="120"/>
            </w:tcMar>
          </w:tcPr>
          <w:p>
            <w:pPr>
              <w:spacing w:after="0" w:line="250"/>
            </w:pPr>
            <w:r>
              <w:rPr>
                <w:b w:val="false"/>
                <w:bCs w:val="false"/>
                <w:color w:val="1A1A1A"/>
                <w:sz w:val="18"/>
                <w:szCs w:val="18"/>
              </w:rPr>
              <w:t xml:space="preserve">Trade fairs and missions — a vendor acquisition channel and, incidentally, adjacent to the event agent already in this repository.</w:t>
            </w:r>
          </w:p>
        </w:tc>
      </w:tr>
    </w:tbl>
    <w:p>
      <w:pPr>
        <w:pStyle w:val="Heading2"/>
        <w:spacing w:after="140" w:before="320"/>
      </w:pPr>
      <w:r>
        <w:rPr>
          <w:b/>
          <w:bCs/>
          <w:color w:val="1A1A1A"/>
          <w:sz w:val="25"/>
          <w:szCs w:val="25"/>
        </w:rPr>
        <w:t xml:space="preserve">3.6  The bootstrap model — claim your profile</w:t>
      </w:r>
    </w:p>
    <w:p>
      <w:pPr>
        <w:spacing w:after="120" w:line="276"/>
      </w:pPr>
      <w:r>
        <w:rPr>
          <w:color w:val="1A1A1A"/>
          <w:sz w:val="21"/>
          <w:szCs w:val="21"/>
        </w:rPr>
        <w:t xml:space="preserve">These channels combine into a sequence that produces a non-empty, legally clean catalogue without ever republishing a competitor's listing.</w:t>
      </w:r>
    </w:p>
    <w:tbl>
      <w:tblPr>
        <w:tblW w:type="dxa" w:w="9360"/>
        <w:tblBorders>
          <w:top w:val="single" w:color="C7CDD4" w:sz="2"/>
          <w:left w:val="single" w:color="C7CDD4" w:sz="2"/>
          <w:bottom w:val="single" w:color="C7CDD4" w:sz="2"/>
          <w:right w:val="single" w:color="C7CDD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0" w:line="240"/>
            </w:pPr>
            <w:r>
              <w:rPr>
                <w:rFonts w:ascii="Consolas" w:cs="Consolas" w:eastAsia="Consolas" w:hAnsi="Consolas"/>
                <w:color w:val="20303F"/>
                <w:sz w:val="17"/>
                <w:szCs w:val="17"/>
              </w:rPr>
              <w:t xml:space="preserve">STEP 1  Trade data  →  "Which Indian firms actually ship HS 6912 to the USA?"</w:t>
            </w:r>
          </w:p>
          <w:p>
            <w:pPr>
              <w:spacing w:after="0" w:line="240"/>
            </w:pPr>
            <w:r>
              <w:rPr>
                <w:rFonts w:ascii="Consolas" w:cs="Consolas" w:eastAsia="Consolas" w:hAnsi="Consolas"/>
                <w:color w:val="20303F"/>
                <w:sz w:val="17"/>
                <w:szCs w:val="17"/>
              </w:rPr>
              <w:t xml:space="preserve">                       Rank by shipment volume and recency. ~800 firms.</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STEP 2  Registries  →  Match each to IEC / GSTIN / MCA. Drop the inactive.</w:t>
            </w:r>
          </w:p>
          <w:p>
            <w:pPr>
              <w:spacing w:after="0" w:line="240"/>
            </w:pPr>
            <w:r>
              <w:rPr>
                <w:rFonts w:ascii="Consolas" w:cs="Consolas" w:eastAsia="Consolas" w:hAnsi="Consolas"/>
                <w:color w:val="20303F"/>
                <w:sz w:val="17"/>
                <w:szCs w:val="17"/>
              </w:rPr>
              <w:t xml:space="preserve">                       Now: verified, currently-trading exporters. ~600 firms.</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STEP 3  Stub page   →  Publish a FACTUAL company page per firm:</w:t>
            </w:r>
          </w:p>
          <w:p>
            <w:pPr>
              <w:spacing w:after="0" w:line="240"/>
            </w:pPr>
            <w:r>
              <w:rPr>
                <w:rFonts w:ascii="Consolas" w:cs="Consolas" w:eastAsia="Consolas" w:hAnsi="Consolas"/>
                <w:color w:val="20303F"/>
                <w:sz w:val="17"/>
                <w:szCs w:val="17"/>
              </w:rPr>
              <w:t xml:space="preserve">                       legal name, city, incorporation, IEC status, GST status,</w:t>
            </w:r>
          </w:p>
          <w:p>
            <w:pPr>
              <w:spacing w:after="0" w:line="240"/>
            </w:pPr>
            <w:r>
              <w:rPr>
                <w:rFonts w:ascii="Consolas" w:cs="Consolas" w:eastAsia="Consolas" w:hAnsi="Consolas"/>
                <w:color w:val="20303F"/>
                <w:sz w:val="17"/>
                <w:szCs w:val="17"/>
              </w:rPr>
              <w:t xml:space="preserve">                       HS codes shipped, export activity band.</w:t>
            </w:r>
          </w:p>
          <w:p>
            <w:pPr>
              <w:spacing w:after="0" w:line="240"/>
            </w:pPr>
            <w:r>
              <w:rPr>
                <w:rFonts w:ascii="Consolas" w:cs="Consolas" w:eastAsia="Consolas" w:hAnsi="Consolas"/>
                <w:color w:val="20303F"/>
                <w:sz w:val="17"/>
                <w:szCs w:val="17"/>
              </w:rPr>
              <w:t xml:space="preserve">                       NO contact details. NO prices. NO copied description.</w:t>
            </w:r>
          </w:p>
          <w:p>
            <w:pPr>
              <w:spacing w:after="0" w:line="240"/>
            </w:pPr>
            <w:r>
              <w:rPr>
                <w:rFonts w:ascii="Consolas" w:cs="Consolas" w:eastAsia="Consolas" w:hAnsi="Consolas"/>
                <w:color w:val="20303F"/>
                <w:sz w:val="17"/>
                <w:szCs w:val="17"/>
              </w:rPr>
              <w:t xml:space="preserve">                       Clearly labelled "Unclaimed — data from public records".</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STEP 4  Outreach    →  EPC / FIEO introduction, or direct sales call:</w:t>
            </w:r>
          </w:p>
          <w:p>
            <w:pPr>
              <w:spacing w:after="0" w:line="240"/>
            </w:pPr>
            <w:r>
              <w:rPr>
                <w:rFonts w:ascii="Consolas" w:cs="Consolas" w:eastAsia="Consolas" w:hAnsi="Consolas"/>
                <w:color w:val="20303F"/>
                <w:sz w:val="17"/>
                <w:szCs w:val="17"/>
              </w:rPr>
              <w:t xml:space="preserve">                       "Your company already appears. Claim it, add your</w:t>
            </w:r>
          </w:p>
          <w:p>
            <w:pPr>
              <w:spacing w:after="0" w:line="240"/>
            </w:pPr>
            <w:r>
              <w:rPr>
                <w:rFonts w:ascii="Consolas" w:cs="Consolas" w:eastAsia="Consolas" w:hAnsi="Consolas"/>
                <w:color w:val="20303F"/>
                <w:sz w:val="17"/>
                <w:szCs w:val="17"/>
              </w:rPr>
              <w:t xml:space="preserve">                        products and prices, and receive US buyer enquiries."</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STEP 5  Claim       →  Vendor verifies control of the entity, accepts terms,</w:t>
            </w:r>
          </w:p>
          <w:p>
            <w:pPr>
              <w:spacing w:after="0" w:line="240"/>
            </w:pPr>
            <w:r>
              <w:rPr>
                <w:rFonts w:ascii="Consolas" w:cs="Consolas" w:eastAsia="Consolas" w:hAnsi="Consolas"/>
                <w:color w:val="20303F"/>
                <w:sz w:val="17"/>
                <w:szCs w:val="17"/>
              </w:rPr>
              <w:t xml:space="preserve">                       consents to contact disclosure rules, adds listings,</w:t>
            </w:r>
          </w:p>
          <w:p>
            <w:pPr>
              <w:spacing w:after="0" w:line="240"/>
            </w:pPr>
            <w:r>
              <w:rPr>
                <w:rFonts w:ascii="Consolas" w:cs="Consolas" w:eastAsia="Consolas" w:hAnsi="Consolas"/>
                <w:color w:val="20303F"/>
                <w:sz w:val="17"/>
                <w:szCs w:val="17"/>
              </w:rPr>
              <w:t xml:space="preserve">                       sets price tiers. The page becomes a real listing.</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STEP 6  Enrich      →  AI assigns HS codes, normalises specs, computes the</w:t>
            </w:r>
          </w:p>
          <w:p>
            <w:pPr>
              <w:spacing w:after="0" w:line="240"/>
            </w:pPr>
            <w:r>
              <w:rPr>
                <w:rFonts w:ascii="Consolas" w:cs="Consolas" w:eastAsia="Consolas" w:hAnsi="Consolas"/>
                <w:color w:val="20303F"/>
                <w:sz w:val="17"/>
                <w:szCs w:val="17"/>
              </w:rPr>
              <w:t xml:space="preserve">                       landed cost for US buyers. (Section 9.)</w:t>
            </w:r>
          </w:p>
        </w:tc>
      </w:tr>
    </w:tbl>
    <w:p>
      <w:pPr>
        <w:spacing w:after="80"/>
      </w:pPr>
    </w:p>
    <w:p>
      <w:pPr>
        <w:spacing w:after="120" w:line="276"/>
      </w:pPr>
      <w:r>
        <w:rPr>
          <w:color w:val="1A1A1A"/>
          <w:sz w:val="21"/>
          <w:szCs w:val="21"/>
        </w:rPr>
        <w:t xml:space="preserve">Three properties make this work. The stub page contains only facts drawn from public records, not expression copied from anyone. It carries no personal data, which keeps it outside the sharpest edge of the data-protection regime. And it gives the outreach call a reason to exist that a cold pitch does not have — the vendor sees something real with their name on it and a buyer audience attached.</w:t>
      </w:r>
    </w:p>
    <w:p>
      <w:pPr>
        <w:pStyle w:val="Heading2"/>
        <w:spacing w:after="140" w:before="320"/>
      </w:pPr>
      <w:r>
        <w:rPr>
          <w:b/>
          <w:bCs/>
          <w:color w:val="1A1A1A"/>
          <w:sz w:val="25"/>
          <w:szCs w:val="25"/>
        </w:rPr>
        <w:t xml:space="preserve">3.7  Channel comparison</w:t>
      </w:r>
    </w:p>
    <w:tbl>
      <w:tblPr>
        <w:tblW w:type="dxa" w:w="9360"/>
        <w:tblBorders>
          <w:top w:val="single" w:color="0F4C81" w:sz="4"/>
          <w:left w:val="none"/>
          <w:bottom w:val="single" w:color="0F4C81" w:sz="4"/>
          <w:right w:val="none"/>
          <w:insideH w:val="single" w:color="C7CDD4" w:sz="2"/>
          <w:insideV w:val="none"/>
        </w:tblBorders>
      </w:tblPr>
      <w:tblGrid>
        <w:gridCol w:w="1800"/>
        <w:gridCol w:w="1700"/>
        <w:gridCol w:w="1500"/>
        <w:gridCol w:w="1500"/>
        <w:gridCol w:w="2860"/>
      </w:tblGrid>
      <w:tr>
        <w:trPr>
          <w:tblHeader/>
        </w:trPr>
        <w:tc>
          <w:tcPr>
            <w:tcW w:type="dxa" w:w="1800"/>
            <w:shd w:fill="EEF2F6" w:val="clear"/>
            <w:tcMar>
              <w:top w:type="dxa" w:w="100"/>
              <w:left w:type="dxa" w:w="120"/>
              <w:bottom w:type="dxa" w:w="100"/>
              <w:right w:type="dxa" w:w="120"/>
            </w:tcMar>
          </w:tcPr>
          <w:p>
            <w:pPr>
              <w:spacing w:after="0"/>
            </w:pPr>
            <w:r>
              <w:rPr>
                <w:b/>
                <w:bCs/>
                <w:color w:val="0F4C81"/>
                <w:sz w:val="18"/>
                <w:szCs w:val="18"/>
              </w:rPr>
              <w:t xml:space="preserve">Channel</w:t>
            </w:r>
          </w:p>
        </w:tc>
        <w:tc>
          <w:tcPr>
            <w:tcW w:type="dxa" w:w="1700"/>
            <w:shd w:fill="EEF2F6" w:val="clear"/>
            <w:tcMar>
              <w:top w:type="dxa" w:w="100"/>
              <w:left w:type="dxa" w:w="120"/>
              <w:bottom w:type="dxa" w:w="100"/>
              <w:right w:type="dxa" w:w="120"/>
            </w:tcMar>
          </w:tcPr>
          <w:p>
            <w:pPr>
              <w:spacing w:after="0"/>
            </w:pPr>
            <w:r>
              <w:rPr>
                <w:b/>
                <w:bCs/>
                <w:color w:val="0F4C81"/>
                <w:sz w:val="18"/>
                <w:szCs w:val="18"/>
              </w:rPr>
              <w:t xml:space="preserve">Data quality</w:t>
            </w:r>
          </w:p>
        </w:tc>
        <w:tc>
          <w:tcPr>
            <w:tcW w:type="dxa" w:w="1500"/>
            <w:shd w:fill="EEF2F6" w:val="clear"/>
            <w:tcMar>
              <w:top w:type="dxa" w:w="100"/>
              <w:left w:type="dxa" w:w="120"/>
              <w:bottom w:type="dxa" w:w="100"/>
              <w:right w:type="dxa" w:w="120"/>
            </w:tcMar>
          </w:tcPr>
          <w:p>
            <w:pPr>
              <w:spacing w:after="0"/>
            </w:pPr>
            <w:r>
              <w:rPr>
                <w:b/>
                <w:bCs/>
                <w:color w:val="0F4C81"/>
                <w:sz w:val="18"/>
                <w:szCs w:val="18"/>
              </w:rPr>
              <w:t xml:space="preserve">Legal risk</w:t>
            </w:r>
          </w:p>
        </w:tc>
        <w:tc>
          <w:tcPr>
            <w:tcW w:type="dxa" w:w="1500"/>
            <w:shd w:fill="EEF2F6" w:val="clear"/>
            <w:tcMar>
              <w:top w:type="dxa" w:w="100"/>
              <w:left w:type="dxa" w:w="120"/>
              <w:bottom w:type="dxa" w:w="100"/>
              <w:right w:type="dxa" w:w="120"/>
            </w:tcMar>
          </w:tcPr>
          <w:p>
            <w:pPr>
              <w:spacing w:after="0"/>
            </w:pPr>
            <w:r>
              <w:rPr>
                <w:b/>
                <w:bCs/>
                <w:color w:val="0F4C81"/>
                <w:sz w:val="18"/>
                <w:szCs w:val="18"/>
              </w:rPr>
              <w:t xml:space="preserve">Cost</w:t>
            </w:r>
          </w:p>
        </w:tc>
        <w:tc>
          <w:tcPr>
            <w:tcW w:type="dxa" w:w="2860"/>
            <w:shd w:fill="EEF2F6" w:val="clear"/>
            <w:tcMar>
              <w:top w:type="dxa" w:w="100"/>
              <w:left w:type="dxa" w:w="120"/>
              <w:bottom w:type="dxa" w:w="100"/>
              <w:right w:type="dxa" w:w="120"/>
            </w:tcMar>
          </w:tcPr>
          <w:p>
            <w:pPr>
              <w:spacing w:after="0"/>
            </w:pPr>
            <w:r>
              <w:rPr>
                <w:b/>
                <w:bCs/>
                <w:color w:val="0F4C81"/>
                <w:sz w:val="18"/>
                <w:szCs w:val="18"/>
              </w:rPr>
              <w:t xml:space="preserve">Verdict</w:t>
            </w:r>
          </w:p>
        </w:tc>
      </w:tr>
      <w:tr>
        <w:tc>
          <w:tcPr>
            <w:tcW w:type="dxa" w:w="1800"/>
            <w:tcMar>
              <w:top w:type="dxa" w:w="90"/>
              <w:left w:type="dxa" w:w="120"/>
              <w:bottom w:type="dxa" w:w="90"/>
              <w:right w:type="dxa" w:w="120"/>
            </w:tcMar>
          </w:tcPr>
          <w:p>
            <w:pPr>
              <w:spacing w:after="0" w:line="250"/>
            </w:pPr>
            <w:r>
              <w:rPr>
                <w:b/>
                <w:bCs/>
                <w:color w:val="1A1A1A"/>
                <w:sz w:val="18"/>
                <w:szCs w:val="18"/>
              </w:rPr>
              <w:t xml:space="preserve">Scraping directories</w:t>
            </w:r>
          </w:p>
        </w:tc>
        <w:tc>
          <w:tcPr>
            <w:tcW w:type="dxa" w:w="1700"/>
            <w:tcMar>
              <w:top w:type="dxa" w:w="90"/>
              <w:left w:type="dxa" w:w="120"/>
              <w:bottom w:type="dxa" w:w="90"/>
              <w:right w:type="dxa" w:w="120"/>
            </w:tcMar>
          </w:tcPr>
          <w:p>
            <w:pPr>
              <w:spacing w:after="0" w:line="250"/>
            </w:pPr>
            <w:r>
              <w:rPr>
                <w:b w:val="false"/>
                <w:bCs w:val="false"/>
                <w:color w:val="1A1A1A"/>
                <w:sz w:val="18"/>
                <w:szCs w:val="18"/>
              </w:rPr>
              <w:t xml:space="preserve">Poor — stale, duplicated</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High</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Low</w:t>
            </w:r>
          </w:p>
        </w:tc>
        <w:tc>
          <w:tcPr>
            <w:tcW w:type="dxa" w:w="2860"/>
            <w:tcMar>
              <w:top w:type="dxa" w:w="90"/>
              <w:left w:type="dxa" w:w="120"/>
              <w:bottom w:type="dxa" w:w="90"/>
              <w:right w:type="dxa" w:w="120"/>
            </w:tcMar>
          </w:tcPr>
          <w:p>
            <w:pPr>
              <w:spacing w:after="0" w:line="250"/>
            </w:pPr>
            <w:r>
              <w:rPr>
                <w:b w:val="false"/>
                <w:bCs w:val="false"/>
                <w:color w:val="1A1A1A"/>
                <w:sz w:val="18"/>
                <w:szCs w:val="18"/>
              </w:rPr>
              <w:t xml:space="preserve">Do not. Section 1.2.</w:t>
            </w:r>
          </w:p>
        </w:tc>
      </w:tr>
      <w:tr>
        <w:tc>
          <w:tcPr>
            <w:tcW w:type="dxa" w:w="1800"/>
            <w:shd w:fill="F7F9FB" w:val="clear"/>
            <w:tcMar>
              <w:top w:type="dxa" w:w="90"/>
              <w:left w:type="dxa" w:w="120"/>
              <w:bottom w:type="dxa" w:w="90"/>
              <w:right w:type="dxa" w:w="120"/>
            </w:tcMar>
          </w:tcPr>
          <w:p>
            <w:pPr>
              <w:spacing w:after="0" w:line="250"/>
            </w:pPr>
            <w:r>
              <w:rPr>
                <w:b/>
                <w:bCs/>
                <w:color w:val="1A1A1A"/>
                <w:sz w:val="18"/>
                <w:szCs w:val="18"/>
              </w:rPr>
              <w:t xml:space="preserve">Public trade data</w:t>
            </w:r>
          </w:p>
        </w:tc>
        <w:tc>
          <w:tcPr>
            <w:tcW w:type="dxa" w:w="1700"/>
            <w:shd w:fill="F7F9FB" w:val="clear"/>
            <w:tcMar>
              <w:top w:type="dxa" w:w="90"/>
              <w:left w:type="dxa" w:w="120"/>
              <w:bottom w:type="dxa" w:w="90"/>
              <w:right w:type="dxa" w:w="120"/>
            </w:tcMar>
          </w:tcPr>
          <w:p>
            <w:pPr>
              <w:spacing w:after="0" w:line="250"/>
            </w:pPr>
            <w:r>
              <w:rPr>
                <w:b w:val="false"/>
                <w:bCs w:val="false"/>
                <w:color w:val="1A1A1A"/>
                <w:sz w:val="18"/>
                <w:szCs w:val="18"/>
              </w:rPr>
              <w:t xml:space="preserve">High — factual records</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Low</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Medium subscription</w:t>
            </w:r>
          </w:p>
        </w:tc>
        <w:tc>
          <w:tcPr>
            <w:tcW w:type="dxa" w:w="2860"/>
            <w:shd w:fill="F7F9FB" w:val="clear"/>
            <w:tcMar>
              <w:top w:type="dxa" w:w="90"/>
              <w:left w:type="dxa" w:w="120"/>
              <w:bottom w:type="dxa" w:w="90"/>
              <w:right w:type="dxa" w:w="120"/>
            </w:tcMar>
          </w:tcPr>
          <w:p>
            <w:pPr>
              <w:spacing w:after="0" w:line="250"/>
            </w:pPr>
            <w:r>
              <w:rPr>
                <w:b w:val="false"/>
                <w:bCs w:val="false"/>
                <w:color w:val="1A1A1A"/>
                <w:sz w:val="18"/>
                <w:szCs w:val="18"/>
              </w:rPr>
              <w:t xml:space="preserve">Build on this. Best prospecting asset available.</w:t>
            </w:r>
          </w:p>
        </w:tc>
      </w:tr>
      <w:tr>
        <w:tc>
          <w:tcPr>
            <w:tcW w:type="dxa" w:w="1800"/>
            <w:tcMar>
              <w:top w:type="dxa" w:w="90"/>
              <w:left w:type="dxa" w:w="120"/>
              <w:bottom w:type="dxa" w:w="90"/>
              <w:right w:type="dxa" w:w="120"/>
            </w:tcMar>
          </w:tcPr>
          <w:p>
            <w:pPr>
              <w:spacing w:after="0" w:line="250"/>
            </w:pPr>
            <w:r>
              <w:rPr>
                <w:b/>
                <w:bCs/>
                <w:color w:val="1A1A1A"/>
                <w:sz w:val="18"/>
                <w:szCs w:val="18"/>
              </w:rPr>
              <w:t xml:space="preserve">Government registries</w:t>
            </w:r>
          </w:p>
        </w:tc>
        <w:tc>
          <w:tcPr>
            <w:tcW w:type="dxa" w:w="1700"/>
            <w:tcMar>
              <w:top w:type="dxa" w:w="90"/>
              <w:left w:type="dxa" w:w="120"/>
              <w:bottom w:type="dxa" w:w="90"/>
              <w:right w:type="dxa" w:w="120"/>
            </w:tcMar>
          </w:tcPr>
          <w:p>
            <w:pPr>
              <w:spacing w:after="0" w:line="250"/>
            </w:pPr>
            <w:r>
              <w:rPr>
                <w:b w:val="false"/>
                <w:bCs w:val="false"/>
                <w:color w:val="1A1A1A"/>
                <w:sz w:val="18"/>
                <w:szCs w:val="18"/>
              </w:rPr>
              <w:t xml:space="preserve">Very high</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Low</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Low per-call API</w:t>
            </w:r>
          </w:p>
        </w:tc>
        <w:tc>
          <w:tcPr>
            <w:tcW w:type="dxa" w:w="2860"/>
            <w:tcMar>
              <w:top w:type="dxa" w:w="90"/>
              <w:left w:type="dxa" w:w="120"/>
              <w:bottom w:type="dxa" w:w="90"/>
              <w:right w:type="dxa" w:w="120"/>
            </w:tcMar>
          </w:tcPr>
          <w:p>
            <w:pPr>
              <w:spacing w:after="0" w:line="250"/>
            </w:pPr>
            <w:r>
              <w:rPr>
                <w:b w:val="false"/>
                <w:bCs w:val="false"/>
                <w:color w:val="1A1A1A"/>
                <w:sz w:val="18"/>
                <w:szCs w:val="18"/>
              </w:rPr>
              <w:t xml:space="preserve">The trust layer. Non-negotiable.</w:t>
            </w:r>
          </w:p>
        </w:tc>
      </w:tr>
      <w:tr>
        <w:tc>
          <w:tcPr>
            <w:tcW w:type="dxa" w:w="1800"/>
            <w:shd w:fill="F7F9FB" w:val="clear"/>
            <w:tcMar>
              <w:top w:type="dxa" w:w="90"/>
              <w:left w:type="dxa" w:w="120"/>
              <w:bottom w:type="dxa" w:w="90"/>
              <w:right w:type="dxa" w:w="120"/>
            </w:tcMar>
          </w:tcPr>
          <w:p>
            <w:pPr>
              <w:spacing w:after="0" w:line="250"/>
            </w:pPr>
            <w:r>
              <w:rPr>
                <w:b/>
                <w:bCs/>
                <w:color w:val="1A1A1A"/>
                <w:sz w:val="18"/>
                <w:szCs w:val="18"/>
              </w:rPr>
              <w:t xml:space="preserve">EPC / FIEO partnerships</w:t>
            </w:r>
          </w:p>
        </w:tc>
        <w:tc>
          <w:tcPr>
            <w:tcW w:type="dxa" w:w="1700"/>
            <w:shd w:fill="F7F9FB" w:val="clear"/>
            <w:tcMar>
              <w:top w:type="dxa" w:w="90"/>
              <w:left w:type="dxa" w:w="120"/>
              <w:bottom w:type="dxa" w:w="90"/>
              <w:right w:type="dxa" w:w="120"/>
            </w:tcMar>
          </w:tcPr>
          <w:p>
            <w:pPr>
              <w:spacing w:after="0" w:line="250"/>
            </w:pPr>
            <w:r>
              <w:rPr>
                <w:b w:val="false"/>
                <w:bCs w:val="false"/>
                <w:color w:val="1A1A1A"/>
                <w:sz w:val="18"/>
                <w:szCs w:val="18"/>
              </w:rPr>
              <w:t xml:space="preserve">High — consented</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Low</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Relationship effort</w:t>
            </w:r>
          </w:p>
        </w:tc>
        <w:tc>
          <w:tcPr>
            <w:tcW w:type="dxa" w:w="2860"/>
            <w:shd w:fill="F7F9FB" w:val="clear"/>
            <w:tcMar>
              <w:top w:type="dxa" w:w="90"/>
              <w:left w:type="dxa" w:w="120"/>
              <w:bottom w:type="dxa" w:w="90"/>
              <w:right w:type="dxa" w:w="120"/>
            </w:tcMar>
          </w:tcPr>
          <w:p>
            <w:pPr>
              <w:spacing w:after="0" w:line="250"/>
            </w:pPr>
            <w:r>
              <w:rPr>
                <w:b w:val="false"/>
                <w:bCs w:val="false"/>
                <w:color w:val="1A1A1A"/>
                <w:sz w:val="18"/>
                <w:szCs w:val="18"/>
              </w:rPr>
              <w:t xml:space="preserve">The cold-start unlock.</w:t>
            </w:r>
          </w:p>
        </w:tc>
      </w:tr>
      <w:tr>
        <w:tc>
          <w:tcPr>
            <w:tcW w:type="dxa" w:w="1800"/>
            <w:tcMar>
              <w:top w:type="dxa" w:w="90"/>
              <w:left w:type="dxa" w:w="120"/>
              <w:bottom w:type="dxa" w:w="90"/>
              <w:right w:type="dxa" w:w="120"/>
            </w:tcMar>
          </w:tcPr>
          <w:p>
            <w:pPr>
              <w:spacing w:after="0" w:line="250"/>
            </w:pPr>
            <w:r>
              <w:rPr>
                <w:b/>
                <w:bCs/>
                <w:color w:val="1A1A1A"/>
                <w:sz w:val="18"/>
                <w:szCs w:val="18"/>
              </w:rPr>
              <w:t xml:space="preserve">Direct sales</w:t>
            </w:r>
          </w:p>
        </w:tc>
        <w:tc>
          <w:tcPr>
            <w:tcW w:type="dxa" w:w="1700"/>
            <w:tcMar>
              <w:top w:type="dxa" w:w="90"/>
              <w:left w:type="dxa" w:w="120"/>
              <w:bottom w:type="dxa" w:w="90"/>
              <w:right w:type="dxa" w:w="120"/>
            </w:tcMar>
          </w:tcPr>
          <w:p>
            <w:pPr>
              <w:spacing w:after="0" w:line="250"/>
            </w:pPr>
            <w:r>
              <w:rPr>
                <w:b w:val="false"/>
                <w:bCs w:val="false"/>
                <w:color w:val="1A1A1A"/>
                <w:sz w:val="18"/>
                <w:szCs w:val="18"/>
              </w:rPr>
              <w:t xml:space="preserve">Highest — first party</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None</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High — people</w:t>
            </w:r>
          </w:p>
        </w:tc>
        <w:tc>
          <w:tcPr>
            <w:tcW w:type="dxa" w:w="2860"/>
            <w:tcMar>
              <w:top w:type="dxa" w:w="90"/>
              <w:left w:type="dxa" w:w="120"/>
              <w:bottom w:type="dxa" w:w="90"/>
              <w:right w:type="dxa" w:w="120"/>
            </w:tcMar>
          </w:tcPr>
          <w:p>
            <w:pPr>
              <w:spacing w:after="0" w:line="250"/>
            </w:pPr>
            <w:r>
              <w:rPr>
                <w:b w:val="false"/>
                <w:bCs w:val="false"/>
                <w:color w:val="1A1A1A"/>
                <w:sz w:val="18"/>
                <w:szCs w:val="18"/>
              </w:rPr>
              <w:t xml:space="preserve">The only way to the first thousand.</w:t>
            </w:r>
          </w:p>
        </w:tc>
      </w:tr>
      <w:tr>
        <w:tc>
          <w:tcPr>
            <w:tcW w:type="dxa" w:w="1800"/>
            <w:shd w:fill="F7F9FB" w:val="clear"/>
            <w:tcMar>
              <w:top w:type="dxa" w:w="90"/>
              <w:left w:type="dxa" w:w="120"/>
              <w:bottom w:type="dxa" w:w="90"/>
              <w:right w:type="dxa" w:w="120"/>
            </w:tcMar>
          </w:tcPr>
          <w:p>
            <w:pPr>
              <w:spacing w:after="0" w:line="250"/>
            </w:pPr>
            <w:r>
              <w:rPr>
                <w:b/>
                <w:bCs/>
                <w:color w:val="1A1A1A"/>
                <w:sz w:val="18"/>
                <w:szCs w:val="18"/>
              </w:rPr>
              <w:t xml:space="preserve">trade.gov APIs</w:t>
            </w:r>
          </w:p>
        </w:tc>
        <w:tc>
          <w:tcPr>
            <w:tcW w:type="dxa" w:w="1700"/>
            <w:shd w:fill="F7F9FB" w:val="clear"/>
            <w:tcMar>
              <w:top w:type="dxa" w:w="90"/>
              <w:left w:type="dxa" w:w="120"/>
              <w:bottom w:type="dxa" w:w="90"/>
              <w:right w:type="dxa" w:w="120"/>
            </w:tcMar>
          </w:tcPr>
          <w:p>
            <w:pPr>
              <w:spacing w:after="0" w:line="250"/>
            </w:pPr>
            <w:r>
              <w:rPr>
                <w:b w:val="false"/>
                <w:bCs w:val="false"/>
                <w:color w:val="1A1A1A"/>
                <w:sz w:val="18"/>
                <w:szCs w:val="18"/>
              </w:rPr>
              <w:t xml:space="preserve">High</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None</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Free</w:t>
            </w:r>
          </w:p>
        </w:tc>
        <w:tc>
          <w:tcPr>
            <w:tcW w:type="dxa" w:w="2860"/>
            <w:shd w:fill="F7F9FB" w:val="clear"/>
            <w:tcMar>
              <w:top w:type="dxa" w:w="90"/>
              <w:left w:type="dxa" w:w="120"/>
              <w:bottom w:type="dxa" w:w="90"/>
              <w:right w:type="dxa" w:w="120"/>
            </w:tcMar>
          </w:tcPr>
          <w:p>
            <w:pPr>
              <w:spacing w:after="0" w:line="250"/>
            </w:pPr>
            <w:r>
              <w:rPr>
                <w:b w:val="false"/>
                <w:bCs w:val="false"/>
                <w:color w:val="1A1A1A"/>
                <w:sz w:val="18"/>
                <w:szCs w:val="18"/>
              </w:rPr>
              <w:t xml:space="preserve">Use immediately. Compliance plus content.</w:t>
            </w:r>
          </w:p>
        </w:tc>
      </w:tr>
    </w:tbl>
    <w:p>
      <w:r>
        <w:br w:type="page"/>
      </w:r>
    </w:p>
    <w:p>
      <w:pPr>
        <w:pStyle w:val="Heading1"/>
        <w:spacing w:after="200" w:before="400"/>
      </w:pPr>
      <w:r>
        <w:rPr>
          <w:b/>
          <w:bCs/>
          <w:color w:val="0F4C81"/>
          <w:sz w:val="32"/>
          <w:szCs w:val="32"/>
        </w:rPr>
        <w:t xml:space="preserve">4.  The price problem nobody solves well</w:t>
      </w:r>
    </w:p>
    <w:p>
      <w:pPr>
        <w:spacing w:after="120" w:line="276"/>
      </w:pPr>
      <w:r>
        <w:rPr>
          <w:color w:val="1A1A1A"/>
          <w:sz w:val="21"/>
          <w:szCs w:val="21"/>
        </w:rPr>
        <w:t xml:space="preserve">You said prices have to be displayed. That is the right ambition and it is the hardest single requirement in the brief, because an export price is not a number.</w:t>
      </w:r>
    </w:p>
    <w:p>
      <w:pPr>
        <w:pStyle w:val="Heading2"/>
        <w:spacing w:after="140" w:before="320"/>
      </w:pPr>
      <w:r>
        <w:rPr>
          <w:b/>
          <w:bCs/>
          <w:color w:val="1A1A1A"/>
          <w:sz w:val="25"/>
          <w:szCs w:val="25"/>
        </w:rPr>
        <w:t xml:space="preserve">4.1  Why one number cannot work</w:t>
      </w:r>
    </w:p>
    <w:tbl>
      <w:tblPr>
        <w:tblW w:type="dxa" w:w="9360"/>
        <w:tblBorders>
          <w:top w:val="single" w:color="0F4C81" w:sz="4"/>
          <w:left w:val="none"/>
          <w:bottom w:val="single" w:color="0F4C81" w:sz="4"/>
          <w:right w:val="none"/>
          <w:insideH w:val="single" w:color="C7CDD4" w:sz="2"/>
          <w:insideV w:val="none"/>
        </w:tblBorders>
      </w:tblPr>
      <w:tblGrid>
        <w:gridCol w:w="2200"/>
        <w:gridCol w:w="7160"/>
      </w:tblGrid>
      <w:tr>
        <w:trPr>
          <w:tblHeader/>
        </w:trPr>
        <w:tc>
          <w:tcPr>
            <w:tcW w:type="dxa" w:w="2200"/>
            <w:shd w:fill="EEF2F6" w:val="clear"/>
            <w:tcMar>
              <w:top w:type="dxa" w:w="100"/>
              <w:left w:type="dxa" w:w="120"/>
              <w:bottom w:type="dxa" w:w="100"/>
              <w:right w:type="dxa" w:w="120"/>
            </w:tcMar>
          </w:tcPr>
          <w:p>
            <w:pPr>
              <w:spacing w:after="0"/>
            </w:pPr>
            <w:r>
              <w:rPr>
                <w:b/>
                <w:bCs/>
                <w:color w:val="0F4C81"/>
                <w:sz w:val="18"/>
                <w:szCs w:val="18"/>
              </w:rPr>
              <w:t xml:space="preserve">Dimension</w:t>
            </w:r>
          </w:p>
        </w:tc>
        <w:tc>
          <w:tcPr>
            <w:tcW w:type="dxa" w:w="7160"/>
            <w:shd w:fill="EEF2F6" w:val="clear"/>
            <w:tcMar>
              <w:top w:type="dxa" w:w="100"/>
              <w:left w:type="dxa" w:w="120"/>
              <w:bottom w:type="dxa" w:w="100"/>
              <w:right w:type="dxa" w:w="120"/>
            </w:tcMar>
          </w:tcPr>
          <w:p>
            <w:pPr>
              <w:spacing w:after="0"/>
            </w:pPr>
            <w:r>
              <w:rPr>
                <w:b/>
                <w:bCs/>
                <w:color w:val="0F4C81"/>
                <w:sz w:val="18"/>
                <w:szCs w:val="18"/>
              </w:rPr>
              <w:t xml:space="preserve">Effect</w:t>
            </w:r>
          </w:p>
        </w:tc>
      </w:tr>
      <w:tr>
        <w:tc>
          <w:tcPr>
            <w:tcW w:type="dxa" w:w="2200"/>
            <w:tcMar>
              <w:top w:type="dxa" w:w="90"/>
              <w:left w:type="dxa" w:w="120"/>
              <w:bottom w:type="dxa" w:w="90"/>
              <w:right w:type="dxa" w:w="120"/>
            </w:tcMar>
          </w:tcPr>
          <w:p>
            <w:pPr>
              <w:spacing w:after="0" w:line="250"/>
            </w:pPr>
            <w:r>
              <w:rPr>
                <w:b/>
                <w:bCs/>
                <w:color w:val="1A1A1A"/>
                <w:sz w:val="18"/>
                <w:szCs w:val="18"/>
              </w:rPr>
              <w:t xml:space="preserve">Quantity</w:t>
            </w:r>
          </w:p>
        </w:tc>
        <w:tc>
          <w:tcPr>
            <w:tcW w:type="dxa" w:w="7160"/>
            <w:tcMar>
              <w:top w:type="dxa" w:w="90"/>
              <w:left w:type="dxa" w:w="120"/>
              <w:bottom w:type="dxa" w:w="90"/>
              <w:right w:type="dxa" w:w="120"/>
            </w:tcMar>
          </w:tcPr>
          <w:p>
            <w:pPr>
              <w:spacing w:after="0" w:line="250"/>
            </w:pPr>
            <w:r>
              <w:rPr>
                <w:b w:val="false"/>
                <w:bCs w:val="false"/>
                <w:color w:val="1A1A1A"/>
                <w:sz w:val="18"/>
                <w:szCs w:val="18"/>
              </w:rPr>
              <w:t xml:space="preserve">Export pricing is tiered around a minimum order quantity. The price at 500 units and at 50,000 units are different businesses, not a discount.</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Incoterm</w:t>
            </w:r>
          </w:p>
        </w:tc>
        <w:tc>
          <w:tcPr>
            <w:tcW w:type="dxa" w:w="7160"/>
            <w:shd w:fill="F7F9FB" w:val="clear"/>
            <w:tcMar>
              <w:top w:type="dxa" w:w="90"/>
              <w:left w:type="dxa" w:w="120"/>
              <w:bottom w:type="dxa" w:w="90"/>
              <w:right w:type="dxa" w:w="120"/>
            </w:tcMar>
          </w:tcPr>
          <w:p>
            <w:pPr>
              <w:spacing w:after="0" w:line="250"/>
            </w:pPr>
            <w:r>
              <w:rPr>
                <w:b w:val="false"/>
                <w:bCs w:val="false"/>
                <w:color w:val="1A1A1A"/>
                <w:sz w:val="18"/>
                <w:szCs w:val="18"/>
              </w:rPr>
              <w:t xml:space="preserve">Ex-works, free-on-board, cost-insurance-freight and delivered-duty-paid describe different bundles of cost and risk. The same goods can differ by tens of per cent between them. A price without an Incoterm is meaningless.</w:t>
            </w:r>
          </w:p>
        </w:tc>
      </w:tr>
      <w:tr>
        <w:tc>
          <w:tcPr>
            <w:tcW w:type="dxa" w:w="2200"/>
            <w:tcMar>
              <w:top w:type="dxa" w:w="90"/>
              <w:left w:type="dxa" w:w="120"/>
              <w:bottom w:type="dxa" w:w="90"/>
              <w:right w:type="dxa" w:w="120"/>
            </w:tcMar>
          </w:tcPr>
          <w:p>
            <w:pPr>
              <w:spacing w:after="0" w:line="250"/>
            </w:pPr>
            <w:r>
              <w:rPr>
                <w:b/>
                <w:bCs/>
                <w:color w:val="1A1A1A"/>
                <w:sz w:val="18"/>
                <w:szCs w:val="18"/>
              </w:rPr>
              <w:t xml:space="preserve">Currency and validity</w:t>
            </w:r>
          </w:p>
        </w:tc>
        <w:tc>
          <w:tcPr>
            <w:tcW w:type="dxa" w:w="7160"/>
            <w:tcMar>
              <w:top w:type="dxa" w:w="90"/>
              <w:left w:type="dxa" w:w="120"/>
              <w:bottom w:type="dxa" w:w="90"/>
              <w:right w:type="dxa" w:w="120"/>
            </w:tcMar>
          </w:tcPr>
          <w:p>
            <w:pPr>
              <w:spacing w:after="0" w:line="250"/>
            </w:pPr>
            <w:r>
              <w:rPr>
                <w:b w:val="false"/>
                <w:bCs w:val="false"/>
                <w:color w:val="1A1A1A"/>
                <w:sz w:val="18"/>
                <w:szCs w:val="18"/>
              </w:rPr>
              <w:t xml:space="preserve">Quoted in rupees or dollars, and valid for a stated period. Raw material and freight movements make a six-month-old quote fiction.</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Specification</w:t>
            </w:r>
          </w:p>
        </w:tc>
        <w:tc>
          <w:tcPr>
            <w:tcW w:type="dxa" w:w="7160"/>
            <w:shd w:fill="F7F9FB" w:val="clear"/>
            <w:tcMar>
              <w:top w:type="dxa" w:w="90"/>
              <w:left w:type="dxa" w:w="120"/>
              <w:bottom w:type="dxa" w:w="90"/>
              <w:right w:type="dxa" w:w="120"/>
            </w:tcMar>
          </w:tcPr>
          <w:p>
            <w:pPr>
              <w:spacing w:after="0" w:line="250"/>
            </w:pPr>
            <w:r>
              <w:rPr>
                <w:b w:val="false"/>
                <w:bCs w:val="false"/>
                <w:color w:val="1A1A1A"/>
                <w:sz w:val="18"/>
                <w:szCs w:val="18"/>
              </w:rPr>
              <w:t xml:space="preserve">Material grade, finish, packaging, certification and private labelling all move price. "Cotton t-shirt" is not a product.</w:t>
            </w:r>
          </w:p>
        </w:tc>
      </w:tr>
      <w:tr>
        <w:tc>
          <w:tcPr>
            <w:tcW w:type="dxa" w:w="2200"/>
            <w:tcMar>
              <w:top w:type="dxa" w:w="90"/>
              <w:left w:type="dxa" w:w="120"/>
              <w:bottom w:type="dxa" w:w="90"/>
              <w:right w:type="dxa" w:w="120"/>
            </w:tcMar>
          </w:tcPr>
          <w:p>
            <w:pPr>
              <w:spacing w:after="0" w:line="250"/>
            </w:pPr>
            <w:r>
              <w:rPr>
                <w:b/>
                <w:bCs/>
                <w:color w:val="1A1A1A"/>
                <w:sz w:val="18"/>
                <w:szCs w:val="18"/>
              </w:rPr>
              <w:t xml:space="preserve">Duty</w:t>
            </w:r>
          </w:p>
        </w:tc>
        <w:tc>
          <w:tcPr>
            <w:tcW w:type="dxa" w:w="7160"/>
            <w:tcMar>
              <w:top w:type="dxa" w:w="90"/>
              <w:left w:type="dxa" w:w="120"/>
              <w:bottom w:type="dxa" w:w="90"/>
              <w:right w:type="dxa" w:w="120"/>
            </w:tcMar>
          </w:tcPr>
          <w:p>
            <w:pPr>
              <w:spacing w:after="0" w:line="250"/>
            </w:pPr>
            <w:r>
              <w:rPr>
                <w:b w:val="false"/>
                <w:bCs w:val="false"/>
                <w:color w:val="1A1A1A"/>
                <w:sz w:val="18"/>
                <w:szCs w:val="18"/>
              </w:rPr>
              <w:t xml:space="preserve">The delivered cost to a US buyer includes the tariff on that classification from that origin — frequently the largest single line after the goods themselves.</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Commercial secrecy</w:t>
            </w:r>
          </w:p>
        </w:tc>
        <w:tc>
          <w:tcPr>
            <w:tcW w:type="dxa" w:w="7160"/>
            <w:shd w:fill="F7F9FB" w:val="clear"/>
            <w:tcMar>
              <w:top w:type="dxa" w:w="90"/>
              <w:left w:type="dxa" w:w="120"/>
              <w:bottom w:type="dxa" w:w="90"/>
              <w:right w:type="dxa" w:w="120"/>
            </w:tcMar>
          </w:tcPr>
          <w:p>
            <w:pPr>
              <w:spacing w:after="0" w:line="250"/>
            </w:pPr>
            <w:r>
              <w:rPr>
                <w:b w:val="false"/>
                <w:bCs w:val="false"/>
                <w:color w:val="1A1A1A"/>
                <w:sz w:val="18"/>
                <w:szCs w:val="18"/>
              </w:rPr>
              <w:t xml:space="preserve">Many exporters will not publish real prices where competitors and existing customers can see them. This is a genuine objection, not reluctance to be overcome.</w:t>
            </w:r>
          </w:p>
        </w:tc>
      </w:tr>
    </w:tbl>
    <w:p>
      <w:pPr>
        <w:pStyle w:val="Heading2"/>
        <w:spacing w:after="140" w:before="320"/>
      </w:pPr>
      <w:r>
        <w:rPr>
          <w:b/>
          <w:bCs/>
          <w:color w:val="1A1A1A"/>
          <w:sz w:val="25"/>
          <w:szCs w:val="25"/>
        </w:rPr>
        <w:t xml:space="preserve">4.2  The model that works</w:t>
      </w:r>
    </w:p>
    <w:p>
      <w:pPr>
        <w:spacing w:after="120" w:line="276"/>
      </w:pPr>
      <w:r>
        <w:rPr>
          <w:color w:val="1A1A1A"/>
          <w:sz w:val="21"/>
          <w:szCs w:val="21"/>
        </w:rPr>
        <w:t xml:space="preserve">Three tiers of price disclosure, chosen by the vendor per listing. Everything is public at the band level; precision is earned.</w:t>
      </w:r>
    </w:p>
    <w:tbl>
      <w:tblPr>
        <w:tblW w:type="dxa" w:w="9360"/>
        <w:tblBorders>
          <w:top w:val="single" w:color="0F4C81" w:sz="4"/>
          <w:left w:val="none"/>
          <w:bottom w:val="single" w:color="0F4C81" w:sz="4"/>
          <w:right w:val="none"/>
          <w:insideH w:val="single" w:color="C7CDD4" w:sz="2"/>
          <w:insideV w:val="none"/>
        </w:tblBorders>
      </w:tblPr>
      <w:tblGrid>
        <w:gridCol w:w="2100"/>
        <w:gridCol w:w="3600"/>
        <w:gridCol w:w="3660"/>
      </w:tblGrid>
      <w:tr>
        <w:trPr>
          <w:tblHeader/>
        </w:trPr>
        <w:tc>
          <w:tcPr>
            <w:tcW w:type="dxa" w:w="2100"/>
            <w:shd w:fill="EEF2F6" w:val="clear"/>
            <w:tcMar>
              <w:top w:type="dxa" w:w="100"/>
              <w:left w:type="dxa" w:w="120"/>
              <w:bottom w:type="dxa" w:w="100"/>
              <w:right w:type="dxa" w:w="120"/>
            </w:tcMar>
          </w:tcPr>
          <w:p>
            <w:pPr>
              <w:spacing w:after="0"/>
            </w:pPr>
            <w:r>
              <w:rPr>
                <w:b/>
                <w:bCs/>
                <w:color w:val="0F4C81"/>
                <w:sz w:val="18"/>
                <w:szCs w:val="18"/>
              </w:rPr>
              <w:t xml:space="preserve">Tier</w:t>
            </w:r>
          </w:p>
        </w:tc>
        <w:tc>
          <w:tcPr>
            <w:tcW w:type="dxa" w:w="3600"/>
            <w:shd w:fill="EEF2F6" w:val="clear"/>
            <w:tcMar>
              <w:top w:type="dxa" w:w="100"/>
              <w:left w:type="dxa" w:w="120"/>
              <w:bottom w:type="dxa" w:w="100"/>
              <w:right w:type="dxa" w:w="120"/>
            </w:tcMar>
          </w:tcPr>
          <w:p>
            <w:pPr>
              <w:spacing w:after="0"/>
            </w:pPr>
            <w:r>
              <w:rPr>
                <w:b/>
                <w:bCs/>
                <w:color w:val="0F4C81"/>
                <w:sz w:val="18"/>
                <w:szCs w:val="18"/>
              </w:rPr>
              <w:t xml:space="preserve">What the buyer sees publicly</w:t>
            </w:r>
          </w:p>
        </w:tc>
        <w:tc>
          <w:tcPr>
            <w:tcW w:type="dxa" w:w="3660"/>
            <w:shd w:fill="EEF2F6" w:val="clear"/>
            <w:tcMar>
              <w:top w:type="dxa" w:w="100"/>
              <w:left w:type="dxa" w:w="120"/>
              <w:bottom w:type="dxa" w:w="100"/>
              <w:right w:type="dxa" w:w="120"/>
            </w:tcMar>
          </w:tcPr>
          <w:p>
            <w:pPr>
              <w:spacing w:after="0"/>
            </w:pPr>
            <w:r>
              <w:rPr>
                <w:b/>
                <w:bCs/>
                <w:color w:val="0F4C81"/>
                <w:sz w:val="18"/>
                <w:szCs w:val="18"/>
              </w:rPr>
              <w:t xml:space="preserve">When to use</w:t>
            </w:r>
          </w:p>
        </w:tc>
      </w:tr>
      <w:tr>
        <w:tc>
          <w:tcPr>
            <w:tcW w:type="dxa" w:w="2100"/>
            <w:tcMar>
              <w:top w:type="dxa" w:w="90"/>
              <w:left w:type="dxa" w:w="120"/>
              <w:bottom w:type="dxa" w:w="90"/>
              <w:right w:type="dxa" w:w="120"/>
            </w:tcMar>
          </w:tcPr>
          <w:p>
            <w:pPr>
              <w:spacing w:after="0" w:line="250"/>
            </w:pPr>
            <w:r>
              <w:rPr>
                <w:b/>
                <w:bCs/>
                <w:color w:val="1A1A1A"/>
                <w:sz w:val="18"/>
                <w:szCs w:val="18"/>
              </w:rPr>
              <w:t xml:space="preserve">Published price</w:t>
            </w:r>
          </w:p>
        </w:tc>
        <w:tc>
          <w:tcPr>
            <w:tcW w:type="dxa" w:w="3600"/>
            <w:tcMar>
              <w:top w:type="dxa" w:w="90"/>
              <w:left w:type="dxa" w:w="120"/>
              <w:bottom w:type="dxa" w:w="90"/>
              <w:right w:type="dxa" w:w="120"/>
            </w:tcMar>
          </w:tcPr>
          <w:p>
            <w:pPr>
              <w:spacing w:after="0" w:line="250"/>
            </w:pPr>
            <w:r>
              <w:rPr>
                <w:b w:val="false"/>
                <w:bCs w:val="false"/>
                <w:color w:val="1A1A1A"/>
                <w:sz w:val="18"/>
                <w:szCs w:val="18"/>
              </w:rPr>
              <w:t xml:space="preserve">Exact price per quantity tier, Incoterm-qualified, with currency and a validity date.</w:t>
            </w:r>
          </w:p>
        </w:tc>
        <w:tc>
          <w:tcPr>
            <w:tcW w:type="dxa" w:w="3660"/>
            <w:tcMar>
              <w:top w:type="dxa" w:w="90"/>
              <w:left w:type="dxa" w:w="120"/>
              <w:bottom w:type="dxa" w:w="90"/>
              <w:right w:type="dxa" w:w="120"/>
            </w:tcMar>
          </w:tcPr>
          <w:p>
            <w:pPr>
              <w:spacing w:after="0" w:line="250"/>
            </w:pPr>
            <w:r>
              <w:rPr>
                <w:b w:val="false"/>
                <w:bCs w:val="false"/>
                <w:color w:val="1A1A1A"/>
                <w:sz w:val="18"/>
                <w:szCs w:val="18"/>
              </w:rPr>
              <w:t xml:space="preserve">Commodity-like goods with stable pricing. The minority, but the most valuable listings for search.</w:t>
            </w:r>
          </w:p>
        </w:tc>
      </w:tr>
      <w:tr>
        <w:tc>
          <w:tcPr>
            <w:tcW w:type="dxa" w:w="2100"/>
            <w:shd w:fill="F7F9FB" w:val="clear"/>
            <w:tcMar>
              <w:top w:type="dxa" w:w="90"/>
              <w:left w:type="dxa" w:w="120"/>
              <w:bottom w:type="dxa" w:w="90"/>
              <w:right w:type="dxa" w:w="120"/>
            </w:tcMar>
          </w:tcPr>
          <w:p>
            <w:pPr>
              <w:spacing w:after="0" w:line="250"/>
            </w:pPr>
            <w:r>
              <w:rPr>
                <w:b/>
                <w:bCs/>
                <w:color w:val="1A1A1A"/>
                <w:sz w:val="18"/>
                <w:szCs w:val="18"/>
              </w:rPr>
              <w:t xml:space="preserve">Indicative band</w:t>
            </w:r>
          </w:p>
        </w:tc>
        <w:tc>
          <w:tcPr>
            <w:tcW w:type="dxa" w:w="3600"/>
            <w:shd w:fill="F7F9FB" w:val="clear"/>
            <w:tcMar>
              <w:top w:type="dxa" w:w="90"/>
              <w:left w:type="dxa" w:w="120"/>
              <w:bottom w:type="dxa" w:w="90"/>
              <w:right w:type="dxa" w:w="120"/>
            </w:tcMar>
          </w:tcPr>
          <w:p>
            <w:pPr>
              <w:spacing w:after="0" w:line="250"/>
            </w:pPr>
            <w:r>
              <w:rPr>
                <w:b w:val="false"/>
                <w:bCs w:val="false"/>
                <w:color w:val="1A1A1A"/>
                <w:sz w:val="18"/>
                <w:szCs w:val="18"/>
              </w:rPr>
              <w:t xml:space="preserve">A range — "$4.20–$5.80 per unit, FOB Nhava Sheva, 1,000 unit minimum, indicative, updated August 2026."</w:t>
            </w:r>
          </w:p>
        </w:tc>
        <w:tc>
          <w:tcPr>
            <w:tcW w:type="dxa" w:w="3660"/>
            <w:shd w:fill="F7F9FB" w:val="clear"/>
            <w:tcMar>
              <w:top w:type="dxa" w:w="90"/>
              <w:left w:type="dxa" w:w="120"/>
              <w:bottom w:type="dxa" w:w="90"/>
              <w:right w:type="dxa" w:w="120"/>
            </w:tcMar>
          </w:tcPr>
          <w:p>
            <w:pPr>
              <w:spacing w:after="0" w:line="250"/>
            </w:pPr>
            <w:r>
              <w:rPr>
                <w:b w:val="false"/>
                <w:bCs w:val="false"/>
                <w:color w:val="1A1A1A"/>
                <w:sz w:val="18"/>
                <w:szCs w:val="18"/>
              </w:rPr>
              <w:t xml:space="preserve">The default and the workhorse. Enough for a buyer to qualify or reject, vague enough that the vendor will agree to it.</w:t>
            </w:r>
          </w:p>
        </w:tc>
      </w:tr>
      <w:tr>
        <w:tc>
          <w:tcPr>
            <w:tcW w:type="dxa" w:w="2100"/>
            <w:tcMar>
              <w:top w:type="dxa" w:w="90"/>
              <w:left w:type="dxa" w:w="120"/>
              <w:bottom w:type="dxa" w:w="90"/>
              <w:right w:type="dxa" w:w="120"/>
            </w:tcMar>
          </w:tcPr>
          <w:p>
            <w:pPr>
              <w:spacing w:after="0" w:line="250"/>
            </w:pPr>
            <w:r>
              <w:rPr>
                <w:b/>
                <w:bCs/>
                <w:color w:val="1A1A1A"/>
                <w:sz w:val="18"/>
                <w:szCs w:val="18"/>
              </w:rPr>
              <w:t xml:space="preserve">Quote on request</w:t>
            </w:r>
          </w:p>
        </w:tc>
        <w:tc>
          <w:tcPr>
            <w:tcW w:type="dxa" w:w="3600"/>
            <w:tcMar>
              <w:top w:type="dxa" w:w="90"/>
              <w:left w:type="dxa" w:w="120"/>
              <w:bottom w:type="dxa" w:w="90"/>
              <w:right w:type="dxa" w:w="120"/>
            </w:tcMar>
          </w:tcPr>
          <w:p>
            <w:pPr>
              <w:spacing w:after="0" w:line="250"/>
            </w:pPr>
            <w:r>
              <w:rPr>
                <w:b w:val="false"/>
                <w:bCs w:val="false"/>
                <w:color w:val="1A1A1A"/>
                <w:sz w:val="18"/>
                <w:szCs w:val="18"/>
              </w:rPr>
              <w:t xml:space="preserve">Category price context derived from comparable listings, plus a clear request-for-quote path.</w:t>
            </w:r>
          </w:p>
        </w:tc>
        <w:tc>
          <w:tcPr>
            <w:tcW w:type="dxa" w:w="3660"/>
            <w:tcMar>
              <w:top w:type="dxa" w:w="90"/>
              <w:left w:type="dxa" w:w="120"/>
              <w:bottom w:type="dxa" w:w="90"/>
              <w:right w:type="dxa" w:w="120"/>
            </w:tcMar>
          </w:tcPr>
          <w:p>
            <w:pPr>
              <w:spacing w:after="0" w:line="250"/>
            </w:pPr>
            <w:r>
              <w:rPr>
                <w:b w:val="false"/>
                <w:bCs w:val="false"/>
                <w:color w:val="1A1A1A"/>
                <w:sz w:val="18"/>
                <w:szCs w:val="18"/>
              </w:rPr>
              <w:t xml:space="preserve">Bespoke, engineered or regulated goods. Never show a blank — always show the category context.</w:t>
            </w:r>
          </w:p>
        </w:tc>
      </w:tr>
    </w:tbl>
    <w:p>
      <w:pPr>
        <w:spacing w:after="80"/>
      </w:pPr>
    </w:p>
    <w:tbl>
      <w:tblPr>
        <w:tblW w:type="dxa" w:w="9360"/>
        <w:tblBorders>
          <w:top w:val="single" w:color="C7CDD4" w:sz="2"/>
          <w:left w:val="single" w:color="0F4C81" w:sz="18"/>
          <w:bottom w:val="single" w:color="C7CDD4" w:sz="2"/>
          <w:right w:val="single" w:color="C7CDD4" w:sz="2"/>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60"/>
            </w:pPr>
            <w:r>
              <w:rPr>
                <w:b/>
                <w:bCs/>
                <w:color w:val="0F4C81"/>
                <w:sz w:val="17"/>
                <w:szCs w:val="17"/>
              </w:rPr>
              <w:t xml:space="preserve">NEVER RENDER AN EMPTY PRICE</w:t>
            </w:r>
          </w:p>
          <w:p>
            <w:pPr>
              <w:spacing w:after="0" w:line="276"/>
            </w:pPr>
            <w:r>
              <w:rPr>
                <w:color w:val="1A1A1A"/>
                <w:sz w:val="21"/>
                <w:szCs w:val="21"/>
              </w:rPr>
              <w:t xml:space="preserve">A listing with no price is a dead end and it teaches buyers the site is unreliable. Where a vendor will not publish, show a derived range from comparable verified listings in the same classification, labelled as an estimate from similar products rather than as that vendor's price. Coverage matters more than precision: a buyer can act on a range and cannot act on a blank.</w:t>
            </w:r>
          </w:p>
        </w:tc>
      </w:tr>
    </w:tbl>
    <w:p>
      <w:pPr>
        <w:pStyle w:val="Heading2"/>
        <w:spacing w:after="140" w:before="320"/>
      </w:pPr>
      <w:r>
        <w:rPr>
          <w:b/>
          <w:bCs/>
          <w:color w:val="1A1A1A"/>
          <w:sz w:val="25"/>
          <w:szCs w:val="25"/>
        </w:rPr>
        <w:t xml:space="preserve">4.3  The landed-cost layer</w:t>
      </w:r>
    </w:p>
    <w:p>
      <w:pPr>
        <w:spacing w:after="120" w:line="276"/>
      </w:pPr>
      <w:r>
        <w:rPr>
          <w:color w:val="1A1A1A"/>
          <w:sz w:val="21"/>
          <w:szCs w:val="21"/>
        </w:rPr>
        <w:t xml:space="preserve">This is where the platform stops being a directory. Every price is shown twice: what the vendor charges, and what it costs the buyer at their own door.</w:t>
      </w:r>
    </w:p>
    <w:tbl>
      <w:tblPr>
        <w:tblW w:type="dxa" w:w="9360"/>
        <w:tblBorders>
          <w:top w:val="single" w:color="C7CDD4" w:sz="2"/>
          <w:left w:val="single" w:color="C7CDD4" w:sz="2"/>
          <w:bottom w:val="single" w:color="C7CDD4" w:sz="2"/>
          <w:right w:val="single" w:color="C7CDD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0" w:line="240"/>
            </w:pPr>
            <w:r>
              <w:rPr>
                <w:rFonts w:ascii="Consolas" w:cs="Consolas" w:eastAsia="Consolas" w:hAnsi="Consolas"/>
                <w:color w:val="20303F"/>
                <w:sz w:val="17"/>
                <w:szCs w:val="17"/>
              </w:rPr>
              <w:t xml:space="preserve">VENDOR PRICE      $4.60 / unit   FOB Nhava Sheva   MOQ 1,000</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Ocean freight     $0.41          estimated, 20ft container, Nhava Sheva → LA</w:t>
            </w:r>
          </w:p>
          <w:p>
            <w:pPr>
              <w:spacing w:after="0" w:line="240"/>
            </w:pPr>
            <w:r>
              <w:rPr>
                <w:rFonts w:ascii="Consolas" w:cs="Consolas" w:eastAsia="Consolas" w:hAnsi="Consolas"/>
                <w:color w:val="20303F"/>
                <w:sz w:val="17"/>
                <w:szCs w:val="17"/>
              </w:rPr>
              <w:t xml:space="preserve">Insurance         $0.05</w:t>
            </w:r>
          </w:p>
          <w:p>
            <w:pPr>
              <w:spacing w:after="0" w:line="240"/>
            </w:pPr>
            <w:r>
              <w:rPr>
                <w:rFonts w:ascii="Consolas" w:cs="Consolas" w:eastAsia="Consolas" w:hAnsi="Consolas"/>
                <w:color w:val="20303F"/>
                <w:sz w:val="17"/>
                <w:szCs w:val="17"/>
              </w:rPr>
              <w:t xml:space="preserve">Duty              $0.44          HTS 6912.00.4810, India origin</w:t>
            </w:r>
          </w:p>
          <w:p>
            <w:pPr>
              <w:spacing w:after="0" w:line="240"/>
            </w:pPr>
            <w:r>
              <w:rPr>
                <w:rFonts w:ascii="Consolas" w:cs="Consolas" w:eastAsia="Consolas" w:hAnsi="Consolas"/>
                <w:color w:val="20303F"/>
                <w:sz w:val="17"/>
                <w:szCs w:val="17"/>
              </w:rPr>
              <w:t xml:space="preserve">                                 verified against the tariff schedule, dated</w:t>
            </w:r>
          </w:p>
          <w:p>
            <w:pPr>
              <w:spacing w:after="0" w:line="240"/>
            </w:pPr>
            <w:r>
              <w:rPr>
                <w:rFonts w:ascii="Consolas" w:cs="Consolas" w:eastAsia="Consolas" w:hAnsi="Consolas"/>
                <w:color w:val="20303F"/>
                <w:sz w:val="17"/>
                <w:szCs w:val="17"/>
              </w:rPr>
              <w:t xml:space="preserve">Federal fees      $0.02          processing and harbour fees</w:t>
            </w:r>
          </w:p>
          <w:p>
            <w:pPr>
              <w:spacing w:after="0" w:line="240"/>
            </w:pPr>
            <w:r>
              <w:rPr>
                <w:rFonts w:ascii="Consolas" w:cs="Consolas" w:eastAsia="Consolas" w:hAnsi="Consolas"/>
                <w:color w:val="20303F"/>
                <w:sz w:val="17"/>
                <w:szCs w:val="17"/>
              </w:rPr>
              <w:t xml:space="preserve">Brokerage         $0.06          estimated</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LANDED            $5.58 / unit   delivered Los Angeles     +21.3%</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  Duty component sourced and dated. Freight and brokerage are estimates.</w:t>
            </w:r>
          </w:p>
          <w:p>
            <w:pPr>
              <w:spacing w:after="0" w:line="240"/>
            </w:pPr>
            <w:r>
              <w:rPr>
                <w:rFonts w:ascii="Consolas" w:cs="Consolas" w:eastAsia="Consolas" w:hAnsi="Consolas"/>
                <w:color w:val="20303F"/>
                <w:sz w:val="17"/>
                <w:szCs w:val="17"/>
              </w:rPr>
              <w:t xml:space="preserve">  Advisory only — not a binding classification ruling.</w:t>
            </w:r>
          </w:p>
        </w:tc>
      </w:tr>
    </w:tbl>
    <w:p>
      <w:pPr>
        <w:spacing w:after="80"/>
      </w:pPr>
    </w:p>
    <w:p>
      <w:pPr>
        <w:spacing w:after="120" w:line="276"/>
      </w:pPr>
      <w:r>
        <w:rPr>
          <w:color w:val="1A1A1A"/>
          <w:sz w:val="21"/>
          <w:szCs w:val="21"/>
        </w:rPr>
        <w:t xml:space="preserve">No competitor in this corridor does this. It converts the site from a place to find suppliers into a place to make a buying decision, it is the reason a buyer returns, and it is the reason they will accept a gated contact flow to get it. The engine that produces the duty line is the Export-to-Entry Agent already specified in this repository — the same classification stage, the same duty research stage, the same discipline of citing and dating every rate and returning null rather than guessing.</w:t>
      </w:r>
    </w:p>
    <w:p>
      <w:pPr>
        <w:spacing w:after="120" w:line="276"/>
      </w:pPr>
      <w:r>
        <w:rPr>
          <w:color w:val="1A1A1A"/>
          <w:sz w:val="21"/>
          <w:szCs w:val="21"/>
        </w:rPr>
        <w:t xml:space="preserve">The economics work because the expensive half of that engine caches across the whole catalogue. Duty research is keyed by tariff code and origin, and here the origin is always India — so every listing under the same classification shares one researched duty stack. A catalogue of fifty thousand listings might span only a few thousand distinct classifications. The marginal cost per listing approaches zero.</w:t>
      </w:r>
    </w:p>
    <w:p>
      <w:r>
        <w:br w:type="page"/>
      </w:r>
    </w:p>
    <w:p>
      <w:pPr>
        <w:pStyle w:val="Heading1"/>
        <w:spacing w:after="200" w:before="400"/>
      </w:pPr>
      <w:r>
        <w:rPr>
          <w:b/>
          <w:bCs/>
          <w:color w:val="0F4C81"/>
          <w:sz w:val="32"/>
          <w:szCs w:val="32"/>
        </w:rPr>
        <w:t xml:space="preserve">5.  Whether to show contact details openly</w:t>
      </w:r>
    </w:p>
    <w:p>
      <w:pPr>
        <w:spacing w:after="120" w:line="276"/>
      </w:pPr>
      <w:r>
        <w:rPr>
          <w:color w:val="1A1A1A"/>
          <w:sz w:val="21"/>
          <w:szCs w:val="21"/>
        </w:rPr>
        <w:t xml:space="preserve">Your brief says the buyer gets the vendor's contact information. The question is whether that is public on the page or released on enquiry. It should be released on enquiry, for three independent reasons.</w:t>
      </w:r>
    </w:p>
    <w:tbl>
      <w:tblPr>
        <w:tblW w:type="dxa" w:w="9360"/>
        <w:tblBorders>
          <w:top w:val="single" w:color="0F4C81" w:sz="4"/>
          <w:left w:val="none"/>
          <w:bottom w:val="single" w:color="0F4C81" w:sz="4"/>
          <w:right w:val="none"/>
          <w:insideH w:val="single" w:color="C7CDD4" w:sz="2"/>
          <w:insideV w:val="none"/>
        </w:tblBorders>
      </w:tblPr>
      <w:tblGrid>
        <w:gridCol w:w="2000"/>
        <w:gridCol w:w="7360"/>
      </w:tblGrid>
      <w:tr>
        <w:trPr>
          <w:tblHeader/>
        </w:trPr>
        <w:tc>
          <w:tcPr>
            <w:tcW w:type="dxa" w:w="2000"/>
            <w:shd w:fill="EEF2F6" w:val="clear"/>
            <w:tcMar>
              <w:top w:type="dxa" w:w="100"/>
              <w:left w:type="dxa" w:w="120"/>
              <w:bottom w:type="dxa" w:w="100"/>
              <w:right w:type="dxa" w:w="120"/>
            </w:tcMar>
          </w:tcPr>
          <w:p>
            <w:pPr>
              <w:spacing w:after="0"/>
            </w:pPr>
            <w:r>
              <w:rPr>
                <w:b/>
                <w:bCs/>
                <w:color w:val="0F4C81"/>
                <w:sz w:val="18"/>
                <w:szCs w:val="18"/>
              </w:rPr>
              <w:t xml:space="preserve">Reason</w:t>
            </w:r>
          </w:p>
        </w:tc>
        <w:tc>
          <w:tcPr>
            <w:tcW w:type="dxa" w:w="7360"/>
            <w:shd w:fill="EEF2F6" w:val="clear"/>
            <w:tcMar>
              <w:top w:type="dxa" w:w="100"/>
              <w:left w:type="dxa" w:w="120"/>
              <w:bottom w:type="dxa" w:w="100"/>
              <w:right w:type="dxa" w:w="120"/>
            </w:tcMar>
          </w:tcPr>
          <w:p>
            <w:pPr>
              <w:spacing w:after="0"/>
            </w:pPr>
            <w:r>
              <w:rPr>
                <w:b/>
                <w:bCs/>
                <w:color w:val="0F4C81"/>
                <w:sz w:val="18"/>
                <w:szCs w:val="18"/>
              </w:rPr>
              <w:t xml:space="preserve">Detail</w:t>
            </w:r>
          </w:p>
        </w:tc>
      </w:tr>
      <w:tr>
        <w:tc>
          <w:tcPr>
            <w:tcW w:type="dxa" w:w="2000"/>
            <w:tcMar>
              <w:top w:type="dxa" w:w="90"/>
              <w:left w:type="dxa" w:w="120"/>
              <w:bottom w:type="dxa" w:w="90"/>
              <w:right w:type="dxa" w:w="120"/>
            </w:tcMar>
          </w:tcPr>
          <w:p>
            <w:pPr>
              <w:spacing w:after="0" w:line="250"/>
            </w:pPr>
            <w:r>
              <w:rPr>
                <w:b/>
                <w:bCs/>
                <w:color w:val="1A1A1A"/>
                <w:sz w:val="18"/>
                <w:szCs w:val="18"/>
              </w:rPr>
              <w:t xml:space="preserve">Monetisation</w:t>
            </w:r>
          </w:p>
        </w:tc>
        <w:tc>
          <w:tcPr>
            <w:tcW w:type="dxa" w:w="7360"/>
            <w:tcMar>
              <w:top w:type="dxa" w:w="90"/>
              <w:left w:type="dxa" w:w="120"/>
              <w:bottom w:type="dxa" w:w="90"/>
              <w:right w:type="dxa" w:w="120"/>
            </w:tcMar>
          </w:tcPr>
          <w:p>
            <w:pPr>
              <w:spacing w:after="0" w:line="250"/>
            </w:pPr>
            <w:r>
              <w:rPr>
                <w:b w:val="false"/>
                <w:bCs w:val="false"/>
                <w:color w:val="1A1A1A"/>
                <w:sz w:val="18"/>
                <w:szCs w:val="18"/>
              </w:rPr>
              <w:t xml:space="preserve">The enquiry is the product. IndiaMART, Alibaba and ThomasNet all monetise the buyer-seller connection, not the listing. Publishing contact details openly gives away the only asset you have and leaves you with advertising as a business model, which needs traffic you will not have for years.</w:t>
            </w:r>
          </w:p>
        </w:tc>
      </w:tr>
      <w:tr>
        <w:tc>
          <w:tcPr>
            <w:tcW w:type="dxa" w:w="2000"/>
            <w:shd w:fill="F7F9FB" w:val="clear"/>
            <w:tcMar>
              <w:top w:type="dxa" w:w="90"/>
              <w:left w:type="dxa" w:w="120"/>
              <w:bottom w:type="dxa" w:w="90"/>
              <w:right w:type="dxa" w:w="120"/>
            </w:tcMar>
          </w:tcPr>
          <w:p>
            <w:pPr>
              <w:spacing w:after="0" w:line="250"/>
            </w:pPr>
            <w:r>
              <w:rPr>
                <w:b/>
                <w:bCs/>
                <w:color w:val="1A1A1A"/>
                <w:sz w:val="18"/>
                <w:szCs w:val="18"/>
              </w:rPr>
              <w:t xml:space="preserve">Data protection</w:t>
            </w:r>
          </w:p>
        </w:tc>
        <w:tc>
          <w:tcPr>
            <w:tcW w:type="dxa" w:w="7360"/>
            <w:shd w:fill="F7F9FB" w:val="clear"/>
            <w:tcMar>
              <w:top w:type="dxa" w:w="90"/>
              <w:left w:type="dxa" w:w="120"/>
              <w:bottom w:type="dxa" w:w="90"/>
              <w:right w:type="dxa" w:w="120"/>
            </w:tcMar>
          </w:tcPr>
          <w:p>
            <w:pPr>
              <w:spacing w:after="0" w:line="250"/>
            </w:pPr>
            <w:r>
              <w:rPr>
                <w:b w:val="false"/>
                <w:bCs w:val="false"/>
                <w:color w:val="1A1A1A"/>
                <w:sz w:val="18"/>
                <w:szCs w:val="18"/>
              </w:rPr>
              <w:t xml:space="preserve">Vendor contact details are frequently personal data. Publishing them openly requires a clear lawful basis and purpose limitation under the DPDP regime; releasing them to an identified, registered buyer who has made a genuine enquiry, with the vendor's consent captured at onboarding, is a far more defensible position — and it produces a consent record you can actually show.</w:t>
            </w:r>
          </w:p>
        </w:tc>
      </w:tr>
      <w:tr>
        <w:tc>
          <w:tcPr>
            <w:tcW w:type="dxa" w:w="2000"/>
            <w:tcMar>
              <w:top w:type="dxa" w:w="90"/>
              <w:left w:type="dxa" w:w="120"/>
              <w:bottom w:type="dxa" w:w="90"/>
              <w:right w:type="dxa" w:w="120"/>
            </w:tcMar>
          </w:tcPr>
          <w:p>
            <w:pPr>
              <w:spacing w:after="0" w:line="250"/>
            </w:pPr>
            <w:r>
              <w:rPr>
                <w:b/>
                <w:bCs/>
                <w:color w:val="1A1A1A"/>
                <w:sz w:val="18"/>
                <w:szCs w:val="18"/>
              </w:rPr>
              <w:t xml:space="preserve">Self-protection</w:t>
            </w:r>
          </w:p>
        </w:tc>
        <w:tc>
          <w:tcPr>
            <w:tcW w:type="dxa" w:w="7360"/>
            <w:tcMar>
              <w:top w:type="dxa" w:w="90"/>
              <w:left w:type="dxa" w:w="120"/>
              <w:bottom w:type="dxa" w:w="90"/>
              <w:right w:type="dxa" w:w="120"/>
            </w:tcMar>
          </w:tcPr>
          <w:p>
            <w:pPr>
              <w:spacing w:after="0" w:line="250"/>
            </w:pPr>
            <w:r>
              <w:rPr>
                <w:b w:val="false"/>
                <w:bCs w:val="false"/>
                <w:color w:val="1A1A1A"/>
                <w:sz w:val="18"/>
                <w:szCs w:val="18"/>
              </w:rPr>
              <w:t xml:space="preserve">An open contact directory will be scraped within weeks. The entire value you spent a year assembling walks out of the door in an afternoon. Gating is the only practical defence, and rate limiting, bot detection and per-account enquiry quotas are the rest of it.</w:t>
            </w:r>
          </w:p>
        </w:tc>
      </w:tr>
    </w:tbl>
    <w:p>
      <w:pPr>
        <w:spacing w:after="80"/>
      </w:pPr>
    </w:p>
    <w:p>
      <w:pPr>
        <w:pStyle w:val="Heading2"/>
        <w:spacing w:after="140" w:before="320"/>
      </w:pPr>
      <w:r>
        <w:rPr>
          <w:b/>
          <w:bCs/>
          <w:color w:val="1A1A1A"/>
          <w:sz w:val="25"/>
          <w:szCs w:val="25"/>
        </w:rPr>
        <w:t xml:space="preserve">5.1  The disclosure model</w:t>
      </w:r>
    </w:p>
    <w:tbl>
      <w:tblPr>
        <w:tblW w:type="dxa" w:w="9360"/>
        <w:tblBorders>
          <w:top w:val="single" w:color="0F4C81" w:sz="4"/>
          <w:left w:val="none"/>
          <w:bottom w:val="single" w:color="0F4C81" w:sz="4"/>
          <w:right w:val="none"/>
          <w:insideH w:val="single" w:color="C7CDD4" w:sz="2"/>
          <w:insideV w:val="none"/>
        </w:tblBorders>
      </w:tblPr>
      <w:tblGrid>
        <w:gridCol w:w="3100"/>
        <w:gridCol w:w="3100"/>
        <w:gridCol w:w="3160"/>
      </w:tblGrid>
      <w:tr>
        <w:trPr>
          <w:tblHeader/>
        </w:trPr>
        <w:tc>
          <w:tcPr>
            <w:tcW w:type="dxa" w:w="3100"/>
            <w:shd w:fill="EEF2F6" w:val="clear"/>
            <w:tcMar>
              <w:top w:type="dxa" w:w="100"/>
              <w:left w:type="dxa" w:w="120"/>
              <w:bottom w:type="dxa" w:w="100"/>
              <w:right w:type="dxa" w:w="120"/>
            </w:tcMar>
          </w:tcPr>
          <w:p>
            <w:pPr>
              <w:spacing w:after="0"/>
            </w:pPr>
            <w:r>
              <w:rPr>
                <w:b/>
                <w:bCs/>
                <w:color w:val="0F4C81"/>
                <w:sz w:val="18"/>
                <w:szCs w:val="18"/>
              </w:rPr>
              <w:t xml:space="preserve">Layer</w:t>
            </w:r>
          </w:p>
        </w:tc>
        <w:tc>
          <w:tcPr>
            <w:tcW w:type="dxa" w:w="3100"/>
            <w:shd w:fill="EEF2F6" w:val="clear"/>
            <w:tcMar>
              <w:top w:type="dxa" w:w="100"/>
              <w:left w:type="dxa" w:w="120"/>
              <w:bottom w:type="dxa" w:w="100"/>
              <w:right w:type="dxa" w:w="120"/>
            </w:tcMar>
          </w:tcPr>
          <w:p>
            <w:pPr>
              <w:spacing w:after="0"/>
            </w:pPr>
            <w:r>
              <w:rPr>
                <w:b/>
                <w:bCs/>
                <w:color w:val="0F4C81"/>
                <w:sz w:val="18"/>
                <w:szCs w:val="18"/>
              </w:rPr>
              <w:t xml:space="preserve">Content</w:t>
            </w:r>
          </w:p>
        </w:tc>
        <w:tc>
          <w:tcPr>
            <w:tcW w:type="dxa" w:w="3160"/>
            <w:shd w:fill="EEF2F6" w:val="clear"/>
            <w:tcMar>
              <w:top w:type="dxa" w:w="100"/>
              <w:left w:type="dxa" w:w="120"/>
              <w:bottom w:type="dxa" w:w="100"/>
              <w:right w:type="dxa" w:w="120"/>
            </w:tcMar>
          </w:tcPr>
          <w:p>
            <w:pPr>
              <w:spacing w:after="0"/>
            </w:pPr>
            <w:r>
              <w:rPr>
                <w:b/>
                <w:bCs/>
                <w:color w:val="0F4C81"/>
                <w:sz w:val="18"/>
                <w:szCs w:val="18"/>
              </w:rPr>
              <w:t xml:space="preserve">Access</w:t>
            </w:r>
          </w:p>
        </w:tc>
      </w:tr>
      <w:tr>
        <w:tc>
          <w:tcPr>
            <w:tcW w:type="dxa" w:w="3100"/>
            <w:tcMar>
              <w:top w:type="dxa" w:w="90"/>
              <w:left w:type="dxa" w:w="120"/>
              <w:bottom w:type="dxa" w:w="90"/>
              <w:right w:type="dxa" w:w="120"/>
            </w:tcMar>
          </w:tcPr>
          <w:p>
            <w:pPr>
              <w:spacing w:after="0" w:line="250"/>
            </w:pPr>
            <w:r>
              <w:rPr>
                <w:b/>
                <w:bCs/>
                <w:color w:val="1A1A1A"/>
                <w:sz w:val="18"/>
                <w:szCs w:val="18"/>
              </w:rPr>
              <w:t xml:space="preserve">Public — indexed</w:t>
            </w:r>
          </w:p>
        </w:tc>
        <w:tc>
          <w:tcPr>
            <w:tcW w:type="dxa" w:w="3100"/>
            <w:tcMar>
              <w:top w:type="dxa" w:w="90"/>
              <w:left w:type="dxa" w:w="120"/>
              <w:bottom w:type="dxa" w:w="90"/>
              <w:right w:type="dxa" w:w="120"/>
            </w:tcMar>
          </w:tcPr>
          <w:p>
            <w:pPr>
              <w:spacing w:after="0" w:line="250"/>
            </w:pPr>
            <w:r>
              <w:rPr>
                <w:b w:val="false"/>
                <w:bCs w:val="false"/>
                <w:color w:val="1A1A1A"/>
                <w:sz w:val="18"/>
                <w:szCs w:val="18"/>
              </w:rPr>
              <w:t xml:space="preserve">Company legal name, city and state, verification badges, product listings, specifications, images, indicative price band, landed cost estimate, HS codes, export activity indicators, certifications.</w:t>
            </w:r>
          </w:p>
        </w:tc>
        <w:tc>
          <w:tcPr>
            <w:tcW w:type="dxa" w:w="3160"/>
            <w:tcMar>
              <w:top w:type="dxa" w:w="90"/>
              <w:left w:type="dxa" w:w="120"/>
              <w:bottom w:type="dxa" w:w="90"/>
              <w:right w:type="dxa" w:w="120"/>
            </w:tcMar>
          </w:tcPr>
          <w:p>
            <w:pPr>
              <w:spacing w:after="0" w:line="250"/>
            </w:pPr>
            <w:r>
              <w:rPr>
                <w:b w:val="false"/>
                <w:bCs w:val="false"/>
                <w:color w:val="1A1A1A"/>
                <w:sz w:val="18"/>
                <w:szCs w:val="18"/>
              </w:rPr>
              <w:t xml:space="preserve">Anyone. Fully crawlable — this is the search engine optimisation surface and it must be rich.</w:t>
            </w:r>
          </w:p>
        </w:tc>
      </w:tr>
      <w:tr>
        <w:tc>
          <w:tcPr>
            <w:tcW w:type="dxa" w:w="3100"/>
            <w:shd w:fill="F7F9FB" w:val="clear"/>
            <w:tcMar>
              <w:top w:type="dxa" w:w="90"/>
              <w:left w:type="dxa" w:w="120"/>
              <w:bottom w:type="dxa" w:w="90"/>
              <w:right w:type="dxa" w:w="120"/>
            </w:tcMar>
          </w:tcPr>
          <w:p>
            <w:pPr>
              <w:spacing w:after="0" w:line="250"/>
            </w:pPr>
            <w:r>
              <w:rPr>
                <w:b/>
                <w:bCs/>
                <w:color w:val="1A1A1A"/>
                <w:sz w:val="18"/>
                <w:szCs w:val="18"/>
              </w:rPr>
              <w:t xml:space="preserve">Registered</w:t>
            </w:r>
          </w:p>
        </w:tc>
        <w:tc>
          <w:tcPr>
            <w:tcW w:type="dxa" w:w="3100"/>
            <w:shd w:fill="F7F9FB" w:val="clear"/>
            <w:tcMar>
              <w:top w:type="dxa" w:w="90"/>
              <w:left w:type="dxa" w:w="120"/>
              <w:bottom w:type="dxa" w:w="90"/>
              <w:right w:type="dxa" w:w="120"/>
            </w:tcMar>
          </w:tcPr>
          <w:p>
            <w:pPr>
              <w:spacing w:after="0" w:line="250"/>
            </w:pPr>
            <w:r>
              <w:rPr>
                <w:b w:val="false"/>
                <w:bCs w:val="false"/>
                <w:color w:val="1A1A1A"/>
                <w:sz w:val="18"/>
                <w:szCs w:val="18"/>
              </w:rPr>
              <w:t xml:space="preserve">Full specification sheets, complete price tiers, additional images, shipment history bands, direct messaging.</w:t>
            </w:r>
          </w:p>
        </w:tc>
        <w:tc>
          <w:tcPr>
            <w:tcW w:type="dxa" w:w="3160"/>
            <w:shd w:fill="F7F9FB" w:val="clear"/>
            <w:tcMar>
              <w:top w:type="dxa" w:w="90"/>
              <w:left w:type="dxa" w:w="120"/>
              <w:bottom w:type="dxa" w:w="90"/>
              <w:right w:type="dxa" w:w="120"/>
            </w:tcMar>
          </w:tcPr>
          <w:p>
            <w:pPr>
              <w:spacing w:after="0" w:line="250"/>
            </w:pPr>
            <w:r>
              <w:rPr>
                <w:b w:val="false"/>
                <w:bCs w:val="false"/>
                <w:color w:val="1A1A1A"/>
                <w:sz w:val="18"/>
                <w:szCs w:val="18"/>
              </w:rPr>
              <w:t xml:space="preserve">Free buyer account with a verified business email.</w:t>
            </w:r>
          </w:p>
        </w:tc>
      </w:tr>
      <w:tr>
        <w:tc>
          <w:tcPr>
            <w:tcW w:type="dxa" w:w="3100"/>
            <w:tcMar>
              <w:top w:type="dxa" w:w="90"/>
              <w:left w:type="dxa" w:w="120"/>
              <w:bottom w:type="dxa" w:w="90"/>
              <w:right w:type="dxa" w:w="120"/>
            </w:tcMar>
          </w:tcPr>
          <w:p>
            <w:pPr>
              <w:spacing w:after="0" w:line="250"/>
            </w:pPr>
            <w:r>
              <w:rPr>
                <w:b/>
                <w:bCs/>
                <w:color w:val="1A1A1A"/>
                <w:sz w:val="18"/>
                <w:szCs w:val="18"/>
              </w:rPr>
              <w:t xml:space="preserve">Released on enquiry</w:t>
            </w:r>
          </w:p>
        </w:tc>
        <w:tc>
          <w:tcPr>
            <w:tcW w:type="dxa" w:w="3100"/>
            <w:tcMar>
              <w:top w:type="dxa" w:w="90"/>
              <w:left w:type="dxa" w:w="120"/>
              <w:bottom w:type="dxa" w:w="90"/>
              <w:right w:type="dxa" w:w="120"/>
            </w:tcMar>
          </w:tcPr>
          <w:p>
            <w:pPr>
              <w:spacing w:after="0" w:line="250"/>
            </w:pPr>
            <w:r>
              <w:rPr>
                <w:b w:val="false"/>
                <w:bCs w:val="false"/>
                <w:color w:val="1A1A1A"/>
                <w:sz w:val="18"/>
                <w:szCs w:val="18"/>
              </w:rPr>
              <w:t xml:space="preserve">Named contact, direct phone and email, exact quotation.</w:t>
            </w:r>
          </w:p>
        </w:tc>
        <w:tc>
          <w:tcPr>
            <w:tcW w:type="dxa" w:w="3160"/>
            <w:tcMar>
              <w:top w:type="dxa" w:w="90"/>
              <w:left w:type="dxa" w:w="120"/>
              <w:bottom w:type="dxa" w:w="90"/>
              <w:right w:type="dxa" w:w="120"/>
            </w:tcMar>
          </w:tcPr>
          <w:p>
            <w:pPr>
              <w:spacing w:after="0" w:line="250"/>
            </w:pPr>
            <w:r>
              <w:rPr>
                <w:b w:val="false"/>
                <w:bCs w:val="false"/>
                <w:color w:val="1A1A1A"/>
                <w:sz w:val="18"/>
                <w:szCs w:val="18"/>
              </w:rPr>
              <w:t xml:space="preserve">Registered buyer who submits an enquiry or request for quote. Vendor is notified and may see who is asking.</w:t>
            </w:r>
          </w:p>
        </w:tc>
      </w:tr>
    </w:tbl>
    <w:p>
      <w:pPr>
        <w:spacing w:after="80"/>
      </w:pPr>
    </w:p>
    <w:p>
      <w:pPr>
        <w:spacing w:after="120" w:line="276"/>
      </w:pPr>
      <w:r>
        <w:rPr>
          <w:color w:val="1A1A1A"/>
          <w:sz w:val="21"/>
          <w:szCs w:val="21"/>
        </w:rPr>
        <w:t xml:space="preserve">Critically, the public layer must still be rich enough to rank in search and to let a buyer qualify a supplier. Gating the contact is not an excuse for a thin page. The buyer should be able to decide they want this vendor before they hit the gate — that is what makes them register rather than leave.</w:t>
      </w:r>
    </w:p>
    <w:p>
      <w:pPr>
        <w:spacing w:after="120" w:line="276"/>
      </w:pPr>
      <w:r>
        <w:rPr>
          <w:color w:val="1A1A1A"/>
          <w:sz w:val="21"/>
          <w:szCs w:val="21"/>
        </w:rPr>
        <w:t xml:space="preserve">For vendors who genuinely want their number public, offer it as an option at onboarding with explicit consent. Some will; treat it as a vendor choice with a recorded basis rather than a platform default.</w:t>
      </w:r>
    </w:p>
    <w:p>
      <w:r>
        <w:br w:type="page"/>
      </w:r>
    </w:p>
    <w:p>
      <w:pPr>
        <w:pStyle w:val="Heading1"/>
        <w:spacing w:after="200" w:before="400"/>
      </w:pPr>
      <w:r>
        <w:rPr>
          <w:b/>
          <w:bCs/>
          <w:color w:val="0F4C81"/>
          <w:sz w:val="32"/>
          <w:szCs w:val="32"/>
        </w:rPr>
        <w:t xml:space="preserve">6.  Product architecture</w:t>
      </w:r>
    </w:p>
    <w:p>
      <w:pPr>
        <w:pStyle w:val="Heading2"/>
        <w:spacing w:after="140" w:before="320"/>
      </w:pPr>
      <w:r>
        <w:rPr>
          <w:b/>
          <w:bCs/>
          <w:color w:val="1A1A1A"/>
          <w:sz w:val="25"/>
          <w:szCs w:val="25"/>
        </w:rPr>
        <w:t xml:space="preserve">6.1  Roles</w:t>
      </w:r>
    </w:p>
    <w:tbl>
      <w:tblPr>
        <w:tblW w:type="dxa" w:w="9360"/>
        <w:tblBorders>
          <w:top w:val="single" w:color="0F4C81" w:sz="4"/>
          <w:left w:val="none"/>
          <w:bottom w:val="single" w:color="0F4C81" w:sz="4"/>
          <w:right w:val="none"/>
          <w:insideH w:val="single" w:color="C7CDD4" w:sz="2"/>
          <w:insideV w:val="none"/>
        </w:tblBorders>
      </w:tblPr>
      <w:tblGrid>
        <w:gridCol w:w="1800"/>
        <w:gridCol w:w="3400"/>
        <w:gridCol w:w="4160"/>
      </w:tblGrid>
      <w:tr>
        <w:trPr>
          <w:tblHeader/>
        </w:trPr>
        <w:tc>
          <w:tcPr>
            <w:tcW w:type="dxa" w:w="1800"/>
            <w:shd w:fill="EEF2F6" w:val="clear"/>
            <w:tcMar>
              <w:top w:type="dxa" w:w="100"/>
              <w:left w:type="dxa" w:w="120"/>
              <w:bottom w:type="dxa" w:w="100"/>
              <w:right w:type="dxa" w:w="120"/>
            </w:tcMar>
          </w:tcPr>
          <w:p>
            <w:pPr>
              <w:spacing w:after="0"/>
            </w:pPr>
            <w:r>
              <w:rPr>
                <w:b/>
                <w:bCs/>
                <w:color w:val="0F4C81"/>
                <w:sz w:val="18"/>
                <w:szCs w:val="18"/>
              </w:rPr>
              <w:t xml:space="preserve">Role</w:t>
            </w:r>
          </w:p>
        </w:tc>
        <w:tc>
          <w:tcPr>
            <w:tcW w:type="dxa" w:w="3400"/>
            <w:shd w:fill="EEF2F6" w:val="clear"/>
            <w:tcMar>
              <w:top w:type="dxa" w:w="100"/>
              <w:left w:type="dxa" w:w="120"/>
              <w:bottom w:type="dxa" w:w="100"/>
              <w:right w:type="dxa" w:w="120"/>
            </w:tcMar>
          </w:tcPr>
          <w:p>
            <w:pPr>
              <w:spacing w:after="0"/>
            </w:pPr>
            <w:r>
              <w:rPr>
                <w:b/>
                <w:bCs/>
                <w:color w:val="0F4C81"/>
                <w:sz w:val="18"/>
                <w:szCs w:val="18"/>
              </w:rPr>
              <w:t xml:space="preserve">Does</w:t>
            </w:r>
          </w:p>
        </w:tc>
        <w:tc>
          <w:tcPr>
            <w:tcW w:type="dxa" w:w="4160"/>
            <w:shd w:fill="EEF2F6" w:val="clear"/>
            <w:tcMar>
              <w:top w:type="dxa" w:w="100"/>
              <w:left w:type="dxa" w:w="120"/>
              <w:bottom w:type="dxa" w:w="100"/>
              <w:right w:type="dxa" w:w="120"/>
            </w:tcMar>
          </w:tcPr>
          <w:p>
            <w:pPr>
              <w:spacing w:after="0"/>
            </w:pPr>
            <w:r>
              <w:rPr>
                <w:b/>
                <w:bCs/>
                <w:color w:val="0F4C81"/>
                <w:sz w:val="18"/>
                <w:szCs w:val="18"/>
              </w:rPr>
              <w:t xml:space="preserve">Key screens</w:t>
            </w:r>
          </w:p>
        </w:tc>
      </w:tr>
      <w:tr>
        <w:tc>
          <w:tcPr>
            <w:tcW w:type="dxa" w:w="1800"/>
            <w:tcMar>
              <w:top w:type="dxa" w:w="90"/>
              <w:left w:type="dxa" w:w="120"/>
              <w:bottom w:type="dxa" w:w="90"/>
              <w:right w:type="dxa" w:w="120"/>
            </w:tcMar>
          </w:tcPr>
          <w:p>
            <w:pPr>
              <w:spacing w:after="0" w:line="250"/>
            </w:pPr>
            <w:r>
              <w:rPr>
                <w:b/>
                <w:bCs/>
                <w:color w:val="1A1A1A"/>
                <w:sz w:val="18"/>
                <w:szCs w:val="18"/>
              </w:rPr>
              <w:t xml:space="preserve">US buyer</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Searches, compares landed costs, sends enquiries and requests for quote, messages vendors.</w:t>
            </w:r>
          </w:p>
        </w:tc>
        <w:tc>
          <w:tcPr>
            <w:tcW w:type="dxa" w:w="4160"/>
            <w:tcMar>
              <w:top w:type="dxa" w:w="90"/>
              <w:left w:type="dxa" w:w="120"/>
              <w:bottom w:type="dxa" w:w="90"/>
              <w:right w:type="dxa" w:w="120"/>
            </w:tcMar>
          </w:tcPr>
          <w:p>
            <w:pPr>
              <w:spacing w:after="0" w:line="250"/>
            </w:pPr>
            <w:r>
              <w:rPr>
                <w:b w:val="false"/>
                <w:bCs w:val="false"/>
                <w:color w:val="1A1A1A"/>
                <w:sz w:val="18"/>
                <w:szCs w:val="18"/>
              </w:rPr>
              <w:t xml:space="preserve">Search and facets, listing page, comparison, RFQ, enquiry inbox.</w:t>
            </w:r>
          </w:p>
        </w:tc>
      </w:tr>
      <w:tr>
        <w:tc>
          <w:tcPr>
            <w:tcW w:type="dxa" w:w="1800"/>
            <w:shd w:fill="F7F9FB" w:val="clear"/>
            <w:tcMar>
              <w:top w:type="dxa" w:w="90"/>
              <w:left w:type="dxa" w:w="120"/>
              <w:bottom w:type="dxa" w:w="90"/>
              <w:right w:type="dxa" w:w="120"/>
            </w:tcMar>
          </w:tcPr>
          <w:p>
            <w:pPr>
              <w:spacing w:after="0" w:line="250"/>
            </w:pPr>
            <w:r>
              <w:rPr>
                <w:b/>
                <w:bCs/>
                <w:color w:val="1A1A1A"/>
                <w:sz w:val="18"/>
                <w:szCs w:val="18"/>
              </w:rPr>
              <w:t xml:space="preserve">Indian vendor</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Claims or creates a profile, completes verification, publishes listings and price tiers, answers enquiries.</w:t>
            </w:r>
          </w:p>
        </w:tc>
        <w:tc>
          <w:tcPr>
            <w:tcW w:type="dxa" w:w="4160"/>
            <w:shd w:fill="F7F9FB" w:val="clear"/>
            <w:tcMar>
              <w:top w:type="dxa" w:w="90"/>
              <w:left w:type="dxa" w:w="120"/>
              <w:bottom w:type="dxa" w:w="90"/>
              <w:right w:type="dxa" w:w="120"/>
            </w:tcMar>
          </w:tcPr>
          <w:p>
            <w:pPr>
              <w:spacing w:after="0" w:line="250"/>
            </w:pPr>
            <w:r>
              <w:rPr>
                <w:b w:val="false"/>
                <w:bCs w:val="false"/>
                <w:color w:val="1A1A1A"/>
                <w:sz w:val="18"/>
                <w:szCs w:val="18"/>
              </w:rPr>
              <w:t xml:space="preserve">Onboarding and verification, listing editor, price tier editor, lead inbox, analytics.</w:t>
            </w:r>
          </w:p>
        </w:tc>
      </w:tr>
      <w:tr>
        <w:tc>
          <w:tcPr>
            <w:tcW w:type="dxa" w:w="1800"/>
            <w:tcMar>
              <w:top w:type="dxa" w:w="90"/>
              <w:left w:type="dxa" w:w="120"/>
              <w:bottom w:type="dxa" w:w="90"/>
              <w:right w:type="dxa" w:w="120"/>
            </w:tcMar>
          </w:tcPr>
          <w:p>
            <w:pPr>
              <w:spacing w:after="0" w:line="250"/>
            </w:pPr>
            <w:r>
              <w:rPr>
                <w:b/>
                <w:bCs/>
                <w:color w:val="1A1A1A"/>
                <w:sz w:val="18"/>
                <w:szCs w:val="18"/>
              </w:rPr>
              <w:t xml:space="preserve">Operations</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Moderates listings, runs verification, resolves disputes, manages the claim queue.</w:t>
            </w:r>
          </w:p>
        </w:tc>
        <w:tc>
          <w:tcPr>
            <w:tcW w:type="dxa" w:w="4160"/>
            <w:tcMar>
              <w:top w:type="dxa" w:w="90"/>
              <w:left w:type="dxa" w:w="120"/>
              <w:bottom w:type="dxa" w:w="90"/>
              <w:right w:type="dxa" w:w="120"/>
            </w:tcMar>
          </w:tcPr>
          <w:p>
            <w:pPr>
              <w:spacing w:after="0" w:line="250"/>
            </w:pPr>
            <w:r>
              <w:rPr>
                <w:b w:val="false"/>
                <w:bCs w:val="false"/>
                <w:color w:val="1A1A1A"/>
                <w:sz w:val="18"/>
                <w:szCs w:val="18"/>
              </w:rPr>
              <w:t xml:space="preserve">Moderation queue, verification console, claim review, vendor and listing admin.</w:t>
            </w:r>
          </w:p>
        </w:tc>
      </w:tr>
      <w:tr>
        <w:tc>
          <w:tcPr>
            <w:tcW w:type="dxa" w:w="1800"/>
            <w:shd w:fill="F7F9FB" w:val="clear"/>
            <w:tcMar>
              <w:top w:type="dxa" w:w="90"/>
              <w:left w:type="dxa" w:w="120"/>
              <w:bottom w:type="dxa" w:w="90"/>
              <w:right w:type="dxa" w:w="120"/>
            </w:tcMar>
          </w:tcPr>
          <w:p>
            <w:pPr>
              <w:spacing w:after="0" w:line="250"/>
            </w:pPr>
            <w:r>
              <w:rPr>
                <w:b/>
                <w:bCs/>
                <w:color w:val="1A1A1A"/>
                <w:sz w:val="18"/>
                <w:szCs w:val="18"/>
              </w:rPr>
              <w:t xml:space="preserve">Growth</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Runs supply acquisition from the trade-data prospect list.</w:t>
            </w:r>
          </w:p>
        </w:tc>
        <w:tc>
          <w:tcPr>
            <w:tcW w:type="dxa" w:w="4160"/>
            <w:shd w:fill="F7F9FB" w:val="clear"/>
            <w:tcMar>
              <w:top w:type="dxa" w:w="90"/>
              <w:left w:type="dxa" w:w="120"/>
              <w:bottom w:type="dxa" w:w="90"/>
              <w:right w:type="dxa" w:w="120"/>
            </w:tcMar>
          </w:tcPr>
          <w:p>
            <w:pPr>
              <w:spacing w:after="0" w:line="250"/>
            </w:pPr>
            <w:r>
              <w:rPr>
                <w:b w:val="false"/>
                <w:bCs w:val="false"/>
                <w:color w:val="1A1A1A"/>
                <w:sz w:val="18"/>
                <w:szCs w:val="18"/>
              </w:rPr>
              <w:t xml:space="preserve">Prospect list, outreach status, conversion funnel.</w:t>
            </w:r>
          </w:p>
        </w:tc>
      </w:tr>
    </w:tbl>
    <w:p>
      <w:pPr>
        <w:pStyle w:val="Heading2"/>
        <w:spacing w:after="140" w:before="320"/>
      </w:pPr>
      <w:r>
        <w:rPr>
          <w:b/>
          <w:bCs/>
          <w:color w:val="1A1A1A"/>
          <w:sz w:val="25"/>
          <w:szCs w:val="25"/>
        </w:rPr>
        <w:t xml:space="preserve">6.2  The catalogue spine</w:t>
      </w:r>
    </w:p>
    <w:p>
      <w:pPr>
        <w:spacing w:after="120" w:line="276"/>
      </w:pPr>
      <w:r>
        <w:rPr>
          <w:color w:val="1A1A1A"/>
          <w:sz w:val="21"/>
          <w:szCs w:val="21"/>
        </w:rPr>
        <w:t xml:space="preserve">The single most important structural decision is what organises the catalogue. Free-text categories will not survive: vendors describe the same product a dozen ways, and buyers search in a dozen more. Use a three-level structure with the tariff classification as the backbone.</w:t>
      </w:r>
    </w:p>
    <w:tbl>
      <w:tblPr>
        <w:tblW w:type="dxa" w:w="9360"/>
        <w:tblBorders>
          <w:top w:val="single" w:color="C7CDD4" w:sz="2"/>
          <w:left w:val="single" w:color="C7CDD4" w:sz="2"/>
          <w:bottom w:val="single" w:color="C7CDD4" w:sz="2"/>
          <w:right w:val="single" w:color="C7CDD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0" w:line="240"/>
            </w:pPr>
            <w:r>
              <w:rPr>
                <w:rFonts w:ascii="Consolas" w:cs="Consolas" w:eastAsia="Consolas" w:hAnsi="Consolas"/>
                <w:color w:val="20303F"/>
                <w:sz w:val="17"/>
                <w:szCs w:val="17"/>
              </w:rPr>
              <w:t xml:space="preserve">HS chapter (2-digit)      69   Ceramic products</w:t>
            </w:r>
          </w:p>
          <w:p>
            <w:pPr>
              <w:spacing w:after="0" w:line="240"/>
            </w:pPr>
            <w:r>
              <w:rPr>
                <w:rFonts w:ascii="Consolas" w:cs="Consolas" w:eastAsia="Consolas" w:hAnsi="Consolas"/>
                <w:color w:val="20303F"/>
                <w:sz w:val="17"/>
                <w:szCs w:val="17"/>
              </w:rPr>
              <w:t xml:space="preserve">  └ HS heading (4)      6912   Tableware, kitchenware, household ceramics</w:t>
            </w:r>
          </w:p>
          <w:p>
            <w:pPr>
              <w:spacing w:after="0" w:line="240"/>
            </w:pPr>
            <w:r>
              <w:rPr>
                <w:rFonts w:ascii="Consolas" w:cs="Consolas" w:eastAsia="Consolas" w:hAnsi="Consolas"/>
                <w:color w:val="20303F"/>
                <w:sz w:val="17"/>
                <w:szCs w:val="17"/>
              </w:rPr>
              <w:t xml:space="preserve">      └ HS subhead (6) 691200</w:t>
            </w:r>
          </w:p>
          <w:p>
            <w:pPr>
              <w:spacing w:after="0" w:line="240"/>
            </w:pPr>
            <w:r>
              <w:rPr>
                <w:rFonts w:ascii="Consolas" w:cs="Consolas" w:eastAsia="Consolas" w:hAnsi="Consolas"/>
                <w:color w:val="20303F"/>
                <w:sz w:val="17"/>
                <w:szCs w:val="17"/>
              </w:rPr>
              <w:t xml:space="preserve">          └ HTS (10)   6912.00.4810  ← the classification the duty attaches to</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  Cross-cut by a human-friendly browse taxonomy:</w:t>
            </w:r>
          </w:p>
          <w:p>
            <w:pPr>
              <w:spacing w:after="0" w:line="240"/>
            </w:pPr>
            <w:r>
              <w:rPr>
                <w:rFonts w:ascii="Consolas" w:cs="Consolas" w:eastAsia="Consolas" w:hAnsi="Consolas"/>
                <w:color w:val="20303F"/>
                <w:sz w:val="17"/>
                <w:szCs w:val="17"/>
              </w:rPr>
              <w:t xml:space="preserve">      Home &amp; Kitchen  ›  Tableware  ›  Ceramic Mugs</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  Plus free-text and semantic search over the listing itself.</w:t>
            </w:r>
          </w:p>
        </w:tc>
      </w:tr>
    </w:tbl>
    <w:p>
      <w:pPr>
        <w:spacing w:after="80"/>
      </w:pPr>
    </w:p>
    <w:p>
      <w:pPr>
        <w:spacing w:after="120" w:line="276"/>
      </w:pPr>
      <w:r>
        <w:rPr>
          <w:color w:val="1A1A1A"/>
          <w:sz w:val="21"/>
          <w:szCs w:val="21"/>
        </w:rPr>
        <w:t xml:space="preserve">Three indexes over the same catalogue: the tariff code drives duty and compliance, the browse taxonomy drives navigation and search engine optimisation, and vector search drives "find me something like this" discovery. The tariff code is assigned automatically at listing time by the classifier described in Section 9, with a moderation step, so vendors never have to know what it is.</w:t>
      </w:r>
    </w:p>
    <w:p>
      <w:pPr>
        <w:pStyle w:val="Heading2"/>
        <w:spacing w:after="140" w:before="320"/>
      </w:pPr>
      <w:r>
        <w:rPr>
          <w:b/>
          <w:bCs/>
          <w:color w:val="1A1A1A"/>
          <w:sz w:val="25"/>
          <w:szCs w:val="25"/>
        </w:rPr>
        <w:t xml:space="preserve">6.3  Core objects</w:t>
      </w:r>
    </w:p>
    <w:tbl>
      <w:tblPr>
        <w:tblW w:type="dxa" w:w="9360"/>
        <w:tblBorders>
          <w:top w:val="single" w:color="0F4C81" w:sz="4"/>
          <w:left w:val="none"/>
          <w:bottom w:val="single" w:color="0F4C81" w:sz="4"/>
          <w:right w:val="none"/>
          <w:insideH w:val="single" w:color="C7CDD4" w:sz="2"/>
          <w:insideV w:val="none"/>
        </w:tblBorders>
      </w:tblPr>
      <w:tblGrid>
        <w:gridCol w:w="1900"/>
        <w:gridCol w:w="3300"/>
        <w:gridCol w:w="4160"/>
      </w:tblGrid>
      <w:tr>
        <w:trPr>
          <w:tblHeader/>
        </w:trPr>
        <w:tc>
          <w:tcPr>
            <w:tcW w:type="dxa" w:w="1900"/>
            <w:shd w:fill="EEF2F6" w:val="clear"/>
            <w:tcMar>
              <w:top w:type="dxa" w:w="100"/>
              <w:left w:type="dxa" w:w="120"/>
              <w:bottom w:type="dxa" w:w="100"/>
              <w:right w:type="dxa" w:w="120"/>
            </w:tcMar>
          </w:tcPr>
          <w:p>
            <w:pPr>
              <w:spacing w:after="0"/>
            </w:pPr>
            <w:r>
              <w:rPr>
                <w:b/>
                <w:bCs/>
                <w:color w:val="0F4C81"/>
                <w:sz w:val="18"/>
                <w:szCs w:val="18"/>
              </w:rPr>
              <w:t xml:space="preserve">Object</w:t>
            </w:r>
          </w:p>
        </w:tc>
        <w:tc>
          <w:tcPr>
            <w:tcW w:type="dxa" w:w="3300"/>
            <w:shd w:fill="EEF2F6" w:val="clear"/>
            <w:tcMar>
              <w:top w:type="dxa" w:w="100"/>
              <w:left w:type="dxa" w:w="120"/>
              <w:bottom w:type="dxa" w:w="100"/>
              <w:right w:type="dxa" w:w="120"/>
            </w:tcMar>
          </w:tcPr>
          <w:p>
            <w:pPr>
              <w:spacing w:after="0"/>
            </w:pPr>
            <w:r>
              <w:rPr>
                <w:b/>
                <w:bCs/>
                <w:color w:val="0F4C81"/>
                <w:sz w:val="18"/>
                <w:szCs w:val="18"/>
              </w:rPr>
              <w:t xml:space="preserve">Holds</w:t>
            </w:r>
          </w:p>
        </w:tc>
        <w:tc>
          <w:tcPr>
            <w:tcW w:type="dxa" w:w="4160"/>
            <w:shd w:fill="EEF2F6" w:val="clear"/>
            <w:tcMar>
              <w:top w:type="dxa" w:w="100"/>
              <w:left w:type="dxa" w:w="120"/>
              <w:bottom w:type="dxa" w:w="100"/>
              <w:right w:type="dxa" w:w="120"/>
            </w:tcMar>
          </w:tcPr>
          <w:p>
            <w:pPr>
              <w:spacing w:after="0"/>
            </w:pPr>
            <w:r>
              <w:rPr>
                <w:b/>
                <w:bCs/>
                <w:color w:val="0F4C81"/>
                <w:sz w:val="18"/>
                <w:szCs w:val="18"/>
              </w:rPr>
              <w:t xml:space="preserve">Notes</w:t>
            </w:r>
          </w:p>
        </w:tc>
      </w:tr>
      <w:tr>
        <w:tc>
          <w:tcPr>
            <w:tcW w:type="dxa" w:w="1900"/>
            <w:tcMar>
              <w:top w:type="dxa" w:w="90"/>
              <w:left w:type="dxa" w:w="120"/>
              <w:bottom w:type="dxa" w:w="90"/>
              <w:right w:type="dxa" w:w="120"/>
            </w:tcMar>
          </w:tcPr>
          <w:p>
            <w:pPr>
              <w:spacing w:after="0" w:line="250"/>
            </w:pPr>
            <w:r>
              <w:rPr>
                <w:b/>
                <w:bCs/>
                <w:color w:val="1A1A1A"/>
                <w:sz w:val="18"/>
                <w:szCs w:val="18"/>
              </w:rPr>
              <w:t xml:space="preserve">Vendor</w:t>
            </w:r>
          </w:p>
        </w:tc>
        <w:tc>
          <w:tcPr>
            <w:tcW w:type="dxa" w:w="3300"/>
            <w:tcMar>
              <w:top w:type="dxa" w:w="90"/>
              <w:left w:type="dxa" w:w="120"/>
              <w:bottom w:type="dxa" w:w="90"/>
              <w:right w:type="dxa" w:w="120"/>
            </w:tcMar>
          </w:tcPr>
          <w:p>
            <w:pPr>
              <w:spacing w:after="0" w:line="250"/>
            </w:pPr>
            <w:r>
              <w:rPr>
                <w:b w:val="false"/>
                <w:bCs w:val="false"/>
                <w:color w:val="1A1A1A"/>
                <w:sz w:val="18"/>
                <w:szCs w:val="18"/>
              </w:rPr>
              <w:t xml:space="preserve">Legal entity, registrations, verification state, claim state, consent records.</w:t>
            </w:r>
          </w:p>
        </w:tc>
        <w:tc>
          <w:tcPr>
            <w:tcW w:type="dxa" w:w="4160"/>
            <w:tcMar>
              <w:top w:type="dxa" w:w="90"/>
              <w:left w:type="dxa" w:w="120"/>
              <w:bottom w:type="dxa" w:w="90"/>
              <w:right w:type="dxa" w:w="120"/>
            </w:tcMar>
          </w:tcPr>
          <w:p>
            <w:pPr>
              <w:spacing w:after="0" w:line="250"/>
            </w:pPr>
            <w:r>
              <w:rPr>
                <w:b w:val="false"/>
                <w:bCs w:val="false"/>
                <w:color w:val="1A1A1A"/>
                <w:sz w:val="18"/>
                <w:szCs w:val="18"/>
              </w:rPr>
              <w:t xml:space="preserve">One per legal entity, keyed on IEC or GSTIN. Deduplication against trade-data name variants is a real problem — plan for entity resolution.</w:t>
            </w:r>
          </w:p>
        </w:tc>
      </w:tr>
      <w:tr>
        <w:tc>
          <w:tcPr>
            <w:tcW w:type="dxa" w:w="1900"/>
            <w:shd w:fill="F7F9FB" w:val="clear"/>
            <w:tcMar>
              <w:top w:type="dxa" w:w="90"/>
              <w:left w:type="dxa" w:w="120"/>
              <w:bottom w:type="dxa" w:w="90"/>
              <w:right w:type="dxa" w:w="120"/>
            </w:tcMar>
          </w:tcPr>
          <w:p>
            <w:pPr>
              <w:spacing w:after="0" w:line="250"/>
            </w:pPr>
            <w:r>
              <w:rPr>
                <w:b/>
                <w:bCs/>
                <w:color w:val="1A1A1A"/>
                <w:sz w:val="18"/>
                <w:szCs w:val="18"/>
              </w:rPr>
              <w:t xml:space="preserve">Listing</w:t>
            </w:r>
          </w:p>
        </w:tc>
        <w:tc>
          <w:tcPr>
            <w:tcW w:type="dxa" w:w="3300"/>
            <w:shd w:fill="F7F9FB" w:val="clear"/>
            <w:tcMar>
              <w:top w:type="dxa" w:w="90"/>
              <w:left w:type="dxa" w:w="120"/>
              <w:bottom w:type="dxa" w:w="90"/>
              <w:right w:type="dxa" w:w="120"/>
            </w:tcMar>
          </w:tcPr>
          <w:p>
            <w:pPr>
              <w:spacing w:after="0" w:line="250"/>
            </w:pPr>
            <w:r>
              <w:rPr>
                <w:b w:val="false"/>
                <w:bCs w:val="false"/>
                <w:color w:val="1A1A1A"/>
                <w:sz w:val="18"/>
                <w:szCs w:val="18"/>
              </w:rPr>
              <w:t xml:space="preserve">Product, specification, images, tariff code, certifications, lead time, capacity.</w:t>
            </w:r>
          </w:p>
        </w:tc>
        <w:tc>
          <w:tcPr>
            <w:tcW w:type="dxa" w:w="4160"/>
            <w:shd w:fill="F7F9FB" w:val="clear"/>
            <w:tcMar>
              <w:top w:type="dxa" w:w="90"/>
              <w:left w:type="dxa" w:w="120"/>
              <w:bottom w:type="dxa" w:w="90"/>
              <w:right w:type="dxa" w:w="120"/>
            </w:tcMar>
          </w:tcPr>
          <w:p>
            <w:pPr>
              <w:spacing w:after="0" w:line="250"/>
            </w:pPr>
            <w:r>
              <w:rPr>
                <w:b w:val="false"/>
                <w:bCs w:val="false"/>
                <w:color w:val="1A1A1A"/>
                <w:sz w:val="18"/>
                <w:szCs w:val="18"/>
              </w:rPr>
              <w:t xml:space="preserve">Versioned, moderated, with a published and draft state.</w:t>
            </w:r>
          </w:p>
        </w:tc>
      </w:tr>
      <w:tr>
        <w:tc>
          <w:tcPr>
            <w:tcW w:type="dxa" w:w="1900"/>
            <w:tcMar>
              <w:top w:type="dxa" w:w="90"/>
              <w:left w:type="dxa" w:w="120"/>
              <w:bottom w:type="dxa" w:w="90"/>
              <w:right w:type="dxa" w:w="120"/>
            </w:tcMar>
          </w:tcPr>
          <w:p>
            <w:pPr>
              <w:spacing w:after="0" w:line="250"/>
            </w:pPr>
            <w:r>
              <w:rPr>
                <w:b/>
                <w:bCs/>
                <w:color w:val="1A1A1A"/>
                <w:sz w:val="18"/>
                <w:szCs w:val="18"/>
              </w:rPr>
              <w:t xml:space="preserve">PriceTier</w:t>
            </w:r>
          </w:p>
        </w:tc>
        <w:tc>
          <w:tcPr>
            <w:tcW w:type="dxa" w:w="3300"/>
            <w:tcMar>
              <w:top w:type="dxa" w:w="90"/>
              <w:left w:type="dxa" w:w="120"/>
              <w:bottom w:type="dxa" w:w="90"/>
              <w:right w:type="dxa" w:w="120"/>
            </w:tcMar>
          </w:tcPr>
          <w:p>
            <w:pPr>
              <w:spacing w:after="0" w:line="250"/>
            </w:pPr>
            <w:r>
              <w:rPr>
                <w:b w:val="false"/>
                <w:bCs w:val="false"/>
                <w:color w:val="1A1A1A"/>
                <w:sz w:val="18"/>
                <w:szCs w:val="18"/>
              </w:rPr>
              <w:t xml:space="preserve">Quantity band, unit price or range, Incoterm, currency, validity window, port.</w:t>
            </w:r>
          </w:p>
        </w:tc>
        <w:tc>
          <w:tcPr>
            <w:tcW w:type="dxa" w:w="4160"/>
            <w:tcMar>
              <w:top w:type="dxa" w:w="90"/>
              <w:left w:type="dxa" w:w="120"/>
              <w:bottom w:type="dxa" w:w="90"/>
              <w:right w:type="dxa" w:w="120"/>
            </w:tcMar>
          </w:tcPr>
          <w:p>
            <w:pPr>
              <w:spacing w:after="0" w:line="250"/>
            </w:pPr>
            <w:r>
              <w:rPr>
                <w:b w:val="false"/>
                <w:bCs w:val="false"/>
                <w:color w:val="1A1A1A"/>
                <w:sz w:val="18"/>
                <w:szCs w:val="18"/>
              </w:rPr>
              <w:t xml:space="preserve">Many per listing. Never a single price field on the listing itself.</w:t>
            </w:r>
          </w:p>
        </w:tc>
      </w:tr>
      <w:tr>
        <w:tc>
          <w:tcPr>
            <w:tcW w:type="dxa" w:w="1900"/>
            <w:shd w:fill="F7F9FB" w:val="clear"/>
            <w:tcMar>
              <w:top w:type="dxa" w:w="90"/>
              <w:left w:type="dxa" w:w="120"/>
              <w:bottom w:type="dxa" w:w="90"/>
              <w:right w:type="dxa" w:w="120"/>
            </w:tcMar>
          </w:tcPr>
          <w:p>
            <w:pPr>
              <w:spacing w:after="0" w:line="250"/>
            </w:pPr>
            <w:r>
              <w:rPr>
                <w:b/>
                <w:bCs/>
                <w:color w:val="1A1A1A"/>
                <w:sz w:val="18"/>
                <w:szCs w:val="18"/>
              </w:rPr>
              <w:t xml:space="preserve">LandedCostEstimate</w:t>
            </w:r>
          </w:p>
        </w:tc>
        <w:tc>
          <w:tcPr>
            <w:tcW w:type="dxa" w:w="3300"/>
            <w:shd w:fill="F7F9FB" w:val="clear"/>
            <w:tcMar>
              <w:top w:type="dxa" w:w="90"/>
              <w:left w:type="dxa" w:w="120"/>
              <w:bottom w:type="dxa" w:w="90"/>
              <w:right w:type="dxa" w:w="120"/>
            </w:tcMar>
          </w:tcPr>
          <w:p>
            <w:pPr>
              <w:spacing w:after="0" w:line="250"/>
            </w:pPr>
            <w:r>
              <w:rPr>
                <w:b w:val="false"/>
                <w:bCs w:val="false"/>
                <w:color w:val="1A1A1A"/>
                <w:sz w:val="18"/>
                <w:szCs w:val="18"/>
              </w:rPr>
              <w:t xml:space="preserve">Computed delivered cost per destination and quantity, with component breakdown and citations.</w:t>
            </w:r>
          </w:p>
        </w:tc>
        <w:tc>
          <w:tcPr>
            <w:tcW w:type="dxa" w:w="4160"/>
            <w:shd w:fill="F7F9FB" w:val="clear"/>
            <w:tcMar>
              <w:top w:type="dxa" w:w="90"/>
              <w:left w:type="dxa" w:w="120"/>
              <w:bottom w:type="dxa" w:w="90"/>
              <w:right w:type="dxa" w:w="120"/>
            </w:tcMar>
          </w:tcPr>
          <w:p>
            <w:pPr>
              <w:spacing w:after="0" w:line="250"/>
            </w:pPr>
            <w:r>
              <w:rPr>
                <w:b w:val="false"/>
                <w:bCs w:val="false"/>
                <w:color w:val="1A1A1A"/>
                <w:sz w:val="18"/>
                <w:szCs w:val="18"/>
              </w:rPr>
              <w:t xml:space="preserve">Cached per tariff code, origin and destination; recomputed on rate change.</w:t>
            </w:r>
          </w:p>
        </w:tc>
      </w:tr>
      <w:tr>
        <w:tc>
          <w:tcPr>
            <w:tcW w:type="dxa" w:w="1900"/>
            <w:tcMar>
              <w:top w:type="dxa" w:w="90"/>
              <w:left w:type="dxa" w:w="120"/>
              <w:bottom w:type="dxa" w:w="90"/>
              <w:right w:type="dxa" w:w="120"/>
            </w:tcMar>
          </w:tcPr>
          <w:p>
            <w:pPr>
              <w:spacing w:after="0" w:line="250"/>
            </w:pPr>
            <w:r>
              <w:rPr>
                <w:b/>
                <w:bCs/>
                <w:color w:val="1A1A1A"/>
                <w:sz w:val="18"/>
                <w:szCs w:val="18"/>
              </w:rPr>
              <w:t xml:space="preserve">Enquiry / RFQ</w:t>
            </w:r>
          </w:p>
        </w:tc>
        <w:tc>
          <w:tcPr>
            <w:tcW w:type="dxa" w:w="3300"/>
            <w:tcMar>
              <w:top w:type="dxa" w:w="90"/>
              <w:left w:type="dxa" w:w="120"/>
              <w:bottom w:type="dxa" w:w="90"/>
              <w:right w:type="dxa" w:w="120"/>
            </w:tcMar>
          </w:tcPr>
          <w:p>
            <w:pPr>
              <w:spacing w:after="0" w:line="250"/>
            </w:pPr>
            <w:r>
              <w:rPr>
                <w:b w:val="false"/>
                <w:bCs w:val="false"/>
                <w:color w:val="1A1A1A"/>
                <w:sz w:val="18"/>
                <w:szCs w:val="18"/>
              </w:rPr>
              <w:t xml:space="preserve">Buyer, listing or category, quantity, destination, specification, status.</w:t>
            </w:r>
          </w:p>
        </w:tc>
        <w:tc>
          <w:tcPr>
            <w:tcW w:type="dxa" w:w="4160"/>
            <w:tcMar>
              <w:top w:type="dxa" w:w="90"/>
              <w:left w:type="dxa" w:w="120"/>
              <w:bottom w:type="dxa" w:w="90"/>
              <w:right w:type="dxa" w:w="120"/>
            </w:tcMar>
          </w:tcPr>
          <w:p>
            <w:pPr>
              <w:spacing w:after="0" w:line="250"/>
            </w:pPr>
            <w:r>
              <w:rPr>
                <w:b w:val="false"/>
                <w:bCs w:val="false"/>
                <w:color w:val="1A1A1A"/>
                <w:sz w:val="18"/>
                <w:szCs w:val="18"/>
              </w:rPr>
              <w:t xml:space="preserve">The monetisable event. Everything is instrumented around this.</w:t>
            </w:r>
          </w:p>
        </w:tc>
      </w:tr>
      <w:tr>
        <w:tc>
          <w:tcPr>
            <w:tcW w:type="dxa" w:w="1900"/>
            <w:shd w:fill="F7F9FB" w:val="clear"/>
            <w:tcMar>
              <w:top w:type="dxa" w:w="90"/>
              <w:left w:type="dxa" w:w="120"/>
              <w:bottom w:type="dxa" w:w="90"/>
              <w:right w:type="dxa" w:w="120"/>
            </w:tcMar>
          </w:tcPr>
          <w:p>
            <w:pPr>
              <w:spacing w:after="0" w:line="250"/>
            </w:pPr>
            <w:r>
              <w:rPr>
                <w:b/>
                <w:bCs/>
                <w:color w:val="1A1A1A"/>
                <w:sz w:val="18"/>
                <w:szCs w:val="18"/>
              </w:rPr>
              <w:t xml:space="preserve">Message thread</w:t>
            </w:r>
          </w:p>
        </w:tc>
        <w:tc>
          <w:tcPr>
            <w:tcW w:type="dxa" w:w="3300"/>
            <w:shd w:fill="F7F9FB" w:val="clear"/>
            <w:tcMar>
              <w:top w:type="dxa" w:w="90"/>
              <w:left w:type="dxa" w:w="120"/>
              <w:bottom w:type="dxa" w:w="90"/>
              <w:right w:type="dxa" w:w="120"/>
            </w:tcMar>
          </w:tcPr>
          <w:p>
            <w:pPr>
              <w:spacing w:after="0" w:line="250"/>
            </w:pPr>
            <w:r>
              <w:rPr>
                <w:b w:val="false"/>
                <w:bCs w:val="false"/>
                <w:color w:val="1A1A1A"/>
                <w:sz w:val="18"/>
                <w:szCs w:val="18"/>
              </w:rPr>
              <w:t xml:space="preserve">Buyer–vendor conversation, attachments, translation.</w:t>
            </w:r>
          </w:p>
        </w:tc>
        <w:tc>
          <w:tcPr>
            <w:tcW w:type="dxa" w:w="4160"/>
            <w:shd w:fill="F7F9FB" w:val="clear"/>
            <w:tcMar>
              <w:top w:type="dxa" w:w="90"/>
              <w:left w:type="dxa" w:w="120"/>
              <w:bottom w:type="dxa" w:w="90"/>
              <w:right w:type="dxa" w:w="120"/>
            </w:tcMar>
          </w:tcPr>
          <w:p>
            <w:pPr>
              <w:spacing w:after="0" w:line="250"/>
            </w:pPr>
            <w:r>
              <w:rPr>
                <w:b w:val="false"/>
                <w:bCs w:val="false"/>
                <w:color w:val="1A1A1A"/>
                <w:sz w:val="18"/>
                <w:szCs w:val="18"/>
              </w:rPr>
              <w:t xml:space="preserve">Kept on-platform. This is how the relationship is owned.</w:t>
            </w:r>
          </w:p>
        </w:tc>
      </w:tr>
      <w:tr>
        <w:tc>
          <w:tcPr>
            <w:tcW w:type="dxa" w:w="1900"/>
            <w:tcMar>
              <w:top w:type="dxa" w:w="90"/>
              <w:left w:type="dxa" w:w="120"/>
              <w:bottom w:type="dxa" w:w="90"/>
              <w:right w:type="dxa" w:w="120"/>
            </w:tcMar>
          </w:tcPr>
          <w:p>
            <w:pPr>
              <w:spacing w:after="0" w:line="250"/>
            </w:pPr>
            <w:r>
              <w:rPr>
                <w:b/>
                <w:bCs/>
                <w:color w:val="1A1A1A"/>
                <w:sz w:val="18"/>
                <w:szCs w:val="18"/>
              </w:rPr>
              <w:t xml:space="preserve">Verification</w:t>
            </w:r>
          </w:p>
        </w:tc>
        <w:tc>
          <w:tcPr>
            <w:tcW w:type="dxa" w:w="3300"/>
            <w:tcMar>
              <w:top w:type="dxa" w:w="90"/>
              <w:left w:type="dxa" w:w="120"/>
              <w:bottom w:type="dxa" w:w="90"/>
              <w:right w:type="dxa" w:w="120"/>
            </w:tcMar>
          </w:tcPr>
          <w:p>
            <w:pPr>
              <w:spacing w:after="0" w:line="250"/>
            </w:pPr>
            <w:r>
              <w:rPr>
                <w:b w:val="false"/>
                <w:bCs w:val="false"/>
                <w:color w:val="1A1A1A"/>
                <w:sz w:val="18"/>
                <w:szCs w:val="18"/>
              </w:rPr>
              <w:t xml:space="preserve">Check type, source, result, evidence, timestamp, expiry.</w:t>
            </w:r>
          </w:p>
        </w:tc>
        <w:tc>
          <w:tcPr>
            <w:tcW w:type="dxa" w:w="4160"/>
            <w:tcMar>
              <w:top w:type="dxa" w:w="90"/>
              <w:left w:type="dxa" w:w="120"/>
              <w:bottom w:type="dxa" w:w="90"/>
              <w:right w:type="dxa" w:w="120"/>
            </w:tcMar>
          </w:tcPr>
          <w:p>
            <w:pPr>
              <w:spacing w:after="0" w:line="250"/>
            </w:pPr>
            <w:r>
              <w:rPr>
                <w:b w:val="false"/>
                <w:bCs w:val="false"/>
                <w:color w:val="1A1A1A"/>
                <w:sz w:val="18"/>
                <w:szCs w:val="18"/>
              </w:rPr>
              <w:t xml:space="preserve">Append-only. Badges are derived from current non-expired verifications, never set by hand.</w:t>
            </w:r>
          </w:p>
        </w:tc>
      </w:tr>
      <w:tr>
        <w:tc>
          <w:tcPr>
            <w:tcW w:type="dxa" w:w="1900"/>
            <w:shd w:fill="F7F9FB" w:val="clear"/>
            <w:tcMar>
              <w:top w:type="dxa" w:w="90"/>
              <w:left w:type="dxa" w:w="120"/>
              <w:bottom w:type="dxa" w:w="90"/>
              <w:right w:type="dxa" w:w="120"/>
            </w:tcMar>
          </w:tcPr>
          <w:p>
            <w:pPr>
              <w:spacing w:after="0" w:line="250"/>
            </w:pPr>
            <w:r>
              <w:rPr>
                <w:b/>
                <w:bCs/>
                <w:color w:val="1A1A1A"/>
                <w:sz w:val="18"/>
                <w:szCs w:val="18"/>
              </w:rPr>
              <w:t xml:space="preserve">ShipmentSignal</w:t>
            </w:r>
          </w:p>
        </w:tc>
        <w:tc>
          <w:tcPr>
            <w:tcW w:type="dxa" w:w="3300"/>
            <w:shd w:fill="F7F9FB" w:val="clear"/>
            <w:tcMar>
              <w:top w:type="dxa" w:w="90"/>
              <w:left w:type="dxa" w:w="120"/>
              <w:bottom w:type="dxa" w:w="90"/>
              <w:right w:type="dxa" w:w="120"/>
            </w:tcMar>
          </w:tcPr>
          <w:p>
            <w:pPr>
              <w:spacing w:after="0" w:line="250"/>
            </w:pPr>
            <w:r>
              <w:rPr>
                <w:b w:val="false"/>
                <w:bCs w:val="false"/>
                <w:color w:val="1A1A1A"/>
                <w:sz w:val="18"/>
                <w:szCs w:val="18"/>
              </w:rPr>
              <w:t xml:space="preserve">Trade-data derived export activity by tariff code and destination.</w:t>
            </w:r>
          </w:p>
        </w:tc>
        <w:tc>
          <w:tcPr>
            <w:tcW w:type="dxa" w:w="4160"/>
            <w:shd w:fill="F7F9FB" w:val="clear"/>
            <w:tcMar>
              <w:top w:type="dxa" w:w="90"/>
              <w:left w:type="dxa" w:w="120"/>
              <w:bottom w:type="dxa" w:w="90"/>
              <w:right w:type="dxa" w:w="120"/>
            </w:tcMar>
          </w:tcPr>
          <w:p>
            <w:pPr>
              <w:spacing w:after="0" w:line="250"/>
            </w:pPr>
            <w:r>
              <w:rPr>
                <w:b w:val="false"/>
                <w:bCs w:val="false"/>
                <w:color w:val="1A1A1A"/>
                <w:sz w:val="18"/>
                <w:szCs w:val="18"/>
              </w:rPr>
              <w:t xml:space="preserve">Powers the "actually ships to the USA" badge and the prospect ranking.</w:t>
            </w:r>
          </w:p>
        </w:tc>
      </w:tr>
    </w:tbl>
    <w:p>
      <w:pPr>
        <w:pStyle w:val="Heading2"/>
        <w:spacing w:after="140" w:before="320"/>
      </w:pPr>
      <w:r>
        <w:rPr>
          <w:b/>
          <w:bCs/>
          <w:color w:val="1A1A1A"/>
          <w:sz w:val="25"/>
          <w:szCs w:val="25"/>
        </w:rPr>
        <w:t xml:space="preserve">6.4  The trust layer</w:t>
      </w:r>
    </w:p>
    <w:p>
      <w:pPr>
        <w:spacing w:after="120" w:line="276"/>
      </w:pPr>
      <w:r>
        <w:rPr>
          <w:color w:val="1A1A1A"/>
          <w:sz w:val="21"/>
          <w:szCs w:val="21"/>
        </w:rPr>
        <w:t xml:space="preserve">Verification is the product in this corridor, not decoration. Tier it, show it, and never let a badge mean less than it says.</w:t>
      </w:r>
    </w:p>
    <w:tbl>
      <w:tblPr>
        <w:tblW w:type="dxa" w:w="9360"/>
        <w:tblBorders>
          <w:top w:val="single" w:color="0F4C81" w:sz="4"/>
          <w:left w:val="none"/>
          <w:bottom w:val="single" w:color="0F4C81" w:sz="4"/>
          <w:right w:val="none"/>
          <w:insideH w:val="single" w:color="C7CDD4" w:sz="2"/>
          <w:insideV w:val="none"/>
        </w:tblBorders>
      </w:tblPr>
      <w:tblGrid>
        <w:gridCol w:w="1700"/>
        <w:gridCol w:w="3300"/>
        <w:gridCol w:w="4360"/>
      </w:tblGrid>
      <w:tr>
        <w:trPr>
          <w:tblHeader/>
        </w:trPr>
        <w:tc>
          <w:tcPr>
            <w:tcW w:type="dxa" w:w="1700"/>
            <w:shd w:fill="EEF2F6" w:val="clear"/>
            <w:tcMar>
              <w:top w:type="dxa" w:w="100"/>
              <w:left w:type="dxa" w:w="120"/>
              <w:bottom w:type="dxa" w:w="100"/>
              <w:right w:type="dxa" w:w="120"/>
            </w:tcMar>
          </w:tcPr>
          <w:p>
            <w:pPr>
              <w:spacing w:after="0"/>
            </w:pPr>
            <w:r>
              <w:rPr>
                <w:b/>
                <w:bCs/>
                <w:color w:val="0F4C81"/>
                <w:sz w:val="18"/>
                <w:szCs w:val="18"/>
              </w:rPr>
              <w:t xml:space="preserve">Tier</w:t>
            </w:r>
          </w:p>
        </w:tc>
        <w:tc>
          <w:tcPr>
            <w:tcW w:type="dxa" w:w="3300"/>
            <w:shd w:fill="EEF2F6" w:val="clear"/>
            <w:tcMar>
              <w:top w:type="dxa" w:w="100"/>
              <w:left w:type="dxa" w:w="120"/>
              <w:bottom w:type="dxa" w:w="100"/>
              <w:right w:type="dxa" w:w="120"/>
            </w:tcMar>
          </w:tcPr>
          <w:p>
            <w:pPr>
              <w:spacing w:after="0"/>
            </w:pPr>
            <w:r>
              <w:rPr>
                <w:b/>
                <w:bCs/>
                <w:color w:val="0F4C81"/>
                <w:sz w:val="18"/>
                <w:szCs w:val="18"/>
              </w:rPr>
              <w:t xml:space="preserve">Requires</w:t>
            </w:r>
          </w:p>
        </w:tc>
        <w:tc>
          <w:tcPr>
            <w:tcW w:type="dxa" w:w="4360"/>
            <w:shd w:fill="EEF2F6" w:val="clear"/>
            <w:tcMar>
              <w:top w:type="dxa" w:w="100"/>
              <w:left w:type="dxa" w:w="120"/>
              <w:bottom w:type="dxa" w:w="100"/>
              <w:right w:type="dxa" w:w="120"/>
            </w:tcMar>
          </w:tcPr>
          <w:p>
            <w:pPr>
              <w:spacing w:after="0"/>
            </w:pPr>
            <w:r>
              <w:rPr>
                <w:b/>
                <w:bCs/>
                <w:color w:val="0F4C81"/>
                <w:sz w:val="18"/>
                <w:szCs w:val="18"/>
              </w:rPr>
              <w:t xml:space="preserve">Buyer signal</w:t>
            </w:r>
          </w:p>
        </w:tc>
      </w:tr>
      <w:tr>
        <w:tc>
          <w:tcPr>
            <w:tcW w:type="dxa" w:w="1700"/>
            <w:tcMar>
              <w:top w:type="dxa" w:w="90"/>
              <w:left w:type="dxa" w:w="120"/>
              <w:bottom w:type="dxa" w:w="90"/>
              <w:right w:type="dxa" w:w="120"/>
            </w:tcMar>
          </w:tcPr>
          <w:p>
            <w:pPr>
              <w:spacing w:after="0" w:line="250"/>
            </w:pPr>
            <w:r>
              <w:rPr>
                <w:b/>
                <w:bCs/>
                <w:color w:val="1A1A1A"/>
                <w:sz w:val="18"/>
                <w:szCs w:val="18"/>
              </w:rPr>
              <w:t xml:space="preserve">Listed</w:t>
            </w:r>
          </w:p>
        </w:tc>
        <w:tc>
          <w:tcPr>
            <w:tcW w:type="dxa" w:w="3300"/>
            <w:tcMar>
              <w:top w:type="dxa" w:w="90"/>
              <w:left w:type="dxa" w:w="120"/>
              <w:bottom w:type="dxa" w:w="90"/>
              <w:right w:type="dxa" w:w="120"/>
            </w:tcMar>
          </w:tcPr>
          <w:p>
            <w:pPr>
              <w:spacing w:after="0" w:line="250"/>
            </w:pPr>
            <w:r>
              <w:rPr>
                <w:b w:val="false"/>
                <w:bCs w:val="false"/>
                <w:color w:val="1A1A1A"/>
                <w:sz w:val="18"/>
                <w:szCs w:val="18"/>
              </w:rPr>
              <w:t xml:space="preserve">Public registry match only. Unclaimed.</w:t>
            </w:r>
          </w:p>
        </w:tc>
        <w:tc>
          <w:tcPr>
            <w:tcW w:type="dxa" w:w="4360"/>
            <w:tcMar>
              <w:top w:type="dxa" w:w="90"/>
              <w:left w:type="dxa" w:w="120"/>
              <w:bottom w:type="dxa" w:w="90"/>
              <w:right w:type="dxa" w:w="120"/>
            </w:tcMar>
          </w:tcPr>
          <w:p>
            <w:pPr>
              <w:spacing w:after="0" w:line="250"/>
            </w:pPr>
            <w:r>
              <w:rPr>
                <w:b w:val="false"/>
                <w:bCs w:val="false"/>
                <w:color w:val="1A1A1A"/>
                <w:sz w:val="18"/>
                <w:szCs w:val="18"/>
              </w:rPr>
              <w:t xml:space="preserve">"Public records show this exporter exists." No contact released.</w:t>
            </w:r>
          </w:p>
        </w:tc>
      </w:tr>
      <w:tr>
        <w:tc>
          <w:tcPr>
            <w:tcW w:type="dxa" w:w="1700"/>
            <w:shd w:fill="F7F9FB" w:val="clear"/>
            <w:tcMar>
              <w:top w:type="dxa" w:w="90"/>
              <w:left w:type="dxa" w:w="120"/>
              <w:bottom w:type="dxa" w:w="90"/>
              <w:right w:type="dxa" w:w="120"/>
            </w:tcMar>
          </w:tcPr>
          <w:p>
            <w:pPr>
              <w:spacing w:after="0" w:line="250"/>
            </w:pPr>
            <w:r>
              <w:rPr>
                <w:b/>
                <w:bCs/>
                <w:color w:val="1A1A1A"/>
                <w:sz w:val="18"/>
                <w:szCs w:val="18"/>
              </w:rPr>
              <w:t xml:space="preserve">Claimed</w:t>
            </w:r>
          </w:p>
        </w:tc>
        <w:tc>
          <w:tcPr>
            <w:tcW w:type="dxa" w:w="3300"/>
            <w:shd w:fill="F7F9FB" w:val="clear"/>
            <w:tcMar>
              <w:top w:type="dxa" w:w="90"/>
              <w:left w:type="dxa" w:w="120"/>
              <w:bottom w:type="dxa" w:w="90"/>
              <w:right w:type="dxa" w:w="120"/>
            </w:tcMar>
          </w:tcPr>
          <w:p>
            <w:pPr>
              <w:spacing w:after="0" w:line="250"/>
            </w:pPr>
            <w:r>
              <w:rPr>
                <w:b w:val="false"/>
                <w:bCs w:val="false"/>
                <w:color w:val="1A1A1A"/>
                <w:sz w:val="18"/>
                <w:szCs w:val="18"/>
              </w:rPr>
              <w:t xml:space="preserve">Control of the entity proven; terms and consent accepted.</w:t>
            </w:r>
          </w:p>
        </w:tc>
        <w:tc>
          <w:tcPr>
            <w:tcW w:type="dxa" w:w="4360"/>
            <w:shd w:fill="F7F9FB" w:val="clear"/>
            <w:tcMar>
              <w:top w:type="dxa" w:w="90"/>
              <w:left w:type="dxa" w:w="120"/>
              <w:bottom w:type="dxa" w:w="90"/>
              <w:right w:type="dxa" w:w="120"/>
            </w:tcMar>
          </w:tcPr>
          <w:p>
            <w:pPr>
              <w:spacing w:after="0" w:line="250"/>
            </w:pPr>
            <w:r>
              <w:rPr>
                <w:b w:val="false"/>
                <w:bCs w:val="false"/>
                <w:color w:val="1A1A1A"/>
                <w:sz w:val="18"/>
                <w:szCs w:val="18"/>
              </w:rPr>
              <w:t xml:space="preserve">"The vendor manages this page." Contact released on enquiry.</w:t>
            </w:r>
          </w:p>
        </w:tc>
      </w:tr>
      <w:tr>
        <w:tc>
          <w:tcPr>
            <w:tcW w:type="dxa" w:w="1700"/>
            <w:tcMar>
              <w:top w:type="dxa" w:w="90"/>
              <w:left w:type="dxa" w:w="120"/>
              <w:bottom w:type="dxa" w:w="90"/>
              <w:right w:type="dxa" w:w="120"/>
            </w:tcMar>
          </w:tcPr>
          <w:p>
            <w:pPr>
              <w:spacing w:after="0" w:line="250"/>
            </w:pPr>
            <w:r>
              <w:rPr>
                <w:b/>
                <w:bCs/>
                <w:color w:val="1A1A1A"/>
                <w:sz w:val="18"/>
                <w:szCs w:val="18"/>
              </w:rPr>
              <w:t xml:space="preserve">Verified</w:t>
            </w:r>
          </w:p>
        </w:tc>
        <w:tc>
          <w:tcPr>
            <w:tcW w:type="dxa" w:w="3300"/>
            <w:tcMar>
              <w:top w:type="dxa" w:w="90"/>
              <w:left w:type="dxa" w:w="120"/>
              <w:bottom w:type="dxa" w:w="90"/>
              <w:right w:type="dxa" w:w="120"/>
            </w:tcMar>
          </w:tcPr>
          <w:p>
            <w:pPr>
              <w:spacing w:after="0" w:line="250"/>
            </w:pPr>
            <w:r>
              <w:rPr>
                <w:b w:val="false"/>
                <w:bCs w:val="false"/>
                <w:color w:val="1A1A1A"/>
                <w:sz w:val="18"/>
                <w:szCs w:val="18"/>
              </w:rPr>
              <w:t xml:space="preserve">IEC active, GSTIN active and filing, MCA status active, sanctions screen clear.</w:t>
            </w:r>
          </w:p>
        </w:tc>
        <w:tc>
          <w:tcPr>
            <w:tcW w:type="dxa" w:w="4360"/>
            <w:tcMar>
              <w:top w:type="dxa" w:w="90"/>
              <w:left w:type="dxa" w:w="120"/>
              <w:bottom w:type="dxa" w:w="90"/>
              <w:right w:type="dxa" w:w="120"/>
            </w:tcMar>
          </w:tcPr>
          <w:p>
            <w:pPr>
              <w:spacing w:after="0" w:line="250"/>
            </w:pPr>
            <w:r>
              <w:rPr>
                <w:b w:val="false"/>
                <w:bCs w:val="false"/>
                <w:color w:val="1A1A1A"/>
                <w:sz w:val="18"/>
                <w:szCs w:val="18"/>
              </w:rPr>
              <w:t xml:space="preserve">The default target state for every vendor on the platform.</w:t>
            </w:r>
          </w:p>
        </w:tc>
      </w:tr>
      <w:tr>
        <w:tc>
          <w:tcPr>
            <w:tcW w:type="dxa" w:w="1700"/>
            <w:shd w:fill="F7F9FB" w:val="clear"/>
            <w:tcMar>
              <w:top w:type="dxa" w:w="90"/>
              <w:left w:type="dxa" w:w="120"/>
              <w:bottom w:type="dxa" w:w="90"/>
              <w:right w:type="dxa" w:w="120"/>
            </w:tcMar>
          </w:tcPr>
          <w:p>
            <w:pPr>
              <w:spacing w:after="0" w:line="250"/>
            </w:pPr>
            <w:r>
              <w:rPr>
                <w:b/>
                <w:bCs/>
                <w:color w:val="1A1A1A"/>
                <w:sz w:val="18"/>
                <w:szCs w:val="18"/>
              </w:rPr>
              <w:t xml:space="preserve">Trade-proven</w:t>
            </w:r>
          </w:p>
        </w:tc>
        <w:tc>
          <w:tcPr>
            <w:tcW w:type="dxa" w:w="3300"/>
            <w:shd w:fill="F7F9FB" w:val="clear"/>
            <w:tcMar>
              <w:top w:type="dxa" w:w="90"/>
              <w:left w:type="dxa" w:w="120"/>
              <w:bottom w:type="dxa" w:w="90"/>
              <w:right w:type="dxa" w:w="120"/>
            </w:tcMar>
          </w:tcPr>
          <w:p>
            <w:pPr>
              <w:spacing w:after="0" w:line="250"/>
            </w:pPr>
            <w:r>
              <w:rPr>
                <w:b w:val="false"/>
                <w:bCs w:val="false"/>
                <w:color w:val="1A1A1A"/>
                <w:sz w:val="18"/>
                <w:szCs w:val="18"/>
              </w:rPr>
              <w:t xml:space="preserve">Independent shipment records show exports to the USA under the listed classifications.</w:t>
            </w:r>
          </w:p>
        </w:tc>
        <w:tc>
          <w:tcPr>
            <w:tcW w:type="dxa" w:w="4360"/>
            <w:shd w:fill="F7F9FB" w:val="clear"/>
            <w:tcMar>
              <w:top w:type="dxa" w:w="90"/>
              <w:left w:type="dxa" w:w="120"/>
              <w:bottom w:type="dxa" w:w="90"/>
              <w:right w:type="dxa" w:w="120"/>
            </w:tcMar>
          </w:tcPr>
          <w:p>
            <w:pPr>
              <w:spacing w:after="0" w:line="250"/>
            </w:pPr>
            <w:r>
              <w:rPr>
                <w:b w:val="false"/>
                <w:bCs w:val="false"/>
                <w:color w:val="1A1A1A"/>
                <w:sz w:val="18"/>
                <w:szCs w:val="18"/>
              </w:rPr>
              <w:t xml:space="preserve">The strongest signal available and the hardest to fake — this is what a nervous first-time buyer is actually looking for.</w:t>
            </w:r>
          </w:p>
        </w:tc>
      </w:tr>
      <w:tr>
        <w:tc>
          <w:tcPr>
            <w:tcW w:type="dxa" w:w="1700"/>
            <w:tcMar>
              <w:top w:type="dxa" w:w="90"/>
              <w:left w:type="dxa" w:w="120"/>
              <w:bottom w:type="dxa" w:w="90"/>
              <w:right w:type="dxa" w:w="120"/>
            </w:tcMar>
          </w:tcPr>
          <w:p>
            <w:pPr>
              <w:spacing w:after="0" w:line="250"/>
            </w:pPr>
            <w:r>
              <w:rPr>
                <w:b/>
                <w:bCs/>
                <w:color w:val="1A1A1A"/>
                <w:sz w:val="18"/>
                <w:szCs w:val="18"/>
              </w:rPr>
              <w:t xml:space="preserve">Audited</w:t>
            </w:r>
          </w:p>
        </w:tc>
        <w:tc>
          <w:tcPr>
            <w:tcW w:type="dxa" w:w="3300"/>
            <w:tcMar>
              <w:top w:type="dxa" w:w="90"/>
              <w:left w:type="dxa" w:w="120"/>
              <w:bottom w:type="dxa" w:w="90"/>
              <w:right w:type="dxa" w:w="120"/>
            </w:tcMar>
          </w:tcPr>
          <w:p>
            <w:pPr>
              <w:spacing w:after="0" w:line="250"/>
            </w:pPr>
            <w:r>
              <w:rPr>
                <w:b w:val="false"/>
                <w:bCs w:val="false"/>
                <w:color w:val="1A1A1A"/>
                <w:sz w:val="18"/>
                <w:szCs w:val="18"/>
              </w:rPr>
              <w:t xml:space="preserve">Third-party factory or quality audit, or recognised certification verified at source.</w:t>
            </w:r>
          </w:p>
        </w:tc>
        <w:tc>
          <w:tcPr>
            <w:tcW w:type="dxa" w:w="4360"/>
            <w:tcMar>
              <w:top w:type="dxa" w:w="90"/>
              <w:left w:type="dxa" w:w="120"/>
              <w:bottom w:type="dxa" w:w="90"/>
              <w:right w:type="dxa" w:w="120"/>
            </w:tcMar>
          </w:tcPr>
          <w:p>
            <w:pPr>
              <w:spacing w:after="0" w:line="250"/>
            </w:pPr>
            <w:r>
              <w:rPr>
                <w:b w:val="false"/>
                <w:bCs w:val="false"/>
                <w:color w:val="1A1A1A"/>
                <w:sz w:val="18"/>
                <w:szCs w:val="18"/>
              </w:rPr>
              <w:t xml:space="preserve">Premium tier, partner-delivered, chargeable.</w:t>
            </w:r>
          </w:p>
        </w:tc>
      </w:tr>
    </w:tbl>
    <w:p>
      <w:pPr>
        <w:spacing w:after="60"/>
      </w:pPr>
    </w:p>
    <w:p>
      <w:pPr>
        <w:spacing w:after="120" w:line="276"/>
      </w:pPr>
      <w:r>
        <w:rPr>
          <w:color w:val="1A1A1A"/>
          <w:sz w:val="21"/>
          <w:szCs w:val="21"/>
        </w:rPr>
        <w:t xml:space="preserve">Screening against restricted-party lists runs on every vendor at onboarding and on a schedule thereafter, in both directions, using the free consolidated feed described in Section 8. A vendor appearing on a list must be suspended automatically, not flagged for review.</w:t>
      </w:r>
    </w:p>
    <w:p>
      <w:r>
        <w:br w:type="page"/>
      </w:r>
    </w:p>
    <w:p>
      <w:pPr>
        <w:pStyle w:val="Heading1"/>
        <w:spacing w:after="200" w:before="400"/>
      </w:pPr>
      <w:r>
        <w:rPr>
          <w:b/>
          <w:bCs/>
          <w:color w:val="0F4C81"/>
          <w:sz w:val="32"/>
          <w:szCs w:val="32"/>
        </w:rPr>
        <w:t xml:space="preserve">7.  Technology stack</w:t>
      </w:r>
    </w:p>
    <w:p>
      <w:pPr>
        <w:spacing w:after="120" w:line="276"/>
      </w:pPr>
      <w:r>
        <w:rPr>
          <w:color w:val="1A1A1A"/>
          <w:sz w:val="21"/>
          <w:szCs w:val="21"/>
        </w:rPr>
        <w:t xml:space="preserve">You already operate a Python and React stack on managed infrastructure. Extend it. A marketplace is not technically exotic; the risk in this project is entirely in supply acquisition and data quality, and a stack rewrite would spend the budget in the wrong place.</w:t>
      </w:r>
    </w:p>
    <w:p>
      <w:pPr>
        <w:pStyle w:val="Heading2"/>
        <w:spacing w:after="140" w:before="320"/>
      </w:pPr>
      <w:r>
        <w:rPr>
          <w:b/>
          <w:bCs/>
          <w:color w:val="1A1A1A"/>
          <w:sz w:val="25"/>
          <w:szCs w:val="25"/>
        </w:rPr>
        <w:t xml:space="preserve">7.1  Recommended stack</w:t>
      </w:r>
    </w:p>
    <w:tbl>
      <w:tblPr>
        <w:tblW w:type="dxa" w:w="9360"/>
        <w:tblBorders>
          <w:top w:val="single" w:color="0F4C81" w:sz="4"/>
          <w:left w:val="none"/>
          <w:bottom w:val="single" w:color="0F4C81" w:sz="4"/>
          <w:right w:val="none"/>
          <w:insideH w:val="single" w:color="C7CDD4" w:sz="2"/>
          <w:insideV w:val="none"/>
        </w:tblBorders>
      </w:tblPr>
      <w:tblGrid>
        <w:gridCol w:w="1900"/>
        <w:gridCol w:w="2500"/>
        <w:gridCol w:w="4960"/>
      </w:tblGrid>
      <w:tr>
        <w:trPr>
          <w:tblHeader/>
        </w:trPr>
        <w:tc>
          <w:tcPr>
            <w:tcW w:type="dxa" w:w="1900"/>
            <w:shd w:fill="EEF2F6" w:val="clear"/>
            <w:tcMar>
              <w:top w:type="dxa" w:w="100"/>
              <w:left w:type="dxa" w:w="120"/>
              <w:bottom w:type="dxa" w:w="100"/>
              <w:right w:type="dxa" w:w="120"/>
            </w:tcMar>
          </w:tcPr>
          <w:p>
            <w:pPr>
              <w:spacing w:after="0"/>
            </w:pPr>
            <w:r>
              <w:rPr>
                <w:b/>
                <w:bCs/>
                <w:color w:val="0F4C81"/>
                <w:sz w:val="18"/>
                <w:szCs w:val="18"/>
              </w:rPr>
              <w:t xml:space="preserve">Layer</w:t>
            </w:r>
          </w:p>
        </w:tc>
        <w:tc>
          <w:tcPr>
            <w:tcW w:type="dxa" w:w="2500"/>
            <w:shd w:fill="EEF2F6" w:val="clear"/>
            <w:tcMar>
              <w:top w:type="dxa" w:w="100"/>
              <w:left w:type="dxa" w:w="120"/>
              <w:bottom w:type="dxa" w:w="100"/>
              <w:right w:type="dxa" w:w="120"/>
            </w:tcMar>
          </w:tcPr>
          <w:p>
            <w:pPr>
              <w:spacing w:after="0"/>
            </w:pPr>
            <w:r>
              <w:rPr>
                <w:b/>
                <w:bCs/>
                <w:color w:val="0F4C81"/>
                <w:sz w:val="18"/>
                <w:szCs w:val="18"/>
              </w:rPr>
              <w:t xml:space="preserve">Choice</w:t>
            </w:r>
          </w:p>
        </w:tc>
        <w:tc>
          <w:tcPr>
            <w:tcW w:type="dxa" w:w="4960"/>
            <w:shd w:fill="EEF2F6" w:val="clear"/>
            <w:tcMar>
              <w:top w:type="dxa" w:w="100"/>
              <w:left w:type="dxa" w:w="120"/>
              <w:bottom w:type="dxa" w:w="100"/>
              <w:right w:type="dxa" w:w="120"/>
            </w:tcMar>
          </w:tcPr>
          <w:p>
            <w:pPr>
              <w:spacing w:after="0"/>
            </w:pPr>
            <w:r>
              <w:rPr>
                <w:b/>
                <w:bCs/>
                <w:color w:val="0F4C81"/>
                <w:sz w:val="18"/>
                <w:szCs w:val="18"/>
              </w:rPr>
              <w:t xml:space="preserve">Why</w:t>
            </w:r>
          </w:p>
        </w:tc>
      </w:tr>
      <w:tr>
        <w:tc>
          <w:tcPr>
            <w:tcW w:type="dxa" w:w="1900"/>
            <w:tcMar>
              <w:top w:type="dxa" w:w="90"/>
              <w:left w:type="dxa" w:w="120"/>
              <w:bottom w:type="dxa" w:w="90"/>
              <w:right w:type="dxa" w:w="120"/>
            </w:tcMar>
          </w:tcPr>
          <w:p>
            <w:pPr>
              <w:spacing w:after="0" w:line="250"/>
            </w:pPr>
            <w:r>
              <w:rPr>
                <w:b/>
                <w:bCs/>
                <w:color w:val="1A1A1A"/>
                <w:sz w:val="18"/>
                <w:szCs w:val="18"/>
              </w:rPr>
              <w:t xml:space="preserve">Backend</w:t>
            </w:r>
          </w:p>
        </w:tc>
        <w:tc>
          <w:tcPr>
            <w:tcW w:type="dxa" w:w="2500"/>
            <w:tcMar>
              <w:top w:type="dxa" w:w="90"/>
              <w:left w:type="dxa" w:w="120"/>
              <w:bottom w:type="dxa" w:w="90"/>
              <w:right w:type="dxa" w:w="120"/>
            </w:tcMar>
          </w:tcPr>
          <w:p>
            <w:pPr>
              <w:spacing w:after="0" w:line="250"/>
            </w:pPr>
            <w:r>
              <w:rPr>
                <w:b w:val="false"/>
                <w:bCs w:val="false"/>
                <w:color w:val="1A1A1A"/>
                <w:sz w:val="18"/>
                <w:szCs w:val="18"/>
              </w:rPr>
              <w:t xml:space="preserve">Python with FastAPI</w:t>
            </w:r>
          </w:p>
        </w:tc>
        <w:tc>
          <w:tcPr>
            <w:tcW w:type="dxa" w:w="4960"/>
            <w:tcMar>
              <w:top w:type="dxa" w:w="90"/>
              <w:left w:type="dxa" w:w="120"/>
              <w:bottom w:type="dxa" w:w="90"/>
              <w:right w:type="dxa" w:w="120"/>
            </w:tcMar>
          </w:tcPr>
          <w:p>
            <w:pPr>
              <w:spacing w:after="0" w:line="250"/>
            </w:pPr>
            <w:r>
              <w:rPr>
                <w:b w:val="false"/>
                <w:bCs w:val="false"/>
                <w:color w:val="1A1A1A"/>
                <w:sz w:val="18"/>
                <w:szCs w:val="18"/>
              </w:rPr>
              <w:t xml:space="preserve">Already in use. Async suits the integration-heavy workload, and the AI tooling ecosystem is Python-native.</w:t>
            </w:r>
          </w:p>
        </w:tc>
      </w:tr>
      <w:tr>
        <w:tc>
          <w:tcPr>
            <w:tcW w:type="dxa" w:w="1900"/>
            <w:shd w:fill="F7F9FB" w:val="clear"/>
            <w:tcMar>
              <w:top w:type="dxa" w:w="90"/>
              <w:left w:type="dxa" w:w="120"/>
              <w:bottom w:type="dxa" w:w="90"/>
              <w:right w:type="dxa" w:w="120"/>
            </w:tcMar>
          </w:tcPr>
          <w:p>
            <w:pPr>
              <w:spacing w:after="0" w:line="250"/>
            </w:pPr>
            <w:r>
              <w:rPr>
                <w:b/>
                <w:bCs/>
                <w:color w:val="1A1A1A"/>
                <w:sz w:val="18"/>
                <w:szCs w:val="18"/>
              </w:rPr>
              <w:t xml:space="preserve">Database</w:t>
            </w:r>
          </w:p>
        </w:tc>
        <w:tc>
          <w:tcPr>
            <w:tcW w:type="dxa" w:w="2500"/>
            <w:shd w:fill="F7F9FB" w:val="clear"/>
            <w:tcMar>
              <w:top w:type="dxa" w:w="90"/>
              <w:left w:type="dxa" w:w="120"/>
              <w:bottom w:type="dxa" w:w="90"/>
              <w:right w:type="dxa" w:w="120"/>
            </w:tcMar>
          </w:tcPr>
          <w:p>
            <w:pPr>
              <w:spacing w:after="0" w:line="250"/>
            </w:pPr>
            <w:r>
              <w:rPr>
                <w:b w:val="false"/>
                <w:bCs w:val="false"/>
                <w:color w:val="1A1A1A"/>
                <w:sz w:val="18"/>
                <w:szCs w:val="18"/>
              </w:rPr>
              <w:t xml:space="preserve">PostgreSQL, managed</w:t>
            </w:r>
          </w:p>
        </w:tc>
        <w:tc>
          <w:tcPr>
            <w:tcW w:type="dxa" w:w="4960"/>
            <w:shd w:fill="F7F9FB" w:val="clear"/>
            <w:tcMar>
              <w:top w:type="dxa" w:w="90"/>
              <w:left w:type="dxa" w:w="120"/>
              <w:bottom w:type="dxa" w:w="90"/>
              <w:right w:type="dxa" w:w="120"/>
            </w:tcMar>
          </w:tcPr>
          <w:p>
            <w:pPr>
              <w:spacing w:after="0" w:line="250"/>
            </w:pPr>
            <w:r>
              <w:rPr>
                <w:b w:val="false"/>
                <w:bCs w:val="false"/>
                <w:color w:val="1A1A1A"/>
                <w:sz w:val="18"/>
                <w:szCs w:val="18"/>
              </w:rPr>
              <w:t xml:space="preserve">Already in use. Handles the relational core, JSON specification blobs, full-text search for version one, and vector search through the pgvector extension — one database instead of four.</w:t>
            </w:r>
          </w:p>
        </w:tc>
      </w:tr>
      <w:tr>
        <w:tc>
          <w:tcPr>
            <w:tcW w:type="dxa" w:w="1900"/>
            <w:tcMar>
              <w:top w:type="dxa" w:w="90"/>
              <w:left w:type="dxa" w:w="120"/>
              <w:bottom w:type="dxa" w:w="90"/>
              <w:right w:type="dxa" w:w="120"/>
            </w:tcMar>
          </w:tcPr>
          <w:p>
            <w:pPr>
              <w:spacing w:after="0" w:line="250"/>
            </w:pPr>
            <w:r>
              <w:rPr>
                <w:b/>
                <w:bCs/>
                <w:color w:val="1A1A1A"/>
                <w:sz w:val="18"/>
                <w:szCs w:val="18"/>
              </w:rPr>
              <w:t xml:space="preserve">Search</w:t>
            </w:r>
          </w:p>
        </w:tc>
        <w:tc>
          <w:tcPr>
            <w:tcW w:type="dxa" w:w="2500"/>
            <w:tcMar>
              <w:top w:type="dxa" w:w="90"/>
              <w:left w:type="dxa" w:w="120"/>
              <w:bottom w:type="dxa" w:w="90"/>
              <w:right w:type="dxa" w:w="120"/>
            </w:tcMar>
          </w:tcPr>
          <w:p>
            <w:pPr>
              <w:spacing w:after="0" w:line="250"/>
            </w:pPr>
            <w:r>
              <w:rPr>
                <w:b w:val="false"/>
                <w:bCs w:val="false"/>
                <w:color w:val="1A1A1A"/>
                <w:sz w:val="18"/>
                <w:szCs w:val="18"/>
              </w:rPr>
              <w:t xml:space="preserve">Postgres full-text first; Typesense from Phase 2</w:t>
            </w:r>
          </w:p>
        </w:tc>
        <w:tc>
          <w:tcPr>
            <w:tcW w:type="dxa" w:w="4960"/>
            <w:tcMar>
              <w:top w:type="dxa" w:w="90"/>
              <w:left w:type="dxa" w:w="120"/>
              <w:bottom w:type="dxa" w:w="90"/>
              <w:right w:type="dxa" w:w="120"/>
            </w:tcMar>
          </w:tcPr>
          <w:p>
            <w:pPr>
              <w:spacing w:after="0" w:line="250"/>
            </w:pPr>
            <w:r>
              <w:rPr>
                <w:b w:val="false"/>
                <w:bCs w:val="false"/>
                <w:color w:val="1A1A1A"/>
                <w:sz w:val="18"/>
                <w:szCs w:val="18"/>
              </w:rPr>
              <w:t xml:space="preserve">Research is consistent: for catalogues into the millions with heavy faceting, Typesense handles the load and self-hosts cheaply; Meilisearch is stronger on developer experience but weaker above roughly 200,000 items with heavy facets; managed search is fastest to ship and materially more expensive at scale. Do not add a search service before you have a catalogue worth indexing.</w:t>
            </w:r>
          </w:p>
        </w:tc>
      </w:tr>
      <w:tr>
        <w:tc>
          <w:tcPr>
            <w:tcW w:type="dxa" w:w="1900"/>
            <w:shd w:fill="F7F9FB" w:val="clear"/>
            <w:tcMar>
              <w:top w:type="dxa" w:w="90"/>
              <w:left w:type="dxa" w:w="120"/>
              <w:bottom w:type="dxa" w:w="90"/>
              <w:right w:type="dxa" w:w="120"/>
            </w:tcMar>
          </w:tcPr>
          <w:p>
            <w:pPr>
              <w:spacing w:after="0" w:line="250"/>
            </w:pPr>
            <w:r>
              <w:rPr>
                <w:b/>
                <w:bCs/>
                <w:color w:val="1A1A1A"/>
                <w:sz w:val="18"/>
                <w:szCs w:val="18"/>
              </w:rPr>
              <w:t xml:space="preserve">Vector search</w:t>
            </w:r>
          </w:p>
        </w:tc>
        <w:tc>
          <w:tcPr>
            <w:tcW w:type="dxa" w:w="2500"/>
            <w:shd w:fill="F7F9FB" w:val="clear"/>
            <w:tcMar>
              <w:top w:type="dxa" w:w="90"/>
              <w:left w:type="dxa" w:w="120"/>
              <w:bottom w:type="dxa" w:w="90"/>
              <w:right w:type="dxa" w:w="120"/>
            </w:tcMar>
          </w:tcPr>
          <w:p>
            <w:pPr>
              <w:spacing w:after="0" w:line="250"/>
            </w:pPr>
            <w:r>
              <w:rPr>
                <w:b w:val="false"/>
                <w:bCs w:val="false"/>
                <w:color w:val="1A1A1A"/>
                <w:sz w:val="18"/>
                <w:szCs w:val="18"/>
              </w:rPr>
              <w:t xml:space="preserve">pgvector</w:t>
            </w:r>
          </w:p>
        </w:tc>
        <w:tc>
          <w:tcPr>
            <w:tcW w:type="dxa" w:w="4960"/>
            <w:shd w:fill="F7F9FB" w:val="clear"/>
            <w:tcMar>
              <w:top w:type="dxa" w:w="90"/>
              <w:left w:type="dxa" w:w="120"/>
              <w:bottom w:type="dxa" w:w="90"/>
              <w:right w:type="dxa" w:w="120"/>
            </w:tcMar>
          </w:tcPr>
          <w:p>
            <w:pPr>
              <w:spacing w:after="0" w:line="250"/>
            </w:pPr>
            <w:r>
              <w:rPr>
                <w:b w:val="false"/>
                <w:bCs w:val="false"/>
                <w:color w:val="1A1A1A"/>
                <w:sz w:val="18"/>
                <w:szCs w:val="18"/>
              </w:rPr>
              <w:t xml:space="preserve">Semantic matching and similar-product discovery without a separate vector database. Move only if scale forces it.</w:t>
            </w:r>
          </w:p>
        </w:tc>
      </w:tr>
      <w:tr>
        <w:tc>
          <w:tcPr>
            <w:tcW w:type="dxa" w:w="1900"/>
            <w:tcMar>
              <w:top w:type="dxa" w:w="90"/>
              <w:left w:type="dxa" w:w="120"/>
              <w:bottom w:type="dxa" w:w="90"/>
              <w:right w:type="dxa" w:w="120"/>
            </w:tcMar>
          </w:tcPr>
          <w:p>
            <w:pPr>
              <w:spacing w:after="0" w:line="250"/>
            </w:pPr>
            <w:r>
              <w:rPr>
                <w:b/>
                <w:bCs/>
                <w:color w:val="1A1A1A"/>
                <w:sz w:val="18"/>
                <w:szCs w:val="18"/>
              </w:rPr>
              <w:t xml:space="preserve">Cache and queue</w:t>
            </w:r>
          </w:p>
        </w:tc>
        <w:tc>
          <w:tcPr>
            <w:tcW w:type="dxa" w:w="2500"/>
            <w:tcMar>
              <w:top w:type="dxa" w:w="90"/>
              <w:left w:type="dxa" w:w="120"/>
              <w:bottom w:type="dxa" w:w="90"/>
              <w:right w:type="dxa" w:w="120"/>
            </w:tcMar>
          </w:tcPr>
          <w:p>
            <w:pPr>
              <w:spacing w:after="0" w:line="250"/>
            </w:pPr>
            <w:r>
              <w:rPr>
                <w:b w:val="false"/>
                <w:bCs w:val="false"/>
                <w:color w:val="1A1A1A"/>
                <w:sz w:val="18"/>
                <w:szCs w:val="18"/>
              </w:rPr>
              <w:t xml:space="preserve">Redis, managed</w:t>
            </w:r>
          </w:p>
        </w:tc>
        <w:tc>
          <w:tcPr>
            <w:tcW w:type="dxa" w:w="4960"/>
            <w:tcMar>
              <w:top w:type="dxa" w:w="90"/>
              <w:left w:type="dxa" w:w="120"/>
              <w:bottom w:type="dxa" w:w="90"/>
              <w:right w:type="dxa" w:w="120"/>
            </w:tcMar>
          </w:tcPr>
          <w:p>
            <w:pPr>
              <w:spacing w:after="0" w:line="250"/>
            </w:pPr>
            <w:r>
              <w:rPr>
                <w:b w:val="false"/>
                <w:bCs w:val="false"/>
                <w:color w:val="1A1A1A"/>
                <w:sz w:val="18"/>
                <w:szCs w:val="18"/>
              </w:rPr>
              <w:t xml:space="preserve">Already in use. Caching, rate limiting, and a job queue with a Python worker framework.</w:t>
            </w:r>
          </w:p>
        </w:tc>
      </w:tr>
      <w:tr>
        <w:tc>
          <w:tcPr>
            <w:tcW w:type="dxa" w:w="1900"/>
            <w:shd w:fill="F7F9FB" w:val="clear"/>
            <w:tcMar>
              <w:top w:type="dxa" w:w="90"/>
              <w:left w:type="dxa" w:w="120"/>
              <w:bottom w:type="dxa" w:w="90"/>
              <w:right w:type="dxa" w:w="120"/>
            </w:tcMar>
          </w:tcPr>
          <w:p>
            <w:pPr>
              <w:spacing w:after="0" w:line="250"/>
            </w:pPr>
            <w:r>
              <w:rPr>
                <w:b/>
                <w:bCs/>
                <w:color w:val="1A1A1A"/>
                <w:sz w:val="18"/>
                <w:szCs w:val="18"/>
              </w:rPr>
              <w:t xml:space="preserve">Object storage</w:t>
            </w:r>
          </w:p>
        </w:tc>
        <w:tc>
          <w:tcPr>
            <w:tcW w:type="dxa" w:w="2500"/>
            <w:shd w:fill="F7F9FB" w:val="clear"/>
            <w:tcMar>
              <w:top w:type="dxa" w:w="90"/>
              <w:left w:type="dxa" w:w="120"/>
              <w:bottom w:type="dxa" w:w="90"/>
              <w:right w:type="dxa" w:w="120"/>
            </w:tcMar>
          </w:tcPr>
          <w:p>
            <w:pPr>
              <w:spacing w:after="0" w:line="250"/>
            </w:pPr>
            <w:r>
              <w:rPr>
                <w:b w:val="false"/>
                <w:bCs w:val="false"/>
                <w:color w:val="1A1A1A"/>
                <w:sz w:val="18"/>
                <w:szCs w:val="18"/>
              </w:rPr>
              <w:t xml:space="preserve">S3-compatible, with an image CDN</w:t>
            </w:r>
          </w:p>
        </w:tc>
        <w:tc>
          <w:tcPr>
            <w:tcW w:type="dxa" w:w="4960"/>
            <w:shd w:fill="F7F9FB" w:val="clear"/>
            <w:tcMar>
              <w:top w:type="dxa" w:w="90"/>
              <w:left w:type="dxa" w:w="120"/>
              <w:bottom w:type="dxa" w:w="90"/>
              <w:right w:type="dxa" w:w="120"/>
            </w:tcMar>
          </w:tcPr>
          <w:p>
            <w:pPr>
              <w:spacing w:after="0" w:line="250"/>
            </w:pPr>
            <w:r>
              <w:rPr>
                <w:b w:val="false"/>
                <w:bCs w:val="false"/>
                <w:color w:val="1A1A1A"/>
                <w:sz w:val="18"/>
                <w:szCs w:val="18"/>
              </w:rPr>
              <w:t xml:space="preserve">Product images are the bulk of stored bytes. Store originals, serve derivatives through a transforming CDN. Egress pricing matters here — prefer a provider without egress fees.</w:t>
            </w:r>
          </w:p>
        </w:tc>
      </w:tr>
      <w:tr>
        <w:tc>
          <w:tcPr>
            <w:tcW w:type="dxa" w:w="1900"/>
            <w:tcMar>
              <w:top w:type="dxa" w:w="90"/>
              <w:left w:type="dxa" w:w="120"/>
              <w:bottom w:type="dxa" w:w="90"/>
              <w:right w:type="dxa" w:w="120"/>
            </w:tcMar>
          </w:tcPr>
          <w:p>
            <w:pPr>
              <w:spacing w:after="0" w:line="250"/>
            </w:pPr>
            <w:r>
              <w:rPr>
                <w:b/>
                <w:bCs/>
                <w:color w:val="1A1A1A"/>
                <w:sz w:val="18"/>
                <w:szCs w:val="18"/>
              </w:rPr>
              <w:t xml:space="preserve">Frontend</w:t>
            </w:r>
          </w:p>
        </w:tc>
        <w:tc>
          <w:tcPr>
            <w:tcW w:type="dxa" w:w="2500"/>
            <w:tcMar>
              <w:top w:type="dxa" w:w="90"/>
              <w:left w:type="dxa" w:w="120"/>
              <w:bottom w:type="dxa" w:w="90"/>
              <w:right w:type="dxa" w:w="120"/>
            </w:tcMar>
          </w:tcPr>
          <w:p>
            <w:pPr>
              <w:spacing w:after="0" w:line="250"/>
            </w:pPr>
            <w:r>
              <w:rPr>
                <w:b w:val="false"/>
                <w:bCs w:val="false"/>
                <w:color w:val="1A1A1A"/>
                <w:sz w:val="18"/>
                <w:szCs w:val="18"/>
              </w:rPr>
              <w:t xml:space="preserve">React, moving to a server-rendering framework</w:t>
            </w:r>
          </w:p>
        </w:tc>
        <w:tc>
          <w:tcPr>
            <w:tcW w:type="dxa" w:w="4960"/>
            <w:tcMar>
              <w:top w:type="dxa" w:w="90"/>
              <w:left w:type="dxa" w:w="120"/>
              <w:bottom w:type="dxa" w:w="90"/>
              <w:right w:type="dxa" w:w="120"/>
            </w:tcMar>
          </w:tcPr>
          <w:p>
            <w:pPr>
              <w:spacing w:after="0" w:line="250"/>
            </w:pPr>
            <w:r>
              <w:rPr>
                <w:b w:val="false"/>
                <w:bCs w:val="false"/>
                <w:color w:val="1A1A1A"/>
                <w:sz w:val="18"/>
                <w:szCs w:val="18"/>
              </w:rPr>
              <w:t xml:space="preserve">Your existing single-page app is fine for the authenticated application, but listing and category pages must be server-rendered for search engines. This is not optional — organic search is the demand engine.</w:t>
            </w:r>
          </w:p>
        </w:tc>
      </w:tr>
      <w:tr>
        <w:tc>
          <w:tcPr>
            <w:tcW w:type="dxa" w:w="1900"/>
            <w:shd w:fill="F7F9FB" w:val="clear"/>
            <w:tcMar>
              <w:top w:type="dxa" w:w="90"/>
              <w:left w:type="dxa" w:w="120"/>
              <w:bottom w:type="dxa" w:w="90"/>
              <w:right w:type="dxa" w:w="120"/>
            </w:tcMar>
          </w:tcPr>
          <w:p>
            <w:pPr>
              <w:spacing w:after="0" w:line="250"/>
            </w:pPr>
            <w:r>
              <w:rPr>
                <w:b/>
                <w:bCs/>
                <w:color w:val="1A1A1A"/>
                <w:sz w:val="18"/>
                <w:szCs w:val="18"/>
              </w:rPr>
              <w:t xml:space="preserve">Auth</w:t>
            </w:r>
          </w:p>
        </w:tc>
        <w:tc>
          <w:tcPr>
            <w:tcW w:type="dxa" w:w="2500"/>
            <w:shd w:fill="F7F9FB" w:val="clear"/>
            <w:tcMar>
              <w:top w:type="dxa" w:w="90"/>
              <w:left w:type="dxa" w:w="120"/>
              <w:bottom w:type="dxa" w:w="90"/>
              <w:right w:type="dxa" w:w="120"/>
            </w:tcMar>
          </w:tcPr>
          <w:p>
            <w:pPr>
              <w:spacing w:after="0" w:line="250"/>
            </w:pPr>
            <w:r>
              <w:rPr>
                <w:b w:val="false"/>
                <w:bCs w:val="false"/>
                <w:color w:val="1A1A1A"/>
                <w:sz w:val="18"/>
                <w:szCs w:val="18"/>
              </w:rPr>
              <w:t xml:space="preserve">Managed identity provider with role-based access</w:t>
            </w:r>
          </w:p>
        </w:tc>
        <w:tc>
          <w:tcPr>
            <w:tcW w:type="dxa" w:w="4960"/>
            <w:shd w:fill="F7F9FB" w:val="clear"/>
            <w:tcMar>
              <w:top w:type="dxa" w:w="90"/>
              <w:left w:type="dxa" w:w="120"/>
              <w:bottom w:type="dxa" w:w="90"/>
              <w:right w:type="dxa" w:w="120"/>
            </w:tcMar>
          </w:tcPr>
          <w:p>
            <w:pPr>
              <w:spacing w:after="0" w:line="250"/>
            </w:pPr>
            <w:r>
              <w:rPr>
                <w:b w:val="false"/>
                <w:bCs w:val="false"/>
                <w:color w:val="1A1A1A"/>
                <w:sz w:val="18"/>
                <w:szCs w:val="18"/>
              </w:rPr>
              <w:t xml:space="preserve">Three distinct user types with different verification journeys. Buy this rather than build it.</w:t>
            </w:r>
          </w:p>
        </w:tc>
      </w:tr>
      <w:tr>
        <w:tc>
          <w:tcPr>
            <w:tcW w:type="dxa" w:w="1900"/>
            <w:tcMar>
              <w:top w:type="dxa" w:w="90"/>
              <w:left w:type="dxa" w:w="120"/>
              <w:bottom w:type="dxa" w:w="90"/>
              <w:right w:type="dxa" w:w="120"/>
            </w:tcMar>
          </w:tcPr>
          <w:p>
            <w:pPr>
              <w:spacing w:after="0" w:line="250"/>
            </w:pPr>
            <w:r>
              <w:rPr>
                <w:b/>
                <w:bCs/>
                <w:color w:val="1A1A1A"/>
                <w:sz w:val="18"/>
                <w:szCs w:val="18"/>
              </w:rPr>
              <w:t xml:space="preserve">Admin</w:t>
            </w:r>
          </w:p>
        </w:tc>
        <w:tc>
          <w:tcPr>
            <w:tcW w:type="dxa" w:w="2500"/>
            <w:tcMar>
              <w:top w:type="dxa" w:w="90"/>
              <w:left w:type="dxa" w:w="120"/>
              <w:bottom w:type="dxa" w:w="90"/>
              <w:right w:type="dxa" w:w="120"/>
            </w:tcMar>
          </w:tcPr>
          <w:p>
            <w:pPr>
              <w:spacing w:after="0" w:line="250"/>
            </w:pPr>
            <w:r>
              <w:rPr>
                <w:b w:val="false"/>
                <w:bCs w:val="false"/>
                <w:color w:val="1A1A1A"/>
                <w:sz w:val="18"/>
                <w:szCs w:val="18"/>
              </w:rPr>
              <w:t xml:space="preserve">Purpose-built internal console</w:t>
            </w:r>
          </w:p>
        </w:tc>
        <w:tc>
          <w:tcPr>
            <w:tcW w:type="dxa" w:w="4960"/>
            <w:tcMar>
              <w:top w:type="dxa" w:w="90"/>
              <w:left w:type="dxa" w:w="120"/>
              <w:bottom w:type="dxa" w:w="90"/>
              <w:right w:type="dxa" w:w="120"/>
            </w:tcMar>
          </w:tcPr>
          <w:p>
            <w:pPr>
              <w:spacing w:after="0" w:line="250"/>
            </w:pPr>
            <w:r>
              <w:rPr>
                <w:b w:val="false"/>
                <w:bCs w:val="false"/>
                <w:color w:val="1A1A1A"/>
                <w:sz w:val="18"/>
                <w:szCs w:val="18"/>
              </w:rPr>
              <w:t xml:space="preserve">The moderation and verification queues are where operations staff live all day. An off-the-shelf admin tool works for month one and becomes the bottleneck by month six.</w:t>
            </w:r>
          </w:p>
        </w:tc>
      </w:tr>
      <w:tr>
        <w:tc>
          <w:tcPr>
            <w:tcW w:type="dxa" w:w="1900"/>
            <w:shd w:fill="F7F9FB" w:val="clear"/>
            <w:tcMar>
              <w:top w:type="dxa" w:w="90"/>
              <w:left w:type="dxa" w:w="120"/>
              <w:bottom w:type="dxa" w:w="90"/>
              <w:right w:type="dxa" w:w="120"/>
            </w:tcMar>
          </w:tcPr>
          <w:p>
            <w:pPr>
              <w:spacing w:after="0" w:line="250"/>
            </w:pPr>
            <w:r>
              <w:rPr>
                <w:b/>
                <w:bCs/>
                <w:color w:val="1A1A1A"/>
                <w:sz w:val="18"/>
                <w:szCs w:val="18"/>
              </w:rPr>
              <w:t xml:space="preserve">Email and messaging</w:t>
            </w:r>
          </w:p>
        </w:tc>
        <w:tc>
          <w:tcPr>
            <w:tcW w:type="dxa" w:w="2500"/>
            <w:shd w:fill="F7F9FB" w:val="clear"/>
            <w:tcMar>
              <w:top w:type="dxa" w:w="90"/>
              <w:left w:type="dxa" w:w="120"/>
              <w:bottom w:type="dxa" w:w="90"/>
              <w:right w:type="dxa" w:w="120"/>
            </w:tcMar>
          </w:tcPr>
          <w:p>
            <w:pPr>
              <w:spacing w:after="0" w:line="250"/>
            </w:pPr>
            <w:r>
              <w:rPr>
                <w:b w:val="false"/>
                <w:bCs w:val="false"/>
                <w:color w:val="1A1A1A"/>
                <w:sz w:val="18"/>
                <w:szCs w:val="18"/>
              </w:rPr>
              <w:t xml:space="preserve">Existing transactional provider, plus WhatsApp Business</w:t>
            </w:r>
          </w:p>
        </w:tc>
        <w:tc>
          <w:tcPr>
            <w:tcW w:type="dxa" w:w="4960"/>
            <w:shd w:fill="F7F9FB" w:val="clear"/>
            <w:tcMar>
              <w:top w:type="dxa" w:w="90"/>
              <w:left w:type="dxa" w:w="120"/>
              <w:bottom w:type="dxa" w:w="90"/>
              <w:right w:type="dxa" w:w="120"/>
            </w:tcMar>
          </w:tcPr>
          <w:p>
            <w:pPr>
              <w:spacing w:after="0" w:line="250"/>
            </w:pPr>
            <w:r>
              <w:rPr>
                <w:b w:val="false"/>
                <w:bCs w:val="false"/>
                <w:color w:val="1A1A1A"/>
                <w:sz w:val="18"/>
                <w:szCs w:val="18"/>
              </w:rPr>
              <w:t xml:space="preserve">Indian vendors respond to WhatsApp far more reliably than to email. Build this into vendor notifications from the start.</w:t>
            </w:r>
          </w:p>
        </w:tc>
      </w:tr>
      <w:tr>
        <w:tc>
          <w:tcPr>
            <w:tcW w:type="dxa" w:w="1900"/>
            <w:tcMar>
              <w:top w:type="dxa" w:w="90"/>
              <w:left w:type="dxa" w:w="120"/>
              <w:bottom w:type="dxa" w:w="90"/>
              <w:right w:type="dxa" w:w="120"/>
            </w:tcMar>
          </w:tcPr>
          <w:p>
            <w:pPr>
              <w:spacing w:after="0" w:line="250"/>
            </w:pPr>
            <w:r>
              <w:rPr>
                <w:b/>
                <w:bCs/>
                <w:color w:val="1A1A1A"/>
                <w:sz w:val="18"/>
                <w:szCs w:val="18"/>
              </w:rPr>
              <w:t xml:space="preserve">Payments</w:t>
            </w:r>
          </w:p>
        </w:tc>
        <w:tc>
          <w:tcPr>
            <w:tcW w:type="dxa" w:w="2500"/>
            <w:tcMar>
              <w:top w:type="dxa" w:w="90"/>
              <w:left w:type="dxa" w:w="120"/>
              <w:bottom w:type="dxa" w:w="90"/>
              <w:right w:type="dxa" w:w="120"/>
            </w:tcMar>
          </w:tcPr>
          <w:p>
            <w:pPr>
              <w:spacing w:after="0" w:line="250"/>
            </w:pPr>
            <w:r>
              <w:rPr>
                <w:b w:val="false"/>
                <w:bCs w:val="false"/>
                <w:color w:val="1A1A1A"/>
                <w:sz w:val="18"/>
                <w:szCs w:val="18"/>
              </w:rPr>
              <w:t xml:space="preserve">Deferred — Section 10.3</w:t>
            </w:r>
          </w:p>
        </w:tc>
        <w:tc>
          <w:tcPr>
            <w:tcW w:type="dxa" w:w="4960"/>
            <w:tcMar>
              <w:top w:type="dxa" w:w="90"/>
              <w:left w:type="dxa" w:w="120"/>
              <w:bottom w:type="dxa" w:w="90"/>
              <w:right w:type="dxa" w:w="120"/>
            </w:tcMar>
          </w:tcPr>
          <w:p>
            <w:pPr>
              <w:spacing w:after="0" w:line="250"/>
            </w:pPr>
            <w:r>
              <w:rPr>
                <w:b w:val="false"/>
                <w:bCs w:val="false"/>
                <w:color w:val="1A1A1A"/>
                <w:sz w:val="18"/>
                <w:szCs w:val="18"/>
              </w:rPr>
              <w:t xml:space="preserve">Do not build this in version 1.</w:t>
            </w:r>
          </w:p>
        </w:tc>
      </w:tr>
      <w:tr>
        <w:tc>
          <w:tcPr>
            <w:tcW w:type="dxa" w:w="1900"/>
            <w:shd w:fill="F7F9FB" w:val="clear"/>
            <w:tcMar>
              <w:top w:type="dxa" w:w="90"/>
              <w:left w:type="dxa" w:w="120"/>
              <w:bottom w:type="dxa" w:w="90"/>
              <w:right w:type="dxa" w:w="120"/>
            </w:tcMar>
          </w:tcPr>
          <w:p>
            <w:pPr>
              <w:spacing w:after="0" w:line="250"/>
            </w:pPr>
            <w:r>
              <w:rPr>
                <w:b/>
                <w:bCs/>
                <w:color w:val="1A1A1A"/>
                <w:sz w:val="18"/>
                <w:szCs w:val="18"/>
              </w:rPr>
              <w:t xml:space="preserve">Observability</w:t>
            </w:r>
          </w:p>
        </w:tc>
        <w:tc>
          <w:tcPr>
            <w:tcW w:type="dxa" w:w="2500"/>
            <w:shd w:fill="F7F9FB" w:val="clear"/>
            <w:tcMar>
              <w:top w:type="dxa" w:w="90"/>
              <w:left w:type="dxa" w:w="120"/>
              <w:bottom w:type="dxa" w:w="90"/>
              <w:right w:type="dxa" w:w="120"/>
            </w:tcMar>
          </w:tcPr>
          <w:p>
            <w:pPr>
              <w:spacing w:after="0" w:line="250"/>
            </w:pPr>
            <w:r>
              <w:rPr>
                <w:b w:val="false"/>
                <w:bCs w:val="false"/>
                <w:color w:val="1A1A1A"/>
                <w:sz w:val="18"/>
                <w:szCs w:val="18"/>
              </w:rPr>
              <w:t xml:space="preserve">Error tracking and product analytics</w:t>
            </w:r>
          </w:p>
        </w:tc>
        <w:tc>
          <w:tcPr>
            <w:tcW w:type="dxa" w:w="4960"/>
            <w:shd w:fill="F7F9FB" w:val="clear"/>
            <w:tcMar>
              <w:top w:type="dxa" w:w="90"/>
              <w:left w:type="dxa" w:w="120"/>
              <w:bottom w:type="dxa" w:w="90"/>
              <w:right w:type="dxa" w:w="120"/>
            </w:tcMar>
          </w:tcPr>
          <w:p>
            <w:pPr>
              <w:spacing w:after="0" w:line="250"/>
            </w:pPr>
            <w:r>
              <w:rPr>
                <w:b w:val="false"/>
                <w:bCs w:val="false"/>
                <w:color w:val="1A1A1A"/>
                <w:sz w:val="18"/>
                <w:szCs w:val="18"/>
              </w:rPr>
              <w:t xml:space="preserve">Instrument the enquiry funnel above everything else; it is the only metric that matters.</w:t>
            </w:r>
          </w:p>
        </w:tc>
      </w:tr>
    </w:tbl>
    <w:p>
      <w:pPr>
        <w:pStyle w:val="Heading2"/>
        <w:spacing w:after="140" w:before="320"/>
      </w:pPr>
      <w:r>
        <w:rPr>
          <w:b/>
          <w:bCs/>
          <w:color w:val="1A1A1A"/>
          <w:sz w:val="25"/>
          <w:szCs w:val="25"/>
        </w:rPr>
        <w:t xml:space="preserve">7.2  What not to do</w:t>
      </w:r>
    </w:p>
    <w:p>
      <w:pPr>
        <w:pStyle w:val="ListParagraph"/>
        <w:numPr>
          <w:ilvl w:val="0"/>
          <w:numId w:val="3"/>
        </w:numPr>
        <w:spacing w:after="80" w:line="276"/>
      </w:pPr>
      <w:r>
        <w:rPr>
          <w:b/>
          <w:bCs/>
          <w:color w:val="1A1A1A"/>
          <w:sz w:val="21"/>
          <w:szCs w:val="21"/>
        </w:rPr>
        <w:t xml:space="preserve">Do not build on a retail e-commerce platform. </w:t>
      </w:r>
      <w:r>
        <w:rPr>
          <w:color w:val="1A1A1A"/>
          <w:sz w:val="21"/>
          <w:szCs w:val="21"/>
        </w:rPr>
        <w:t xml:space="preserve">Shopify, WooCommerce and similar model a cart, a checkout and a single price. Your core objects are an enquiry, a quantity-tiered Incoterm-qualified price, and a verification record. You would spend the project fighting the framework.</w:t>
      </w:r>
    </w:p>
    <w:p>
      <w:pPr>
        <w:pStyle w:val="ListParagraph"/>
        <w:numPr>
          <w:ilvl w:val="0"/>
          <w:numId w:val="3"/>
        </w:numPr>
        <w:spacing w:after="80" w:line="276"/>
      </w:pPr>
      <w:r>
        <w:rPr>
          <w:b/>
          <w:bCs/>
          <w:color w:val="1A1A1A"/>
          <w:sz w:val="21"/>
          <w:szCs w:val="21"/>
        </w:rPr>
        <w:t xml:space="preserve">Do not add a search service on day one. </w:t>
      </w:r>
      <w:r>
        <w:rPr>
          <w:color w:val="1A1A1A"/>
          <w:sz w:val="21"/>
          <w:szCs w:val="21"/>
        </w:rPr>
        <w:t xml:space="preserve">Postgres full-text search will carry you well past the point where you have enough catalogue to justify anything else, and the migration later is straightforward.</w:t>
      </w:r>
    </w:p>
    <w:p>
      <w:pPr>
        <w:pStyle w:val="ListParagraph"/>
        <w:numPr>
          <w:ilvl w:val="0"/>
          <w:numId w:val="3"/>
        </w:numPr>
        <w:spacing w:after="80" w:line="276"/>
      </w:pPr>
      <w:r>
        <w:rPr>
          <w:b/>
          <w:bCs/>
          <w:color w:val="1A1A1A"/>
          <w:sz w:val="21"/>
          <w:szCs w:val="21"/>
        </w:rPr>
        <w:t xml:space="preserve">Do not build a mobile app before the web is liquid. </w:t>
      </w:r>
      <w:r>
        <w:rPr>
          <w:color w:val="1A1A1A"/>
          <w:sz w:val="21"/>
          <w:szCs w:val="21"/>
        </w:rPr>
        <w:t xml:space="preserve">US sourcing buyers work at a desk. Indian vendors are mobile-first, but a responsive web application and WhatsApp notifications cover them adequately until there is volume.</w:t>
      </w:r>
    </w:p>
    <w:p>
      <w:pPr>
        <w:pStyle w:val="ListParagraph"/>
        <w:numPr>
          <w:ilvl w:val="0"/>
          <w:numId w:val="3"/>
        </w:numPr>
        <w:spacing w:after="80" w:line="276"/>
      </w:pPr>
      <w:r>
        <w:rPr>
          <w:b/>
          <w:bCs/>
          <w:color w:val="1A1A1A"/>
          <w:sz w:val="21"/>
          <w:szCs w:val="21"/>
        </w:rPr>
        <w:t xml:space="preserve">Do not build the reverse corridor in parallel. </w:t>
      </w:r>
      <w:r>
        <w:rPr>
          <w:color w:val="1A1A1A"/>
          <w:sz w:val="21"/>
          <w:szCs w:val="21"/>
        </w:rPr>
        <w:t xml:space="preserve">Same codebase, later. It doubles supply acquisition, which is the constraint.</w:t>
      </w:r>
    </w:p>
    <w:p>
      <w:r>
        <w:br w:type="page"/>
      </w:r>
    </w:p>
    <w:p>
      <w:pPr>
        <w:pStyle w:val="Heading1"/>
        <w:spacing w:after="200" w:before="400"/>
      </w:pPr>
      <w:r>
        <w:rPr>
          <w:b/>
          <w:bCs/>
          <w:color w:val="0F4C81"/>
          <w:sz w:val="32"/>
          <w:szCs w:val="32"/>
        </w:rPr>
        <w:t xml:space="preserve">8.  API and data integrations</w:t>
      </w:r>
    </w:p>
    <w:p>
      <w:pPr>
        <w:pStyle w:val="Heading2"/>
        <w:spacing w:after="140" w:before="320"/>
      </w:pPr>
      <w:r>
        <w:rPr>
          <w:b/>
          <w:bCs/>
          <w:color w:val="1A1A1A"/>
          <w:sz w:val="25"/>
          <w:szCs w:val="25"/>
        </w:rPr>
        <w:t xml:space="preserve">8.1  Trade and market data</w:t>
      </w:r>
    </w:p>
    <w:tbl>
      <w:tblPr>
        <w:tblW w:type="dxa" w:w="9360"/>
        <w:tblBorders>
          <w:top w:val="single" w:color="0F4C81" w:sz="4"/>
          <w:left w:val="none"/>
          <w:bottom w:val="single" w:color="0F4C81" w:sz="4"/>
          <w:right w:val="none"/>
          <w:insideH w:val="single" w:color="C7CDD4" w:sz="2"/>
          <w:insideV w:val="none"/>
        </w:tblBorders>
      </w:tblPr>
      <w:tblGrid>
        <w:gridCol w:w="2400"/>
        <w:gridCol w:w="1500"/>
        <w:gridCol w:w="2200"/>
        <w:gridCol w:w="3260"/>
      </w:tblGrid>
      <w:tr>
        <w:trPr>
          <w:tblHeader/>
        </w:trPr>
        <w:tc>
          <w:tcPr>
            <w:tcW w:type="dxa" w:w="2400"/>
            <w:shd w:fill="EEF2F6" w:val="clear"/>
            <w:tcMar>
              <w:top w:type="dxa" w:w="100"/>
              <w:left w:type="dxa" w:w="120"/>
              <w:bottom w:type="dxa" w:w="100"/>
              <w:right w:type="dxa" w:w="120"/>
            </w:tcMar>
          </w:tcPr>
          <w:p>
            <w:pPr>
              <w:spacing w:after="0"/>
            </w:pPr>
            <w:r>
              <w:rPr>
                <w:b/>
                <w:bCs/>
                <w:color w:val="0F4C81"/>
                <w:sz w:val="18"/>
                <w:szCs w:val="18"/>
              </w:rPr>
              <w:t xml:space="preserve">Integration</w:t>
            </w:r>
          </w:p>
        </w:tc>
        <w:tc>
          <w:tcPr>
            <w:tcW w:type="dxa" w:w="1500"/>
            <w:shd w:fill="EEF2F6" w:val="clear"/>
            <w:tcMar>
              <w:top w:type="dxa" w:w="100"/>
              <w:left w:type="dxa" w:w="120"/>
              <w:bottom w:type="dxa" w:w="100"/>
              <w:right w:type="dxa" w:w="120"/>
            </w:tcMar>
          </w:tcPr>
          <w:p>
            <w:pPr>
              <w:spacing w:after="0"/>
            </w:pPr>
            <w:r>
              <w:rPr>
                <w:b/>
                <w:bCs/>
                <w:color w:val="0F4C81"/>
                <w:sz w:val="18"/>
                <w:szCs w:val="18"/>
              </w:rPr>
              <w:t xml:space="preserve">Cost</w:t>
            </w:r>
          </w:p>
        </w:tc>
        <w:tc>
          <w:tcPr>
            <w:tcW w:type="dxa" w:w="2200"/>
            <w:shd w:fill="EEF2F6" w:val="clear"/>
            <w:tcMar>
              <w:top w:type="dxa" w:w="100"/>
              <w:left w:type="dxa" w:w="120"/>
              <w:bottom w:type="dxa" w:w="100"/>
              <w:right w:type="dxa" w:w="120"/>
            </w:tcMar>
          </w:tcPr>
          <w:p>
            <w:pPr>
              <w:spacing w:after="0"/>
            </w:pPr>
            <w:r>
              <w:rPr>
                <w:b/>
                <w:bCs/>
                <w:color w:val="0F4C81"/>
                <w:sz w:val="18"/>
                <w:szCs w:val="18"/>
              </w:rPr>
              <w:t xml:space="preserve">Phase</w:t>
            </w:r>
          </w:p>
        </w:tc>
        <w:tc>
          <w:tcPr>
            <w:tcW w:type="dxa" w:w="3260"/>
            <w:shd w:fill="EEF2F6" w:val="clear"/>
            <w:tcMar>
              <w:top w:type="dxa" w:w="100"/>
              <w:left w:type="dxa" w:w="120"/>
              <w:bottom w:type="dxa" w:w="100"/>
              <w:right w:type="dxa" w:w="120"/>
            </w:tcMar>
          </w:tcPr>
          <w:p>
            <w:pPr>
              <w:spacing w:after="0"/>
            </w:pPr>
            <w:r>
              <w:rPr>
                <w:b/>
                <w:bCs/>
                <w:color w:val="0F4C81"/>
                <w:sz w:val="18"/>
                <w:szCs w:val="18"/>
              </w:rPr>
              <w:t xml:space="preserve">Use</w:t>
            </w:r>
          </w:p>
        </w:tc>
      </w:tr>
      <w:tr>
        <w:tc>
          <w:tcPr>
            <w:tcW w:type="dxa" w:w="2400"/>
            <w:tcMar>
              <w:top w:type="dxa" w:w="90"/>
              <w:left w:type="dxa" w:w="120"/>
              <w:bottom w:type="dxa" w:w="90"/>
              <w:right w:type="dxa" w:w="120"/>
            </w:tcMar>
          </w:tcPr>
          <w:p>
            <w:pPr>
              <w:spacing w:after="0" w:line="250"/>
            </w:pPr>
            <w:r>
              <w:rPr>
                <w:b/>
                <w:bCs/>
                <w:color w:val="1A1A1A"/>
                <w:sz w:val="18"/>
                <w:szCs w:val="18"/>
              </w:rPr>
              <w:t xml:space="preserve">India export shipment data (Volza, Export Genius or equivalent)</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Subscription</w:t>
            </w:r>
          </w:p>
        </w:tc>
        <w:tc>
          <w:tcPr>
            <w:tcW w:type="dxa" w:w="2200"/>
            <w:tcMar>
              <w:top w:type="dxa" w:w="90"/>
              <w:left w:type="dxa" w:w="120"/>
              <w:bottom w:type="dxa" w:w="90"/>
              <w:right w:type="dxa" w:w="120"/>
            </w:tcMar>
          </w:tcPr>
          <w:p>
            <w:pPr>
              <w:spacing w:after="0" w:line="250"/>
            </w:pPr>
            <w:r>
              <w:rPr>
                <w:b w:val="false"/>
                <w:bCs w:val="false"/>
                <w:color w:val="1A1A1A"/>
                <w:sz w:val="18"/>
                <w:szCs w:val="18"/>
              </w:rPr>
              <w:t xml:space="preserve">Phase 0</w:t>
            </w:r>
          </w:p>
        </w:tc>
        <w:tc>
          <w:tcPr>
            <w:tcW w:type="dxa" w:w="3260"/>
            <w:tcMar>
              <w:top w:type="dxa" w:w="90"/>
              <w:left w:type="dxa" w:w="120"/>
              <w:bottom w:type="dxa" w:w="90"/>
              <w:right w:type="dxa" w:w="120"/>
            </w:tcMar>
          </w:tcPr>
          <w:p>
            <w:pPr>
              <w:spacing w:after="0" w:line="250"/>
            </w:pPr>
            <w:r>
              <w:rPr>
                <w:b w:val="false"/>
                <w:bCs w:val="false"/>
                <w:color w:val="1A1A1A"/>
                <w:sz w:val="18"/>
                <w:szCs w:val="18"/>
              </w:rPr>
              <w:t xml:space="preserve">The supply prospect list, ranked by real export volume to the USA. Also powers the trade-proven badge.</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US import manifest data (Panjiva, ImportGenius, ImportYeti or FOIA)</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Subscription</w:t>
            </w:r>
          </w:p>
        </w:tc>
        <w:tc>
          <w:tcPr>
            <w:tcW w:type="dxa" w:w="2200"/>
            <w:shd w:fill="F7F9FB" w:val="clear"/>
            <w:tcMar>
              <w:top w:type="dxa" w:w="90"/>
              <w:left w:type="dxa" w:w="120"/>
              <w:bottom w:type="dxa" w:w="90"/>
              <w:right w:type="dxa" w:w="120"/>
            </w:tcMar>
          </w:tcPr>
          <w:p>
            <w:pPr>
              <w:spacing w:after="0" w:line="250"/>
            </w:pPr>
            <w:r>
              <w:rPr>
                <w:b w:val="false"/>
                <w:bCs w:val="false"/>
                <w:color w:val="1A1A1A"/>
                <w:sz w:val="18"/>
                <w:szCs w:val="18"/>
              </w:rPr>
              <w:t xml:space="preserve">Phase 1</w:t>
            </w:r>
          </w:p>
        </w:tc>
        <w:tc>
          <w:tcPr>
            <w:tcW w:type="dxa" w:w="3260"/>
            <w:shd w:fill="F7F9FB" w:val="clear"/>
            <w:tcMar>
              <w:top w:type="dxa" w:w="90"/>
              <w:left w:type="dxa" w:w="120"/>
              <w:bottom w:type="dxa" w:w="90"/>
              <w:right w:type="dxa" w:w="120"/>
            </w:tcMar>
          </w:tcPr>
          <w:p>
            <w:pPr>
              <w:spacing w:after="0" w:line="250"/>
            </w:pPr>
            <w:r>
              <w:rPr>
                <w:b w:val="false"/>
                <w:bCs w:val="false"/>
                <w:color w:val="1A1A1A"/>
                <w:sz w:val="18"/>
                <w:szCs w:val="18"/>
              </w:rPr>
              <w:t xml:space="preserve">Corroborates Indian export records from the US side; identifies US buyers already importing the category — a demand-side prospect list.</w:t>
            </w:r>
          </w:p>
        </w:tc>
      </w:tr>
      <w:tr>
        <w:tc>
          <w:tcPr>
            <w:tcW w:type="dxa" w:w="2400"/>
            <w:tcMar>
              <w:top w:type="dxa" w:w="90"/>
              <w:left w:type="dxa" w:w="120"/>
              <w:bottom w:type="dxa" w:w="90"/>
              <w:right w:type="dxa" w:w="120"/>
            </w:tcMar>
          </w:tcPr>
          <w:p>
            <w:pPr>
              <w:spacing w:after="0" w:line="250"/>
            </w:pPr>
            <w:r>
              <w:rPr>
                <w:b/>
                <w:bCs/>
                <w:color w:val="1A1A1A"/>
                <w:sz w:val="18"/>
                <w:szCs w:val="18"/>
              </w:rPr>
              <w:t xml:space="preserve">UN Comtrade</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Free tier</w:t>
            </w:r>
          </w:p>
        </w:tc>
        <w:tc>
          <w:tcPr>
            <w:tcW w:type="dxa" w:w="2200"/>
            <w:tcMar>
              <w:top w:type="dxa" w:w="90"/>
              <w:left w:type="dxa" w:w="120"/>
              <w:bottom w:type="dxa" w:w="90"/>
              <w:right w:type="dxa" w:w="120"/>
            </w:tcMar>
          </w:tcPr>
          <w:p>
            <w:pPr>
              <w:spacing w:after="0" w:line="250"/>
            </w:pPr>
            <w:r>
              <w:rPr>
                <w:b w:val="false"/>
                <w:bCs w:val="false"/>
                <w:color w:val="1A1A1A"/>
                <w:sz w:val="18"/>
                <w:szCs w:val="18"/>
              </w:rPr>
              <w:t xml:space="preserve">Phase 0</w:t>
            </w:r>
          </w:p>
        </w:tc>
        <w:tc>
          <w:tcPr>
            <w:tcW w:type="dxa" w:w="3260"/>
            <w:tcMar>
              <w:top w:type="dxa" w:w="90"/>
              <w:left w:type="dxa" w:w="120"/>
              <w:bottom w:type="dxa" w:w="90"/>
              <w:right w:type="dxa" w:w="120"/>
            </w:tcMar>
          </w:tcPr>
          <w:p>
            <w:pPr>
              <w:spacing w:after="0" w:line="250"/>
            </w:pPr>
            <w:r>
              <w:rPr>
                <w:b w:val="false"/>
                <w:bCs w:val="false"/>
                <w:color w:val="1A1A1A"/>
                <w:sz w:val="18"/>
                <w:szCs w:val="18"/>
              </w:rPr>
              <w:t xml:space="preserve">Category selection and market sizing.</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ITA Market Intelligence</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Free</w:t>
            </w:r>
          </w:p>
        </w:tc>
        <w:tc>
          <w:tcPr>
            <w:tcW w:type="dxa" w:w="2200"/>
            <w:shd w:fill="F7F9FB" w:val="clear"/>
            <w:tcMar>
              <w:top w:type="dxa" w:w="90"/>
              <w:left w:type="dxa" w:w="120"/>
              <w:bottom w:type="dxa" w:w="90"/>
              <w:right w:type="dxa" w:w="120"/>
            </w:tcMar>
          </w:tcPr>
          <w:p>
            <w:pPr>
              <w:spacing w:after="0" w:line="250"/>
            </w:pPr>
            <w:r>
              <w:rPr>
                <w:b w:val="false"/>
                <w:bCs w:val="false"/>
                <w:color w:val="1A1A1A"/>
                <w:sz w:val="18"/>
                <w:szCs w:val="18"/>
              </w:rPr>
              <w:t xml:space="preserve">Phase 2</w:t>
            </w:r>
          </w:p>
        </w:tc>
        <w:tc>
          <w:tcPr>
            <w:tcW w:type="dxa" w:w="3260"/>
            <w:shd w:fill="F7F9FB" w:val="clear"/>
            <w:tcMar>
              <w:top w:type="dxa" w:w="90"/>
              <w:left w:type="dxa" w:w="120"/>
              <w:bottom w:type="dxa" w:w="90"/>
              <w:right w:type="dxa" w:w="120"/>
            </w:tcMar>
          </w:tcPr>
          <w:p>
            <w:pPr>
              <w:spacing w:after="0" w:line="250"/>
            </w:pPr>
            <w:r>
              <w:rPr>
                <w:b w:val="false"/>
                <w:bCs w:val="false"/>
                <w:color w:val="1A1A1A"/>
                <w:sz w:val="18"/>
                <w:szCs w:val="18"/>
              </w:rPr>
              <w:t xml:space="preserve">Country Commercial Guide content, updated daily, as a search engine optimisation seed.</w:t>
            </w:r>
          </w:p>
        </w:tc>
      </w:tr>
      <w:tr>
        <w:tc>
          <w:tcPr>
            <w:tcW w:type="dxa" w:w="2400"/>
            <w:tcMar>
              <w:top w:type="dxa" w:w="90"/>
              <w:left w:type="dxa" w:w="120"/>
              <w:bottom w:type="dxa" w:w="90"/>
              <w:right w:type="dxa" w:w="120"/>
            </w:tcMar>
          </w:tcPr>
          <w:p>
            <w:pPr>
              <w:spacing w:after="0" w:line="250"/>
            </w:pPr>
            <w:r>
              <w:rPr>
                <w:b/>
                <w:bCs/>
                <w:color w:val="1A1A1A"/>
                <w:sz w:val="18"/>
                <w:szCs w:val="18"/>
              </w:rPr>
              <w:t xml:space="preserve">ITA Trade Leads</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Free</w:t>
            </w:r>
          </w:p>
        </w:tc>
        <w:tc>
          <w:tcPr>
            <w:tcW w:type="dxa" w:w="2200"/>
            <w:tcMar>
              <w:top w:type="dxa" w:w="90"/>
              <w:left w:type="dxa" w:w="120"/>
              <w:bottom w:type="dxa" w:w="90"/>
              <w:right w:type="dxa" w:w="120"/>
            </w:tcMar>
          </w:tcPr>
          <w:p>
            <w:pPr>
              <w:spacing w:after="0" w:line="250"/>
            </w:pPr>
            <w:r>
              <w:rPr>
                <w:b w:val="false"/>
                <w:bCs w:val="false"/>
                <w:color w:val="1A1A1A"/>
                <w:sz w:val="18"/>
                <w:szCs w:val="18"/>
              </w:rPr>
              <w:t xml:space="preserve">Phase 2</w:t>
            </w:r>
          </w:p>
        </w:tc>
        <w:tc>
          <w:tcPr>
            <w:tcW w:type="dxa" w:w="3260"/>
            <w:tcMar>
              <w:top w:type="dxa" w:w="90"/>
              <w:left w:type="dxa" w:w="120"/>
              <w:bottom w:type="dxa" w:w="90"/>
              <w:right w:type="dxa" w:w="120"/>
            </w:tcMar>
          </w:tcPr>
          <w:p>
            <w:pPr>
              <w:spacing w:after="0" w:line="250"/>
            </w:pPr>
            <w:r>
              <w:rPr>
                <w:b w:val="false"/>
                <w:bCs w:val="false"/>
                <w:color w:val="1A1A1A"/>
                <w:sz w:val="18"/>
                <w:szCs w:val="18"/>
              </w:rPr>
              <w:t xml:space="preserve">Demand signals and content.</w:t>
            </w:r>
          </w:p>
        </w:tc>
      </w:tr>
    </w:tbl>
    <w:p>
      <w:pPr>
        <w:pStyle w:val="Heading2"/>
        <w:spacing w:after="140" w:before="320"/>
      </w:pPr>
      <w:r>
        <w:rPr>
          <w:b/>
          <w:bCs/>
          <w:color w:val="1A1A1A"/>
          <w:sz w:val="25"/>
          <w:szCs w:val="25"/>
        </w:rPr>
        <w:t xml:space="preserve">8.2  Verification and compliance</w:t>
      </w:r>
    </w:p>
    <w:tbl>
      <w:tblPr>
        <w:tblW w:type="dxa" w:w="9360"/>
        <w:tblBorders>
          <w:top w:val="single" w:color="0F4C81" w:sz="4"/>
          <w:left w:val="none"/>
          <w:bottom w:val="single" w:color="0F4C81" w:sz="4"/>
          <w:right w:val="none"/>
          <w:insideH w:val="single" w:color="C7CDD4" w:sz="2"/>
          <w:insideV w:val="none"/>
        </w:tblBorders>
      </w:tblPr>
      <w:tblGrid>
        <w:gridCol w:w="2400"/>
        <w:gridCol w:w="1500"/>
        <w:gridCol w:w="2200"/>
        <w:gridCol w:w="3260"/>
      </w:tblGrid>
      <w:tr>
        <w:trPr>
          <w:tblHeader/>
        </w:trPr>
        <w:tc>
          <w:tcPr>
            <w:tcW w:type="dxa" w:w="2400"/>
            <w:shd w:fill="EEF2F6" w:val="clear"/>
            <w:tcMar>
              <w:top w:type="dxa" w:w="100"/>
              <w:left w:type="dxa" w:w="120"/>
              <w:bottom w:type="dxa" w:w="100"/>
              <w:right w:type="dxa" w:w="120"/>
            </w:tcMar>
          </w:tcPr>
          <w:p>
            <w:pPr>
              <w:spacing w:after="0"/>
            </w:pPr>
            <w:r>
              <w:rPr>
                <w:b/>
                <w:bCs/>
                <w:color w:val="0F4C81"/>
                <w:sz w:val="18"/>
                <w:szCs w:val="18"/>
              </w:rPr>
              <w:t xml:space="preserve">Integration</w:t>
            </w:r>
          </w:p>
        </w:tc>
        <w:tc>
          <w:tcPr>
            <w:tcW w:type="dxa" w:w="1500"/>
            <w:shd w:fill="EEF2F6" w:val="clear"/>
            <w:tcMar>
              <w:top w:type="dxa" w:w="100"/>
              <w:left w:type="dxa" w:w="120"/>
              <w:bottom w:type="dxa" w:w="100"/>
              <w:right w:type="dxa" w:w="120"/>
            </w:tcMar>
          </w:tcPr>
          <w:p>
            <w:pPr>
              <w:spacing w:after="0"/>
            </w:pPr>
            <w:r>
              <w:rPr>
                <w:b/>
                <w:bCs/>
                <w:color w:val="0F4C81"/>
                <w:sz w:val="18"/>
                <w:szCs w:val="18"/>
              </w:rPr>
              <w:t xml:space="preserve">Cost</w:t>
            </w:r>
          </w:p>
        </w:tc>
        <w:tc>
          <w:tcPr>
            <w:tcW w:type="dxa" w:w="2200"/>
            <w:shd w:fill="EEF2F6" w:val="clear"/>
            <w:tcMar>
              <w:top w:type="dxa" w:w="100"/>
              <w:left w:type="dxa" w:w="120"/>
              <w:bottom w:type="dxa" w:w="100"/>
              <w:right w:type="dxa" w:w="120"/>
            </w:tcMar>
          </w:tcPr>
          <w:p>
            <w:pPr>
              <w:spacing w:after="0"/>
            </w:pPr>
            <w:r>
              <w:rPr>
                <w:b/>
                <w:bCs/>
                <w:color w:val="0F4C81"/>
                <w:sz w:val="18"/>
                <w:szCs w:val="18"/>
              </w:rPr>
              <w:t xml:space="preserve">Phase</w:t>
            </w:r>
          </w:p>
        </w:tc>
        <w:tc>
          <w:tcPr>
            <w:tcW w:type="dxa" w:w="3260"/>
            <w:shd w:fill="EEF2F6" w:val="clear"/>
            <w:tcMar>
              <w:top w:type="dxa" w:w="100"/>
              <w:left w:type="dxa" w:w="120"/>
              <w:bottom w:type="dxa" w:w="100"/>
              <w:right w:type="dxa" w:w="120"/>
            </w:tcMar>
          </w:tcPr>
          <w:p>
            <w:pPr>
              <w:spacing w:after="0"/>
            </w:pPr>
            <w:r>
              <w:rPr>
                <w:b/>
                <w:bCs/>
                <w:color w:val="0F4C81"/>
                <w:sz w:val="18"/>
                <w:szCs w:val="18"/>
              </w:rPr>
              <w:t xml:space="preserve">Use</w:t>
            </w:r>
          </w:p>
        </w:tc>
      </w:tr>
      <w:tr>
        <w:tc>
          <w:tcPr>
            <w:tcW w:type="dxa" w:w="2400"/>
            <w:tcMar>
              <w:top w:type="dxa" w:w="90"/>
              <w:left w:type="dxa" w:w="120"/>
              <w:bottom w:type="dxa" w:w="90"/>
              <w:right w:type="dxa" w:w="120"/>
            </w:tcMar>
          </w:tcPr>
          <w:p>
            <w:pPr>
              <w:spacing w:after="0" w:line="250"/>
            </w:pPr>
            <w:r>
              <w:rPr>
                <w:b/>
                <w:bCs/>
                <w:color w:val="1A1A1A"/>
                <w:sz w:val="18"/>
                <w:szCs w:val="18"/>
              </w:rPr>
              <w:t xml:space="preserve">KYB bundle — GSTIN, MCA, Udyam, PAN, IEC (HyperVerge, Signzy, Karza or similar)</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Per call</w:t>
            </w:r>
          </w:p>
        </w:tc>
        <w:tc>
          <w:tcPr>
            <w:tcW w:type="dxa" w:w="2200"/>
            <w:tcMar>
              <w:top w:type="dxa" w:w="90"/>
              <w:left w:type="dxa" w:w="120"/>
              <w:bottom w:type="dxa" w:w="90"/>
              <w:right w:type="dxa" w:w="120"/>
            </w:tcMar>
          </w:tcPr>
          <w:p>
            <w:pPr>
              <w:spacing w:after="0" w:line="250"/>
            </w:pPr>
            <w:r>
              <w:rPr>
                <w:b w:val="false"/>
                <w:bCs w:val="false"/>
                <w:color w:val="1A1A1A"/>
                <w:sz w:val="18"/>
                <w:szCs w:val="18"/>
              </w:rPr>
              <w:t xml:space="preserve">Phase 1</w:t>
            </w:r>
          </w:p>
        </w:tc>
        <w:tc>
          <w:tcPr>
            <w:tcW w:type="dxa" w:w="3260"/>
            <w:tcMar>
              <w:top w:type="dxa" w:w="90"/>
              <w:left w:type="dxa" w:w="120"/>
              <w:bottom w:type="dxa" w:w="90"/>
              <w:right w:type="dxa" w:w="120"/>
            </w:tcMar>
          </w:tcPr>
          <w:p>
            <w:pPr>
              <w:spacing w:after="0" w:line="250"/>
            </w:pPr>
            <w:r>
              <w:rPr>
                <w:b w:val="false"/>
                <w:bCs w:val="false"/>
                <w:color w:val="1A1A1A"/>
                <w:sz w:val="18"/>
                <w:szCs w:val="18"/>
              </w:rPr>
              <w:t xml:space="preserve">The verification tier. One provider covering all registries is simpler than five direct integrations.</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Consolidated Screening List (trade.gov)</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Free</w:t>
            </w:r>
          </w:p>
        </w:tc>
        <w:tc>
          <w:tcPr>
            <w:tcW w:type="dxa" w:w="2200"/>
            <w:shd w:fill="F7F9FB" w:val="clear"/>
            <w:tcMar>
              <w:top w:type="dxa" w:w="90"/>
              <w:left w:type="dxa" w:w="120"/>
              <w:bottom w:type="dxa" w:w="90"/>
              <w:right w:type="dxa" w:w="120"/>
            </w:tcMar>
          </w:tcPr>
          <w:p>
            <w:pPr>
              <w:spacing w:after="0" w:line="250"/>
            </w:pPr>
            <w:r>
              <w:rPr>
                <w:b w:val="false"/>
                <w:bCs w:val="false"/>
                <w:color w:val="1A1A1A"/>
                <w:sz w:val="18"/>
                <w:szCs w:val="18"/>
              </w:rPr>
              <w:t xml:space="preserve">Phase 1</w:t>
            </w:r>
          </w:p>
        </w:tc>
        <w:tc>
          <w:tcPr>
            <w:tcW w:type="dxa" w:w="3260"/>
            <w:shd w:fill="F7F9FB" w:val="clear"/>
            <w:tcMar>
              <w:top w:type="dxa" w:w="90"/>
              <w:left w:type="dxa" w:w="120"/>
              <w:bottom w:type="dxa" w:w="90"/>
              <w:right w:type="dxa" w:w="120"/>
            </w:tcMar>
          </w:tcPr>
          <w:p>
            <w:pPr>
              <w:spacing w:after="0" w:line="250"/>
            </w:pPr>
            <w:r>
              <w:rPr>
                <w:b w:val="false"/>
                <w:bCs w:val="false"/>
                <w:color w:val="1A1A1A"/>
                <w:sz w:val="18"/>
                <w:szCs w:val="18"/>
              </w:rPr>
              <w:t xml:space="preserve">Eleven US restricted-party lists in one feed. Screen every vendor and every buyer, at onboarding and on schedule.</w:t>
            </w:r>
          </w:p>
        </w:tc>
      </w:tr>
      <w:tr>
        <w:tc>
          <w:tcPr>
            <w:tcW w:type="dxa" w:w="2400"/>
            <w:tcMar>
              <w:top w:type="dxa" w:w="90"/>
              <w:left w:type="dxa" w:w="120"/>
              <w:bottom w:type="dxa" w:w="90"/>
              <w:right w:type="dxa" w:w="120"/>
            </w:tcMar>
          </w:tcPr>
          <w:p>
            <w:pPr>
              <w:spacing w:after="0" w:line="250"/>
            </w:pPr>
            <w:r>
              <w:rPr>
                <w:b/>
                <w:bCs/>
                <w:color w:val="1A1A1A"/>
                <w:sz w:val="18"/>
                <w:szCs w:val="18"/>
              </w:rPr>
              <w:t xml:space="preserve">FTA Tariff Rates (trade.gov)</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Free</w:t>
            </w:r>
          </w:p>
        </w:tc>
        <w:tc>
          <w:tcPr>
            <w:tcW w:type="dxa" w:w="2200"/>
            <w:tcMar>
              <w:top w:type="dxa" w:w="90"/>
              <w:left w:type="dxa" w:w="120"/>
              <w:bottom w:type="dxa" w:w="90"/>
              <w:right w:type="dxa" w:w="120"/>
            </w:tcMar>
          </w:tcPr>
          <w:p>
            <w:pPr>
              <w:spacing w:after="0" w:line="250"/>
            </w:pPr>
            <w:r>
              <w:rPr>
                <w:b w:val="false"/>
                <w:bCs w:val="false"/>
                <w:color w:val="1A1A1A"/>
                <w:sz w:val="18"/>
                <w:szCs w:val="18"/>
              </w:rPr>
              <w:t xml:space="preserve">Phase 2</w:t>
            </w:r>
          </w:p>
        </w:tc>
        <w:tc>
          <w:tcPr>
            <w:tcW w:type="dxa" w:w="3260"/>
            <w:tcMar>
              <w:top w:type="dxa" w:w="90"/>
              <w:left w:type="dxa" w:w="120"/>
              <w:bottom w:type="dxa" w:w="90"/>
              <w:right w:type="dxa" w:w="120"/>
            </w:tcMar>
          </w:tcPr>
          <w:p>
            <w:pPr>
              <w:spacing w:after="0" w:line="250"/>
            </w:pPr>
            <w:r>
              <w:rPr>
                <w:b w:val="false"/>
                <w:bCs w:val="false"/>
                <w:color w:val="1A1A1A"/>
                <w:sz w:val="18"/>
                <w:szCs w:val="18"/>
              </w:rPr>
              <w:t xml:space="preserve">Preferential rate checks.</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Bank account verification (penny drop)</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Per call</w:t>
            </w:r>
          </w:p>
        </w:tc>
        <w:tc>
          <w:tcPr>
            <w:tcW w:type="dxa" w:w="2200"/>
            <w:shd w:fill="F7F9FB" w:val="clear"/>
            <w:tcMar>
              <w:top w:type="dxa" w:w="90"/>
              <w:left w:type="dxa" w:w="120"/>
              <w:bottom w:type="dxa" w:w="90"/>
              <w:right w:type="dxa" w:w="120"/>
            </w:tcMar>
          </w:tcPr>
          <w:p>
            <w:pPr>
              <w:spacing w:after="0" w:line="250"/>
            </w:pPr>
            <w:r>
              <w:rPr>
                <w:b w:val="false"/>
                <w:bCs w:val="false"/>
                <w:color w:val="1A1A1A"/>
                <w:sz w:val="18"/>
                <w:szCs w:val="18"/>
              </w:rPr>
              <w:t xml:space="preserve">Phase 3</w:t>
            </w:r>
          </w:p>
        </w:tc>
        <w:tc>
          <w:tcPr>
            <w:tcW w:type="dxa" w:w="3260"/>
            <w:shd w:fill="F7F9FB" w:val="clear"/>
            <w:tcMar>
              <w:top w:type="dxa" w:w="90"/>
              <w:left w:type="dxa" w:w="120"/>
              <w:bottom w:type="dxa" w:w="90"/>
              <w:right w:type="dxa" w:w="120"/>
            </w:tcMar>
          </w:tcPr>
          <w:p>
            <w:pPr>
              <w:spacing w:after="0" w:line="250"/>
            </w:pPr>
            <w:r>
              <w:rPr>
                <w:b w:val="false"/>
                <w:bCs w:val="false"/>
                <w:color w:val="1A1A1A"/>
                <w:sz w:val="18"/>
                <w:szCs w:val="18"/>
              </w:rPr>
              <w:t xml:space="preserve">Only when payments arrive.</w:t>
            </w:r>
          </w:p>
        </w:tc>
      </w:tr>
    </w:tbl>
    <w:p>
      <w:pPr>
        <w:pStyle w:val="Heading2"/>
        <w:spacing w:after="140" w:before="320"/>
      </w:pPr>
      <w:r>
        <w:rPr>
          <w:b/>
          <w:bCs/>
          <w:color w:val="1A1A1A"/>
          <w:sz w:val="25"/>
          <w:szCs w:val="25"/>
        </w:rPr>
        <w:t xml:space="preserve">8.3  Product and transaction</w:t>
      </w:r>
    </w:p>
    <w:tbl>
      <w:tblPr>
        <w:tblW w:type="dxa" w:w="9360"/>
        <w:tblBorders>
          <w:top w:val="single" w:color="0F4C81" w:sz="4"/>
          <w:left w:val="none"/>
          <w:bottom w:val="single" w:color="0F4C81" w:sz="4"/>
          <w:right w:val="none"/>
          <w:insideH w:val="single" w:color="C7CDD4" w:sz="2"/>
          <w:insideV w:val="none"/>
        </w:tblBorders>
      </w:tblPr>
      <w:tblGrid>
        <w:gridCol w:w="2400"/>
        <w:gridCol w:w="1500"/>
        <w:gridCol w:w="2200"/>
        <w:gridCol w:w="3260"/>
      </w:tblGrid>
      <w:tr>
        <w:trPr>
          <w:tblHeader/>
        </w:trPr>
        <w:tc>
          <w:tcPr>
            <w:tcW w:type="dxa" w:w="2400"/>
            <w:shd w:fill="EEF2F6" w:val="clear"/>
            <w:tcMar>
              <w:top w:type="dxa" w:w="100"/>
              <w:left w:type="dxa" w:w="120"/>
              <w:bottom w:type="dxa" w:w="100"/>
              <w:right w:type="dxa" w:w="120"/>
            </w:tcMar>
          </w:tcPr>
          <w:p>
            <w:pPr>
              <w:spacing w:after="0"/>
            </w:pPr>
            <w:r>
              <w:rPr>
                <w:b/>
                <w:bCs/>
                <w:color w:val="0F4C81"/>
                <w:sz w:val="18"/>
                <w:szCs w:val="18"/>
              </w:rPr>
              <w:t xml:space="preserve">Integration</w:t>
            </w:r>
          </w:p>
        </w:tc>
        <w:tc>
          <w:tcPr>
            <w:tcW w:type="dxa" w:w="1500"/>
            <w:shd w:fill="EEF2F6" w:val="clear"/>
            <w:tcMar>
              <w:top w:type="dxa" w:w="100"/>
              <w:left w:type="dxa" w:w="120"/>
              <w:bottom w:type="dxa" w:w="100"/>
              <w:right w:type="dxa" w:w="120"/>
            </w:tcMar>
          </w:tcPr>
          <w:p>
            <w:pPr>
              <w:spacing w:after="0"/>
            </w:pPr>
            <w:r>
              <w:rPr>
                <w:b/>
                <w:bCs/>
                <w:color w:val="0F4C81"/>
                <w:sz w:val="18"/>
                <w:szCs w:val="18"/>
              </w:rPr>
              <w:t xml:space="preserve">Cost</w:t>
            </w:r>
          </w:p>
        </w:tc>
        <w:tc>
          <w:tcPr>
            <w:tcW w:type="dxa" w:w="2200"/>
            <w:shd w:fill="EEF2F6" w:val="clear"/>
            <w:tcMar>
              <w:top w:type="dxa" w:w="100"/>
              <w:left w:type="dxa" w:w="120"/>
              <w:bottom w:type="dxa" w:w="100"/>
              <w:right w:type="dxa" w:w="120"/>
            </w:tcMar>
          </w:tcPr>
          <w:p>
            <w:pPr>
              <w:spacing w:after="0"/>
            </w:pPr>
            <w:r>
              <w:rPr>
                <w:b/>
                <w:bCs/>
                <w:color w:val="0F4C81"/>
                <w:sz w:val="18"/>
                <w:szCs w:val="18"/>
              </w:rPr>
              <w:t xml:space="preserve">Phase</w:t>
            </w:r>
          </w:p>
        </w:tc>
        <w:tc>
          <w:tcPr>
            <w:tcW w:type="dxa" w:w="3260"/>
            <w:shd w:fill="EEF2F6" w:val="clear"/>
            <w:tcMar>
              <w:top w:type="dxa" w:w="100"/>
              <w:left w:type="dxa" w:w="120"/>
              <w:bottom w:type="dxa" w:w="100"/>
              <w:right w:type="dxa" w:w="120"/>
            </w:tcMar>
          </w:tcPr>
          <w:p>
            <w:pPr>
              <w:spacing w:after="0"/>
            </w:pPr>
            <w:r>
              <w:rPr>
                <w:b/>
                <w:bCs/>
                <w:color w:val="0F4C81"/>
                <w:sz w:val="18"/>
                <w:szCs w:val="18"/>
              </w:rPr>
              <w:t xml:space="preserve">Use</w:t>
            </w:r>
          </w:p>
        </w:tc>
      </w:tr>
      <w:tr>
        <w:tc>
          <w:tcPr>
            <w:tcW w:type="dxa" w:w="2400"/>
            <w:tcMar>
              <w:top w:type="dxa" w:w="90"/>
              <w:left w:type="dxa" w:w="120"/>
              <w:bottom w:type="dxa" w:w="90"/>
              <w:right w:type="dxa" w:w="120"/>
            </w:tcMar>
          </w:tcPr>
          <w:p>
            <w:pPr>
              <w:spacing w:after="0" w:line="250"/>
            </w:pPr>
            <w:r>
              <w:rPr>
                <w:b/>
                <w:bCs/>
                <w:color w:val="1A1A1A"/>
                <w:sz w:val="18"/>
                <w:szCs w:val="18"/>
              </w:rPr>
              <w:t xml:space="preserve">LLM provider with web search</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Usage</w:t>
            </w:r>
          </w:p>
        </w:tc>
        <w:tc>
          <w:tcPr>
            <w:tcW w:type="dxa" w:w="2200"/>
            <w:tcMar>
              <w:top w:type="dxa" w:w="90"/>
              <w:left w:type="dxa" w:w="120"/>
              <w:bottom w:type="dxa" w:w="90"/>
              <w:right w:type="dxa" w:w="120"/>
            </w:tcMar>
          </w:tcPr>
          <w:p>
            <w:pPr>
              <w:spacing w:after="0" w:line="250"/>
            </w:pPr>
            <w:r>
              <w:rPr>
                <w:b w:val="false"/>
                <w:bCs w:val="false"/>
                <w:color w:val="1A1A1A"/>
                <w:sz w:val="18"/>
                <w:szCs w:val="18"/>
              </w:rPr>
              <w:t xml:space="preserve">Phase 1</w:t>
            </w:r>
          </w:p>
        </w:tc>
        <w:tc>
          <w:tcPr>
            <w:tcW w:type="dxa" w:w="3260"/>
            <w:tcMar>
              <w:top w:type="dxa" w:w="90"/>
              <w:left w:type="dxa" w:w="120"/>
              <w:bottom w:type="dxa" w:w="90"/>
              <w:right w:type="dxa" w:w="120"/>
            </w:tcMar>
          </w:tcPr>
          <w:p>
            <w:pPr>
              <w:spacing w:after="0" w:line="250"/>
            </w:pPr>
            <w:r>
              <w:rPr>
                <w:b w:val="false"/>
                <w:bCs w:val="false"/>
                <w:color w:val="1A1A1A"/>
                <w:sz w:val="18"/>
                <w:szCs w:val="18"/>
              </w:rPr>
              <w:t xml:space="preserve">Classification, duty research, listing normalisation, RFQ parsing. Section 9.</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Embeddings</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Usage</w:t>
            </w:r>
          </w:p>
        </w:tc>
        <w:tc>
          <w:tcPr>
            <w:tcW w:type="dxa" w:w="2200"/>
            <w:shd w:fill="F7F9FB" w:val="clear"/>
            <w:tcMar>
              <w:top w:type="dxa" w:w="90"/>
              <w:left w:type="dxa" w:w="120"/>
              <w:bottom w:type="dxa" w:w="90"/>
              <w:right w:type="dxa" w:w="120"/>
            </w:tcMar>
          </w:tcPr>
          <w:p>
            <w:pPr>
              <w:spacing w:after="0" w:line="250"/>
            </w:pPr>
            <w:r>
              <w:rPr>
                <w:b w:val="false"/>
                <w:bCs w:val="false"/>
                <w:color w:val="1A1A1A"/>
                <w:sz w:val="18"/>
                <w:szCs w:val="18"/>
              </w:rPr>
              <w:t xml:space="preserve">Phase 2</w:t>
            </w:r>
          </w:p>
        </w:tc>
        <w:tc>
          <w:tcPr>
            <w:tcW w:type="dxa" w:w="3260"/>
            <w:shd w:fill="F7F9FB" w:val="clear"/>
            <w:tcMar>
              <w:top w:type="dxa" w:w="90"/>
              <w:left w:type="dxa" w:w="120"/>
              <w:bottom w:type="dxa" w:w="90"/>
              <w:right w:type="dxa" w:w="120"/>
            </w:tcMar>
          </w:tcPr>
          <w:p>
            <w:pPr>
              <w:spacing w:after="0" w:line="250"/>
            </w:pPr>
            <w:r>
              <w:rPr>
                <w:b w:val="false"/>
                <w:bCs w:val="false"/>
                <w:color w:val="1A1A1A"/>
                <w:sz w:val="18"/>
                <w:szCs w:val="18"/>
              </w:rPr>
              <w:t xml:space="preserve">Semantic search and buyer-to-vendor matching.</w:t>
            </w:r>
          </w:p>
        </w:tc>
      </w:tr>
      <w:tr>
        <w:tc>
          <w:tcPr>
            <w:tcW w:type="dxa" w:w="2400"/>
            <w:tcMar>
              <w:top w:type="dxa" w:w="90"/>
              <w:left w:type="dxa" w:w="120"/>
              <w:bottom w:type="dxa" w:w="90"/>
              <w:right w:type="dxa" w:w="120"/>
            </w:tcMar>
          </w:tcPr>
          <w:p>
            <w:pPr>
              <w:spacing w:after="0" w:line="250"/>
            </w:pPr>
            <w:r>
              <w:rPr>
                <w:b/>
                <w:bCs/>
                <w:color w:val="1A1A1A"/>
                <w:sz w:val="18"/>
                <w:szCs w:val="18"/>
              </w:rPr>
              <w:t xml:space="preserve">WhatsApp Business API</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Per message</w:t>
            </w:r>
          </w:p>
        </w:tc>
        <w:tc>
          <w:tcPr>
            <w:tcW w:type="dxa" w:w="2200"/>
            <w:tcMar>
              <w:top w:type="dxa" w:w="90"/>
              <w:left w:type="dxa" w:w="120"/>
              <w:bottom w:type="dxa" w:w="90"/>
              <w:right w:type="dxa" w:w="120"/>
            </w:tcMar>
          </w:tcPr>
          <w:p>
            <w:pPr>
              <w:spacing w:after="0" w:line="250"/>
            </w:pPr>
            <w:r>
              <w:rPr>
                <w:b w:val="false"/>
                <w:bCs w:val="false"/>
                <w:color w:val="1A1A1A"/>
                <w:sz w:val="18"/>
                <w:szCs w:val="18"/>
              </w:rPr>
              <w:t xml:space="preserve">Phase 1</w:t>
            </w:r>
          </w:p>
        </w:tc>
        <w:tc>
          <w:tcPr>
            <w:tcW w:type="dxa" w:w="3260"/>
            <w:tcMar>
              <w:top w:type="dxa" w:w="90"/>
              <w:left w:type="dxa" w:w="120"/>
              <w:bottom w:type="dxa" w:w="90"/>
              <w:right w:type="dxa" w:w="120"/>
            </w:tcMar>
          </w:tcPr>
          <w:p>
            <w:pPr>
              <w:spacing w:after="0" w:line="250"/>
            </w:pPr>
            <w:r>
              <w:rPr>
                <w:b w:val="false"/>
                <w:bCs w:val="false"/>
                <w:color w:val="1A1A1A"/>
                <w:sz w:val="18"/>
                <w:szCs w:val="18"/>
              </w:rPr>
              <w:t xml:space="preserve">Vendor lead notifications. The highest-leverage integration on the vendor side.</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Transactional email</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Existing</w:t>
            </w:r>
          </w:p>
        </w:tc>
        <w:tc>
          <w:tcPr>
            <w:tcW w:type="dxa" w:w="2200"/>
            <w:shd w:fill="F7F9FB" w:val="clear"/>
            <w:tcMar>
              <w:top w:type="dxa" w:w="90"/>
              <w:left w:type="dxa" w:w="120"/>
              <w:bottom w:type="dxa" w:w="90"/>
              <w:right w:type="dxa" w:w="120"/>
            </w:tcMar>
          </w:tcPr>
          <w:p>
            <w:pPr>
              <w:spacing w:after="0" w:line="250"/>
            </w:pPr>
            <w:r>
              <w:rPr>
                <w:b w:val="false"/>
                <w:bCs w:val="false"/>
                <w:color w:val="1A1A1A"/>
                <w:sz w:val="18"/>
                <w:szCs w:val="18"/>
              </w:rPr>
              <w:t xml:space="preserve">Phase 1</w:t>
            </w:r>
          </w:p>
        </w:tc>
        <w:tc>
          <w:tcPr>
            <w:tcW w:type="dxa" w:w="3260"/>
            <w:shd w:fill="F7F9FB" w:val="clear"/>
            <w:tcMar>
              <w:top w:type="dxa" w:w="90"/>
              <w:left w:type="dxa" w:w="120"/>
              <w:bottom w:type="dxa" w:w="90"/>
              <w:right w:type="dxa" w:w="120"/>
            </w:tcMar>
          </w:tcPr>
          <w:p>
            <w:pPr>
              <w:spacing w:after="0" w:line="250"/>
            </w:pPr>
            <w:r>
              <w:rPr>
                <w:b w:val="false"/>
                <w:bCs w:val="false"/>
                <w:color w:val="1A1A1A"/>
                <w:sz w:val="18"/>
                <w:szCs w:val="18"/>
              </w:rPr>
              <w:t xml:space="preserve">Buyer notifications, digests, reports.</w:t>
            </w:r>
          </w:p>
        </w:tc>
      </w:tr>
      <w:tr>
        <w:tc>
          <w:tcPr>
            <w:tcW w:type="dxa" w:w="2400"/>
            <w:tcMar>
              <w:top w:type="dxa" w:w="90"/>
              <w:left w:type="dxa" w:w="120"/>
              <w:bottom w:type="dxa" w:w="90"/>
              <w:right w:type="dxa" w:w="120"/>
            </w:tcMar>
          </w:tcPr>
          <w:p>
            <w:pPr>
              <w:spacing w:after="0" w:line="250"/>
            </w:pPr>
            <w:r>
              <w:rPr>
                <w:b/>
                <w:bCs/>
                <w:color w:val="1A1A1A"/>
                <w:sz w:val="18"/>
                <w:szCs w:val="18"/>
              </w:rPr>
              <w:t xml:space="preserve">Freight rate API (Freightos or similar)</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Subscription</w:t>
            </w:r>
          </w:p>
        </w:tc>
        <w:tc>
          <w:tcPr>
            <w:tcW w:type="dxa" w:w="2200"/>
            <w:tcMar>
              <w:top w:type="dxa" w:w="90"/>
              <w:left w:type="dxa" w:w="120"/>
              <w:bottom w:type="dxa" w:w="90"/>
              <w:right w:type="dxa" w:w="120"/>
            </w:tcMar>
          </w:tcPr>
          <w:p>
            <w:pPr>
              <w:spacing w:after="0" w:line="250"/>
            </w:pPr>
            <w:r>
              <w:rPr>
                <w:b w:val="false"/>
                <w:bCs w:val="false"/>
                <w:color w:val="1A1A1A"/>
                <w:sz w:val="18"/>
                <w:szCs w:val="18"/>
              </w:rPr>
              <w:t xml:space="preserve">Phase 3</w:t>
            </w:r>
          </w:p>
        </w:tc>
        <w:tc>
          <w:tcPr>
            <w:tcW w:type="dxa" w:w="3260"/>
            <w:tcMar>
              <w:top w:type="dxa" w:w="90"/>
              <w:left w:type="dxa" w:w="120"/>
              <w:bottom w:type="dxa" w:w="90"/>
              <w:right w:type="dxa" w:w="120"/>
            </w:tcMar>
          </w:tcPr>
          <w:p>
            <w:pPr>
              <w:spacing w:after="0" w:line="250"/>
            </w:pPr>
            <w:r>
              <w:rPr>
                <w:b w:val="false"/>
                <w:bCs w:val="false"/>
                <w:color w:val="1A1A1A"/>
                <w:sz w:val="18"/>
                <w:szCs w:val="18"/>
              </w:rPr>
              <w:t xml:space="preserve">Replaces estimated freight in the landed cost with a real quote.</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Licensed cross-border payment aggregator</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Transaction fee</w:t>
            </w:r>
          </w:p>
        </w:tc>
        <w:tc>
          <w:tcPr>
            <w:tcW w:type="dxa" w:w="2200"/>
            <w:shd w:fill="F7F9FB" w:val="clear"/>
            <w:tcMar>
              <w:top w:type="dxa" w:w="90"/>
              <w:left w:type="dxa" w:w="120"/>
              <w:bottom w:type="dxa" w:w="90"/>
              <w:right w:type="dxa" w:w="120"/>
            </w:tcMar>
          </w:tcPr>
          <w:p>
            <w:pPr>
              <w:spacing w:after="0" w:line="250"/>
            </w:pPr>
            <w:r>
              <w:rPr>
                <w:b w:val="false"/>
                <w:bCs w:val="false"/>
                <w:color w:val="1A1A1A"/>
                <w:sz w:val="18"/>
                <w:szCs w:val="18"/>
              </w:rPr>
              <w:t xml:space="preserve">Phase 4</w:t>
            </w:r>
          </w:p>
        </w:tc>
        <w:tc>
          <w:tcPr>
            <w:tcW w:type="dxa" w:w="3260"/>
            <w:shd w:fill="F7F9FB" w:val="clear"/>
            <w:tcMar>
              <w:top w:type="dxa" w:w="90"/>
              <w:left w:type="dxa" w:w="120"/>
              <w:bottom w:type="dxa" w:w="90"/>
              <w:right w:type="dxa" w:w="120"/>
            </w:tcMar>
          </w:tcPr>
          <w:p>
            <w:pPr>
              <w:spacing w:after="0" w:line="250"/>
            </w:pPr>
            <w:r>
              <w:rPr>
                <w:b w:val="false"/>
                <w:bCs w:val="false"/>
                <w:color w:val="1A1A1A"/>
                <w:sz w:val="18"/>
                <w:szCs w:val="18"/>
              </w:rPr>
              <w:t xml:space="preserve">Escrow and settlement. Partner, do not become one — Section 10.3.</w:t>
            </w:r>
          </w:p>
        </w:tc>
      </w:tr>
    </w:tbl>
    <w:p>
      <w:r>
        <w:br w:type="page"/>
      </w:r>
    </w:p>
    <w:p>
      <w:pPr>
        <w:pStyle w:val="Heading1"/>
        <w:spacing w:after="200" w:before="400"/>
      </w:pPr>
      <w:r>
        <w:rPr>
          <w:b/>
          <w:bCs/>
          <w:color w:val="0F4C81"/>
          <w:sz w:val="32"/>
          <w:szCs w:val="32"/>
        </w:rPr>
        <w:t xml:space="preserve">9.  The AI layer — where the defensibility is</w:t>
      </w:r>
    </w:p>
    <w:p>
      <w:pPr>
        <w:spacing w:after="120" w:line="276"/>
      </w:pPr>
      <w:r>
        <w:rPr>
          <w:color w:val="1A1A1A"/>
          <w:sz w:val="21"/>
          <w:szCs w:val="21"/>
        </w:rPr>
        <w:t xml:space="preserve">A catalogue is copyable. The reason to use this platform instead of a better-funded directory has to be that it answers questions a directory cannot. Six capabilities, in build order.</w:t>
      </w:r>
    </w:p>
    <w:p>
      <w:pPr>
        <w:pStyle w:val="Heading2"/>
        <w:spacing w:after="140" w:before="320"/>
      </w:pPr>
      <w:r>
        <w:rPr>
          <w:b/>
          <w:bCs/>
          <w:color w:val="1A1A1A"/>
          <w:sz w:val="25"/>
          <w:szCs w:val="25"/>
        </w:rPr>
        <w:t xml:space="preserve">9.1  Automatic tariff classification</w:t>
      </w:r>
    </w:p>
    <w:p>
      <w:pPr>
        <w:spacing w:after="120" w:line="276"/>
      </w:pPr>
      <w:r>
        <w:rPr>
          <w:color w:val="1A1A1A"/>
          <w:sz w:val="21"/>
          <w:szCs w:val="21"/>
        </w:rPr>
        <w:t xml:space="preserve">Every listing is classified to a ten-digit tariff code at creation, from the vendor's own description and materials, with the reasoning recorded and a moderation step for low-confidence cases. Vendors cannot reliably do this themselves and will not try. This is Stage A of the Export-to-Entry Agent, reused unchanged.</w:t>
      </w:r>
    </w:p>
    <w:p>
      <w:pPr>
        <w:spacing w:after="120" w:line="276"/>
      </w:pPr>
      <w:r>
        <w:rPr>
          <w:color w:val="1A1A1A"/>
          <w:sz w:val="21"/>
          <w:szCs w:val="21"/>
        </w:rPr>
        <w:t xml:space="preserve">It unlocks everything downstream: duty computation, compliance flags, taxonomy placement, and matching against trade-data shipment records to prove the vendor really ships what they claim.</w:t>
      </w:r>
    </w:p>
    <w:p>
      <w:pPr>
        <w:pStyle w:val="Heading2"/>
        <w:spacing w:after="140" w:before="320"/>
      </w:pPr>
      <w:r>
        <w:rPr>
          <w:b/>
          <w:bCs/>
          <w:color w:val="1A1A1A"/>
          <w:sz w:val="25"/>
          <w:szCs w:val="25"/>
        </w:rPr>
        <w:t xml:space="preserve">9.2  Landed cost per listing</w:t>
      </w:r>
    </w:p>
    <w:p>
      <w:pPr>
        <w:spacing w:after="120" w:line="276"/>
      </w:pPr>
      <w:r>
        <w:rPr>
          <w:color w:val="1A1A1A"/>
          <w:sz w:val="21"/>
          <w:szCs w:val="21"/>
        </w:rPr>
        <w:t xml:space="preserve">Stage B of the export agent, keyed by tariff code with origin fixed to India. Cached across the entire catalogue, so a few thousand distinct classifications cover tens of thousands of listings. Re-run on a schedule; when a duty component moves, every affected listing updates and every buyer watching it can be notified.</w:t>
      </w:r>
    </w:p>
    <w:p>
      <w:pPr>
        <w:spacing w:after="60"/>
      </w:pPr>
    </w:p>
    <w:tbl>
      <w:tblPr>
        <w:tblW w:type="dxa" w:w="9360"/>
        <w:tblBorders>
          <w:top w:val="single" w:color="C7CDD4" w:sz="2"/>
          <w:left w:val="single" w:color="0F4C81" w:sz="18"/>
          <w:bottom w:val="single" w:color="C7CDD4" w:sz="2"/>
          <w:right w:val="single" w:color="C7CDD4" w:sz="2"/>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60"/>
            </w:pPr>
            <w:r>
              <w:rPr>
                <w:b/>
                <w:bCs/>
                <w:color w:val="0F4C81"/>
                <w:sz w:val="17"/>
                <w:szCs w:val="17"/>
              </w:rPr>
              <w:t xml:space="preserve">WHY THIS IS THE MOAT RATHER THAN A FEATURE</w:t>
            </w:r>
          </w:p>
          <w:p>
            <w:pPr>
              <w:spacing w:after="0" w:line="276"/>
            </w:pPr>
            <w:r>
              <w:rPr>
                <w:color w:val="1A1A1A"/>
                <w:sz w:val="21"/>
                <w:szCs w:val="21"/>
              </w:rPr>
              <w:t xml:space="preserve">Duty rates in this corridor change frequently enough that a static answer is wrong within weeks. A competitor can copy your catalogue in a weekend. They cannot copy a continuously re-verified, source-cited duty stack across thousands of classifications without building the same engine and paying the same running cost — and by the time they start, your snapshot history is an asset they cannot reconstruct at all.</w:t>
            </w:r>
          </w:p>
        </w:tc>
      </w:tr>
    </w:tbl>
    <w:p>
      <w:pPr>
        <w:pStyle w:val="Heading2"/>
        <w:spacing w:after="140" w:before="320"/>
      </w:pPr>
      <w:r>
        <w:rPr>
          <w:b/>
          <w:bCs/>
          <w:color w:val="1A1A1A"/>
          <w:sz w:val="25"/>
          <w:szCs w:val="25"/>
        </w:rPr>
        <w:t xml:space="preserve">9.3  Semantic buyer-to-vendor matching</w:t>
      </w:r>
    </w:p>
    <w:p>
      <w:pPr>
        <w:spacing w:after="120" w:line="276"/>
      </w:pPr>
      <w:r>
        <w:rPr>
          <w:color w:val="1A1A1A"/>
          <w:sz w:val="21"/>
          <w:szCs w:val="21"/>
        </w:rPr>
        <w:t xml:space="preserve">A sourcing buyer describes a need in prose — "food-grade silicone baby products, FDA compliant, 5,000 units, private label" — and gets ranked vendors rather than keyword matches. Embeddings over listing text, specifications and classification, combined with the structured filters. This is the same pattern as the event agent's free-text buyer description: read the wording, do not force a category.</w:t>
      </w:r>
    </w:p>
    <w:p>
      <w:pPr>
        <w:pStyle w:val="Heading2"/>
        <w:spacing w:after="140" w:before="320"/>
      </w:pPr>
      <w:r>
        <w:rPr>
          <w:b/>
          <w:bCs/>
          <w:color w:val="1A1A1A"/>
          <w:sz w:val="25"/>
          <w:szCs w:val="25"/>
        </w:rPr>
        <w:t xml:space="preserve">9.4  RFQ parsing and shortlisting</w:t>
      </w:r>
    </w:p>
    <w:p>
      <w:pPr>
        <w:spacing w:after="120" w:line="276"/>
      </w:pPr>
      <w:r>
        <w:rPr>
          <w:color w:val="1A1A1A"/>
          <w:sz w:val="21"/>
          <w:szCs w:val="21"/>
        </w:rPr>
        <w:t xml:space="preserve">A buyer pastes a specification or uploads a document; the system extracts quantity, specification, destination, target price and timeline, then produces a shortlist of vendors who can genuinely serve it and routes the enquiry to all of them at once. For the buyer this replaces a week of individual emails. For the platform it multiplies one enquiry into several vendor conversations, which is the monetisable event.</w:t>
      </w:r>
    </w:p>
    <w:p>
      <w:pPr>
        <w:pStyle w:val="Heading2"/>
        <w:spacing w:after="140" w:before="320"/>
      </w:pPr>
      <w:r>
        <w:rPr>
          <w:b/>
          <w:bCs/>
          <w:color w:val="1A1A1A"/>
          <w:sz w:val="25"/>
          <w:szCs w:val="25"/>
        </w:rPr>
        <w:t xml:space="preserve">9.5  Listing quality and fraud detection</w:t>
      </w:r>
    </w:p>
    <w:p>
      <w:pPr>
        <w:spacing w:after="120" w:line="276"/>
      </w:pPr>
      <w:r>
        <w:rPr>
          <w:color w:val="1A1A1A"/>
          <w:sz w:val="21"/>
          <w:szCs w:val="21"/>
        </w:rPr>
        <w:t xml:space="preserve">Automated review at submission: does the description match the images, is the price plausible for the classification, is the specification internally consistent, does the claimed capability match the vendor's verified shipment history, is this a duplicate of an existing listing. Marketplaces die of low-quality supply long before they die of low demand, and manual moderation does not scale past a few thousand listings.</w:t>
      </w:r>
    </w:p>
    <w:p>
      <w:pPr>
        <w:pStyle w:val="Heading2"/>
        <w:spacing w:after="140" w:before="320"/>
      </w:pPr>
      <w:r>
        <w:rPr>
          <w:b/>
          <w:bCs/>
          <w:color w:val="1A1A1A"/>
          <w:sz w:val="25"/>
          <w:szCs w:val="25"/>
        </w:rPr>
        <w:t xml:space="preserve">9.6  Vendor onboarding assistance</w:t>
      </w:r>
    </w:p>
    <w:p>
      <w:pPr>
        <w:spacing w:after="120" w:line="276"/>
      </w:pPr>
      <w:r>
        <w:rPr>
          <w:color w:val="1A1A1A"/>
          <w:sz w:val="21"/>
          <w:szCs w:val="21"/>
        </w:rPr>
        <w:t xml:space="preserve">Most Indian exporters will not write good English product listings, and asking them to will lose you most of your supply. Let them describe the product in plain language or their own language, and generate the structured listing — specification fields, categorisation, buyer-facing description — for their review and approval. The vendor approves rather than authors. This single capability is likely the difference between a twenty per cent and a sixty per cent onboarding completion rate.</w:t>
      </w:r>
    </w:p>
    <w:p>
      <w:r>
        <w:br w:type="page"/>
      </w:r>
    </w:p>
    <w:p>
      <w:pPr>
        <w:pStyle w:val="Heading1"/>
        <w:spacing w:after="200" w:before="400"/>
      </w:pPr>
      <w:r>
        <w:rPr>
          <w:b/>
          <w:bCs/>
          <w:color w:val="0F4C81"/>
          <w:sz w:val="32"/>
          <w:szCs w:val="32"/>
        </w:rPr>
        <w:t xml:space="preserve">10.  Regulatory and compliance</w:t>
      </w:r>
    </w:p>
    <w:p>
      <w:pPr>
        <w:pStyle w:val="Heading2"/>
        <w:spacing w:after="140" w:before="320"/>
      </w:pPr>
      <w:r>
        <w:rPr>
          <w:b/>
          <w:bCs/>
          <w:color w:val="1A1A1A"/>
          <w:sz w:val="25"/>
          <w:szCs w:val="25"/>
        </w:rPr>
        <w:t xml:space="preserve">10.1  Foreign investment — favourable</w:t>
      </w:r>
    </w:p>
    <w:p>
      <w:pPr>
        <w:spacing w:after="120" w:line="276"/>
      </w:pPr>
      <w:r>
        <w:rPr>
          <w:color w:val="1A1A1A"/>
          <w:sz w:val="21"/>
          <w:szCs w:val="21"/>
        </w:rPr>
        <w:t xml:space="preserve">India permits 100 per cent foreign direct investment under the automatic route in business-to-business e-commerce. Critically, the marketplace-versus-inventory restriction that constrains business-to-consumer platforms — barring them from owning inventory or influencing price — does not apply in the same way to business-to-business. Marketplace entities may also provide warehousing, logistics, order fulfilment, call centre and payment collection support to sellers.</w:t>
      </w:r>
    </w:p>
    <w:p>
      <w:pPr>
        <w:spacing w:after="120" w:line="276"/>
      </w:pPr>
      <w:r>
        <w:rPr>
          <w:color w:val="1A1A1A"/>
          <w:sz w:val="21"/>
          <w:szCs w:val="21"/>
        </w:rPr>
        <w:t xml:space="preserve">In practice this means your model is squarely permitted, foreign capital is available without approval, and if you later want to hold inventory or set price on some categories, that option is open. Confirm the current position with Indian counsel before raising, since e-commerce policy is reviewed periodically.</w:t>
      </w:r>
    </w:p>
    <w:p>
      <w:pPr>
        <w:pStyle w:val="Heading2"/>
        <w:spacing w:after="140" w:before="320"/>
      </w:pPr>
      <w:r>
        <w:rPr>
          <w:b/>
          <w:bCs/>
          <w:color w:val="1A1A1A"/>
          <w:sz w:val="25"/>
          <w:szCs w:val="25"/>
        </w:rPr>
        <w:t xml:space="preserve">10.2  Data protection — the live obligation</w:t>
      </w:r>
    </w:p>
    <w:p>
      <w:pPr>
        <w:spacing w:after="120" w:line="276"/>
      </w:pPr>
      <w:r>
        <w:rPr>
          <w:color w:val="1A1A1A"/>
          <w:sz w:val="21"/>
          <w:szCs w:val="21"/>
        </w:rPr>
        <w:t xml:space="preserve">India's Digital Personal Data Protection Act, 2023 became operational when the DPDP Rules were notified in November 2025, with compliance phased through 2026: governance and privacy frameworks first, then consent mechanisms, rights handling and breach notification, then full enforcement readiness. Penalties reach ₹250 crore. The Act reaches any organisation processing the personal data of individuals in India regardless of where the organisation sits.</w:t>
      </w:r>
    </w:p>
    <w:p>
      <w:pPr>
        <w:spacing w:after="120" w:line="276"/>
      </w:pPr>
      <w:r>
        <w:rPr>
          <w:color w:val="1A1A1A"/>
          <w:sz w:val="21"/>
          <w:szCs w:val="21"/>
        </w:rPr>
        <w:t xml:space="preserve">What this requires of the platform:</w:t>
      </w:r>
    </w:p>
    <w:p>
      <w:pPr>
        <w:pStyle w:val="ListParagraph"/>
        <w:numPr>
          <w:ilvl w:val="0"/>
          <w:numId w:val="3"/>
        </w:numPr>
        <w:spacing w:after="80" w:line="276"/>
      </w:pPr>
      <w:r>
        <w:rPr>
          <w:color w:val="1A1A1A"/>
          <w:sz w:val="21"/>
          <w:szCs w:val="21"/>
        </w:rPr>
        <w:t xml:space="preserve">Consent captured at vendor onboarding, specifically covering publication of business details and disclosure of contact information to buyers, with the purpose stated and a record retained.</w:t>
      </w:r>
    </w:p>
    <w:p>
      <w:pPr>
        <w:pStyle w:val="ListParagraph"/>
        <w:numPr>
          <w:ilvl w:val="0"/>
          <w:numId w:val="3"/>
        </w:numPr>
        <w:spacing w:after="80" w:line="276"/>
      </w:pPr>
      <w:r>
        <w:rPr>
          <w:color w:val="1A1A1A"/>
          <w:sz w:val="21"/>
          <w:szCs w:val="21"/>
        </w:rPr>
        <w:t xml:space="preserve">A notice explaining what is collected, why, and how to withdraw — withdrawal being as easy as giving consent.</w:t>
      </w:r>
    </w:p>
    <w:p>
      <w:pPr>
        <w:pStyle w:val="ListParagraph"/>
        <w:numPr>
          <w:ilvl w:val="0"/>
          <w:numId w:val="3"/>
        </w:numPr>
        <w:spacing w:after="80" w:line="276"/>
      </w:pPr>
      <w:r>
        <w:rPr>
          <w:color w:val="1A1A1A"/>
          <w:sz w:val="21"/>
          <w:szCs w:val="21"/>
        </w:rPr>
        <w:t xml:space="preserve">Rights handling: access, correction, erasure, and a grievance mechanism with a named contact.</w:t>
      </w:r>
    </w:p>
    <w:p>
      <w:pPr>
        <w:pStyle w:val="ListParagraph"/>
        <w:numPr>
          <w:ilvl w:val="0"/>
          <w:numId w:val="3"/>
        </w:numPr>
        <w:spacing w:after="80" w:line="276"/>
      </w:pPr>
      <w:r>
        <w:rPr>
          <w:color w:val="1A1A1A"/>
          <w:sz w:val="21"/>
          <w:szCs w:val="21"/>
        </w:rPr>
        <w:t xml:space="preserve">Breach notification procedures, record keeping, and retention limits.</w:t>
      </w:r>
    </w:p>
    <w:p>
      <w:pPr>
        <w:pStyle w:val="ListParagraph"/>
        <w:numPr>
          <w:ilvl w:val="0"/>
          <w:numId w:val="3"/>
        </w:numPr>
        <w:spacing w:after="80" w:line="276"/>
      </w:pPr>
      <w:r>
        <w:rPr>
          <w:color w:val="1A1A1A"/>
          <w:sz w:val="21"/>
          <w:szCs w:val="21"/>
        </w:rPr>
        <w:t xml:space="preserve">Cross-border transfer handling — your vendors are in India, your buyers and possibly your infrastructure are not.</w:t>
      </w:r>
    </w:p>
    <w:p>
      <w:pPr>
        <w:spacing w:after="60"/>
      </w:pPr>
    </w:p>
    <w:p>
      <w:pPr>
        <w:spacing w:after="120" w:line="276"/>
      </w:pPr>
      <w:r>
        <w:rPr>
          <w:color w:val="1A1A1A"/>
          <w:sz w:val="21"/>
          <w:szCs w:val="21"/>
        </w:rPr>
        <w:t xml:space="preserve">The gated-contact model in Section 5 is not only better business; it is the architecture that makes these obligations tractable, because every disclosure is an identifiable event tied to a consent record and a buyer identity.</w:t>
      </w:r>
    </w:p>
    <w:p>
      <w:pPr>
        <w:pStyle w:val="Heading2"/>
        <w:spacing w:after="140" w:before="320"/>
      </w:pPr>
      <w:r>
        <w:rPr>
          <w:b/>
          <w:bCs/>
          <w:color w:val="1A1A1A"/>
          <w:sz w:val="25"/>
          <w:szCs w:val="25"/>
        </w:rPr>
        <w:t xml:space="preserve">10.3  Payments — the reason not to build them yet</w:t>
      </w:r>
    </w:p>
    <w:p>
      <w:pPr>
        <w:spacing w:after="120" w:line="276"/>
      </w:pPr>
      <w:r>
        <w:rPr>
          <w:color w:val="1A1A1A"/>
          <w:sz w:val="21"/>
          <w:szCs w:val="21"/>
        </w:rPr>
        <w:t xml:space="preserve">The Reserve Bank of India brought non-bank entities facilitating online cross-border payments for import or export of goods and services under a dedicated Payment Aggregator – Cross Border framework in October 2023, consolidated into a master direction on payment aggregators in September 2025. Authorisation categories cover export-only, import-only and both. Applicants need net worth of ₹15 crore at application, rising to ₹25 crore by 31 March 2026 for existing operators, must maintain collection accounts with an authorised dealer bank, and must comply with foreign exchange, know-your-customer, anti-money-laundering and reporting obligations. Per-unit transaction value for goods or services is capped at ₹25 lakh.</w:t>
      </w:r>
    </w:p>
    <w:p>
      <w:pPr>
        <w:spacing w:after="60"/>
      </w:pPr>
    </w:p>
    <w:tbl>
      <w:tblPr>
        <w:tblW w:type="dxa" w:w="9360"/>
        <w:tblBorders>
          <w:top w:val="single" w:color="C7CDD4" w:sz="2"/>
          <w:left w:val="single" w:color="0F4C81" w:sz="18"/>
          <w:bottom w:val="single" w:color="C7CDD4" w:sz="2"/>
          <w:right w:val="single" w:color="C7CDD4" w:sz="2"/>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60"/>
            </w:pPr>
            <w:r>
              <w:rPr>
                <w:b/>
                <w:bCs/>
                <w:color w:val="0F4C81"/>
                <w:sz w:val="17"/>
                <w:szCs w:val="17"/>
              </w:rPr>
              <w:t xml:space="preserve">IMPLICATION</w:t>
            </w:r>
          </w:p>
          <w:p>
            <w:pPr>
              <w:spacing w:after="0" w:line="276"/>
            </w:pPr>
            <w:r>
              <w:rPr>
                <w:color w:val="1A1A1A"/>
                <w:sz w:val="21"/>
                <w:szCs w:val="21"/>
              </w:rPr>
              <w:t xml:space="preserve">Becoming a licensed cross-border payment aggregator is a business in itself, not a feature. Version 1 must not touch payment flow at all: the platform generates the enquiry, the parties transact directly. When escrow becomes necessary to unlock larger transactions, integrate a licensed partner rather than seeking authorisation. Note also that the per-unit cap makes the framework a poor fit for large capital-goods transactions regardless.</w:t>
            </w:r>
          </w:p>
        </w:tc>
      </w:tr>
    </w:tbl>
    <w:p>
      <w:pPr>
        <w:pStyle w:val="Heading2"/>
        <w:spacing w:after="140" w:before="320"/>
      </w:pPr>
      <w:r>
        <w:rPr>
          <w:b/>
          <w:bCs/>
          <w:color w:val="1A1A1A"/>
          <w:sz w:val="25"/>
          <w:szCs w:val="25"/>
        </w:rPr>
        <w:t xml:space="preserve">10.4  Intermediary status</w:t>
      </w:r>
    </w:p>
    <w:p>
      <w:pPr>
        <w:spacing w:after="120" w:line="276"/>
      </w:pPr>
      <w:r>
        <w:rPr>
          <w:color w:val="1A1A1A"/>
          <w:sz w:val="21"/>
          <w:szCs w:val="21"/>
        </w:rPr>
        <w:t xml:space="preserve">Hosting third-party vendor content makes the platform an intermediary under Indian law. Safe harbour from liability for that content depends on meeting the intermediary due-diligence obligations: published terms and privacy policy, a grievance officer with published contact details and defined response timelines, takedown procedures, and retention of records. This is straightforward to comply with and expensive to ignore. Build the grievance and takedown workflow into the admin console from the start rather than retrofitting it.</w:t>
      </w:r>
    </w:p>
    <w:p>
      <w:pPr>
        <w:pStyle w:val="Heading2"/>
        <w:spacing w:after="140" w:before="320"/>
      </w:pPr>
      <w:r>
        <w:rPr>
          <w:b/>
          <w:bCs/>
          <w:color w:val="1A1A1A"/>
          <w:sz w:val="25"/>
          <w:szCs w:val="25"/>
        </w:rPr>
        <w:t xml:space="preserve">10.5  Export control and sanctions</w:t>
      </w:r>
    </w:p>
    <w:p>
      <w:pPr>
        <w:spacing w:after="120" w:line="276"/>
      </w:pPr>
      <w:r>
        <w:rPr>
          <w:color w:val="1A1A1A"/>
          <w:sz w:val="21"/>
          <w:szCs w:val="21"/>
        </w:rPr>
        <w:t xml:space="preserve">Screening runs in both directions and is not optional. Use the free consolidated feed of US restricted-party lists at onboarding and on a recurring schedule, and check for anti-dumping and countervailing duty exposure at the classification level, since that is a common and expensive surprise in this corridor. Where a product falls under US agency jurisdiction on import — food, drugs, devices, radio equipment, consumer products — surface it on the listing, which is exactly what the export agent's compliance stage already produces.</w:t>
      </w:r>
    </w:p>
    <w:p>
      <w:pPr>
        <w:pStyle w:val="Heading2"/>
        <w:spacing w:after="140" w:before="320"/>
      </w:pPr>
      <w:r>
        <w:rPr>
          <w:b/>
          <w:bCs/>
          <w:color w:val="1A1A1A"/>
          <w:sz w:val="25"/>
          <w:szCs w:val="25"/>
        </w:rPr>
        <w:t xml:space="preserve">10.6  Tax and other</w:t>
      </w:r>
    </w:p>
    <w:p>
      <w:pPr>
        <w:pStyle w:val="ListParagraph"/>
        <w:numPr>
          <w:ilvl w:val="0"/>
          <w:numId w:val="3"/>
        </w:numPr>
        <w:spacing w:after="80" w:line="276"/>
      </w:pPr>
      <w:r>
        <w:rPr>
          <w:color w:val="1A1A1A"/>
          <w:sz w:val="21"/>
          <w:szCs w:val="21"/>
        </w:rPr>
        <w:t xml:space="preserve">Commission or subscription revenue from Indian vendors attracts Indian goods and services tax; cross-border service supply rules and place-of-supply determination need professional advice at incorporation.</w:t>
      </w:r>
    </w:p>
    <w:p>
      <w:pPr>
        <w:pStyle w:val="ListParagraph"/>
        <w:numPr>
          <w:ilvl w:val="0"/>
          <w:numId w:val="3"/>
        </w:numPr>
        <w:spacing w:after="80" w:line="276"/>
      </w:pPr>
      <w:r>
        <w:rPr>
          <w:color w:val="1A1A1A"/>
          <w:sz w:val="21"/>
          <w:szCs w:val="21"/>
        </w:rPr>
        <w:t xml:space="preserve">Structure matters: a US entity contracting with US buyers and an Indian entity contracting with Indian vendors is the common arrangement and affects tax, data transfer and payment flow. Decide early — retrofitting a corporate structure is painful.</w:t>
      </w:r>
    </w:p>
    <w:p>
      <w:pPr>
        <w:pStyle w:val="ListParagraph"/>
        <w:numPr>
          <w:ilvl w:val="0"/>
          <w:numId w:val="3"/>
        </w:numPr>
        <w:spacing w:after="80" w:line="276"/>
      </w:pPr>
      <w:r>
        <w:rPr>
          <w:color w:val="1A1A1A"/>
          <w:sz w:val="21"/>
          <w:szCs w:val="21"/>
        </w:rPr>
        <w:t xml:space="preserve">US-side obligations on the demand side include state privacy laws for buyer data and the federal rules governing commercial email for outreach.</w:t>
      </w:r>
    </w:p>
    <w:p>
      <w:pPr>
        <w:pStyle w:val="ListParagraph"/>
        <w:numPr>
          <w:ilvl w:val="0"/>
          <w:numId w:val="3"/>
        </w:numPr>
        <w:spacing w:after="80" w:line="276"/>
      </w:pPr>
      <w:r>
        <w:rPr>
          <w:color w:val="1A1A1A"/>
          <w:sz w:val="21"/>
          <w:szCs w:val="21"/>
        </w:rPr>
        <w:t xml:space="preserve">Claims made on the platform about vendors — "verified", "trade-proven" — are marketing claims subject to consumer protection rules in both jurisdictions. Every badge must mean exactly what it says and be evidenced.</w:t>
      </w:r>
    </w:p>
    <w:p>
      <w:r>
        <w:br w:type="page"/>
      </w:r>
    </w:p>
    <w:p>
      <w:pPr>
        <w:pStyle w:val="Heading1"/>
        <w:spacing w:after="200" w:before="400"/>
      </w:pPr>
      <w:r>
        <w:rPr>
          <w:b/>
          <w:bCs/>
          <w:color w:val="0F4C81"/>
          <w:sz w:val="32"/>
          <w:szCs w:val="32"/>
        </w:rPr>
        <w:t xml:space="preserve">11.  Cold start and go-to-market</w:t>
      </w:r>
    </w:p>
    <w:p>
      <w:pPr>
        <w:pStyle w:val="Heading2"/>
        <w:spacing w:after="140" w:before="320"/>
      </w:pPr>
      <w:r>
        <w:rPr>
          <w:b/>
          <w:bCs/>
          <w:color w:val="1A1A1A"/>
          <w:sz w:val="25"/>
          <w:szCs w:val="25"/>
        </w:rPr>
        <w:t xml:space="preserve">11.1  Pick one category</w:t>
      </w:r>
    </w:p>
    <w:p>
      <w:pPr>
        <w:spacing w:after="120" w:line="276"/>
      </w:pPr>
      <w:r>
        <w:rPr>
          <w:color w:val="1A1A1A"/>
          <w:sz w:val="21"/>
          <w:szCs w:val="21"/>
        </w:rPr>
        <w:t xml:space="preserve">The instinct to cover "anything from India" is the instinct that kills marketplaces. A buyer arriving in a category with four vendors concludes the site is empty and does not return, and that judgement is made in seconds and is permanent. Depth in one category beats breadth across forty.</w:t>
      </w:r>
    </w:p>
    <w:p>
      <w:pPr>
        <w:spacing w:after="120" w:line="276"/>
      </w:pPr>
      <w:r>
        <w:rPr>
          <w:color w:val="1A1A1A"/>
          <w:sz w:val="21"/>
          <w:szCs w:val="21"/>
        </w:rPr>
        <w:t xml:space="preserve">Select the first category against five criteria:</w:t>
      </w:r>
    </w:p>
    <w:tbl>
      <w:tblPr>
        <w:tblW w:type="dxa" w:w="9360"/>
        <w:tblBorders>
          <w:top w:val="single" w:color="0F4C81" w:sz="4"/>
          <w:left w:val="none"/>
          <w:bottom w:val="single" w:color="0F4C81" w:sz="4"/>
          <w:right w:val="none"/>
          <w:insideH w:val="single" w:color="C7CDD4" w:sz="2"/>
          <w:insideV w:val="none"/>
        </w:tblBorders>
      </w:tblPr>
      <w:tblGrid>
        <w:gridCol w:w="2300"/>
        <w:gridCol w:w="7060"/>
      </w:tblGrid>
      <w:tr>
        <w:trPr>
          <w:tblHeader/>
        </w:trPr>
        <w:tc>
          <w:tcPr>
            <w:tcW w:type="dxa" w:w="2300"/>
            <w:shd w:fill="EEF2F6" w:val="clear"/>
            <w:tcMar>
              <w:top w:type="dxa" w:w="100"/>
              <w:left w:type="dxa" w:w="120"/>
              <w:bottom w:type="dxa" w:w="100"/>
              <w:right w:type="dxa" w:w="120"/>
            </w:tcMar>
          </w:tcPr>
          <w:p>
            <w:pPr>
              <w:spacing w:after="0"/>
            </w:pPr>
            <w:r>
              <w:rPr>
                <w:b/>
                <w:bCs/>
                <w:color w:val="0F4C81"/>
                <w:sz w:val="18"/>
                <w:szCs w:val="18"/>
              </w:rPr>
              <w:t xml:space="preserve">Criterion</w:t>
            </w:r>
          </w:p>
        </w:tc>
        <w:tc>
          <w:tcPr>
            <w:tcW w:type="dxa" w:w="7060"/>
            <w:shd w:fill="EEF2F6" w:val="clear"/>
            <w:tcMar>
              <w:top w:type="dxa" w:w="100"/>
              <w:left w:type="dxa" w:w="120"/>
              <w:bottom w:type="dxa" w:w="100"/>
              <w:right w:type="dxa" w:w="120"/>
            </w:tcMar>
          </w:tcPr>
          <w:p>
            <w:pPr>
              <w:spacing w:after="0"/>
            </w:pPr>
            <w:r>
              <w:rPr>
                <w:b/>
                <w:bCs/>
                <w:color w:val="0F4C81"/>
                <w:sz w:val="18"/>
                <w:szCs w:val="18"/>
              </w:rPr>
              <w:t xml:space="preserve">Why</w:t>
            </w:r>
          </w:p>
        </w:tc>
      </w:tr>
      <w:tr>
        <w:tc>
          <w:tcPr>
            <w:tcW w:type="dxa" w:w="2300"/>
            <w:tcMar>
              <w:top w:type="dxa" w:w="90"/>
              <w:left w:type="dxa" w:w="120"/>
              <w:bottom w:type="dxa" w:w="90"/>
              <w:right w:type="dxa" w:w="120"/>
            </w:tcMar>
          </w:tcPr>
          <w:p>
            <w:pPr>
              <w:spacing w:after="0" w:line="250"/>
            </w:pPr>
            <w:r>
              <w:rPr>
                <w:b/>
                <w:bCs/>
                <w:color w:val="1A1A1A"/>
                <w:sz w:val="18"/>
                <w:szCs w:val="18"/>
              </w:rPr>
              <w:t xml:space="preserve">Proven corridor volume</w:t>
            </w:r>
          </w:p>
        </w:tc>
        <w:tc>
          <w:tcPr>
            <w:tcW w:type="dxa" w:w="7060"/>
            <w:tcMar>
              <w:top w:type="dxa" w:w="90"/>
              <w:left w:type="dxa" w:w="120"/>
              <w:bottom w:type="dxa" w:w="90"/>
              <w:right w:type="dxa" w:w="120"/>
            </w:tcMar>
          </w:tcPr>
          <w:p>
            <w:pPr>
              <w:spacing w:after="0" w:line="250"/>
            </w:pPr>
            <w:r>
              <w:rPr>
                <w:b w:val="false"/>
                <w:bCs w:val="false"/>
                <w:color w:val="1A1A1A"/>
                <w:sz w:val="18"/>
                <w:szCs w:val="18"/>
              </w:rPr>
              <w:t xml:space="preserve">Trade data shows substantial existing India-to-USA shipment activity. You are not creating demand, you are intermediating flow that already exists.</w:t>
            </w:r>
          </w:p>
        </w:tc>
      </w:tr>
      <w:tr>
        <w:tc>
          <w:tcPr>
            <w:tcW w:type="dxa" w:w="2300"/>
            <w:shd w:fill="F7F9FB" w:val="clear"/>
            <w:tcMar>
              <w:top w:type="dxa" w:w="90"/>
              <w:left w:type="dxa" w:w="120"/>
              <w:bottom w:type="dxa" w:w="90"/>
              <w:right w:type="dxa" w:w="120"/>
            </w:tcMar>
          </w:tcPr>
          <w:p>
            <w:pPr>
              <w:spacing w:after="0" w:line="250"/>
            </w:pPr>
            <w:r>
              <w:rPr>
                <w:b/>
                <w:bCs/>
                <w:color w:val="1A1A1A"/>
                <w:sz w:val="18"/>
                <w:szCs w:val="18"/>
              </w:rPr>
              <w:t xml:space="preserve">Fragmented supply</w:t>
            </w:r>
          </w:p>
        </w:tc>
        <w:tc>
          <w:tcPr>
            <w:tcW w:type="dxa" w:w="7060"/>
            <w:shd w:fill="F7F9FB" w:val="clear"/>
            <w:tcMar>
              <w:top w:type="dxa" w:w="90"/>
              <w:left w:type="dxa" w:w="120"/>
              <w:bottom w:type="dxa" w:w="90"/>
              <w:right w:type="dxa" w:w="120"/>
            </w:tcMar>
          </w:tcPr>
          <w:p>
            <w:pPr>
              <w:spacing w:after="0" w:line="250"/>
            </w:pPr>
            <w:r>
              <w:rPr>
                <w:b w:val="false"/>
                <w:bCs w:val="false"/>
                <w:color w:val="1A1A1A"/>
                <w:sz w:val="18"/>
                <w:szCs w:val="18"/>
              </w:rPr>
              <w:t xml:space="preserve">Hundreds of small exporters rather than ten large ones. Fragmentation is what makes a marketplace useful — if ten firms serve the market, buyers already know all ten.</w:t>
            </w:r>
          </w:p>
        </w:tc>
      </w:tr>
      <w:tr>
        <w:tc>
          <w:tcPr>
            <w:tcW w:type="dxa" w:w="2300"/>
            <w:tcMar>
              <w:top w:type="dxa" w:w="90"/>
              <w:left w:type="dxa" w:w="120"/>
              <w:bottom w:type="dxa" w:w="90"/>
              <w:right w:type="dxa" w:w="120"/>
            </w:tcMar>
          </w:tcPr>
          <w:p>
            <w:pPr>
              <w:spacing w:after="0" w:line="250"/>
            </w:pPr>
            <w:r>
              <w:rPr>
                <w:b/>
                <w:bCs/>
                <w:color w:val="1A1A1A"/>
                <w:sz w:val="18"/>
                <w:szCs w:val="18"/>
              </w:rPr>
              <w:t xml:space="preserve">Specifiable product</w:t>
            </w:r>
          </w:p>
        </w:tc>
        <w:tc>
          <w:tcPr>
            <w:tcW w:type="dxa" w:w="7060"/>
            <w:tcMar>
              <w:top w:type="dxa" w:w="90"/>
              <w:left w:type="dxa" w:w="120"/>
              <w:bottom w:type="dxa" w:w="90"/>
              <w:right w:type="dxa" w:w="120"/>
            </w:tcMar>
          </w:tcPr>
          <w:p>
            <w:pPr>
              <w:spacing w:after="0" w:line="250"/>
            </w:pPr>
            <w:r>
              <w:rPr>
                <w:b w:val="false"/>
                <w:bCs w:val="false"/>
                <w:color w:val="1A1A1A"/>
                <w:sz w:val="18"/>
                <w:szCs w:val="18"/>
              </w:rPr>
              <w:t xml:space="preserve">Can be described accurately enough that a buyer will transact without inspecting. Commodity-like beats bespoke for a first category.</w:t>
            </w:r>
          </w:p>
        </w:tc>
      </w:tr>
      <w:tr>
        <w:tc>
          <w:tcPr>
            <w:tcW w:type="dxa" w:w="2300"/>
            <w:shd w:fill="F7F9FB" w:val="clear"/>
            <w:tcMar>
              <w:top w:type="dxa" w:w="90"/>
              <w:left w:type="dxa" w:w="120"/>
              <w:bottom w:type="dxa" w:w="90"/>
              <w:right w:type="dxa" w:w="120"/>
            </w:tcMar>
          </w:tcPr>
          <w:p>
            <w:pPr>
              <w:spacing w:after="0" w:line="250"/>
            </w:pPr>
            <w:r>
              <w:rPr>
                <w:b/>
                <w:bCs/>
                <w:color w:val="1A1A1A"/>
                <w:sz w:val="18"/>
                <w:szCs w:val="18"/>
              </w:rPr>
              <w:t xml:space="preserve">Tolerable compliance</w:t>
            </w:r>
          </w:p>
        </w:tc>
        <w:tc>
          <w:tcPr>
            <w:tcW w:type="dxa" w:w="7060"/>
            <w:shd w:fill="F7F9FB" w:val="clear"/>
            <w:tcMar>
              <w:top w:type="dxa" w:w="90"/>
              <w:left w:type="dxa" w:w="120"/>
              <w:bottom w:type="dxa" w:w="90"/>
              <w:right w:type="dxa" w:w="120"/>
            </w:tcMar>
          </w:tcPr>
          <w:p>
            <w:pPr>
              <w:spacing w:after="0" w:line="250"/>
            </w:pPr>
            <w:r>
              <w:rPr>
                <w:b w:val="false"/>
                <w:bCs w:val="false"/>
                <w:color w:val="1A1A1A"/>
                <w:sz w:val="18"/>
                <w:szCs w:val="18"/>
              </w:rPr>
              <w:t xml:space="preserve">Avoid food, pharmaceuticals and medical devices first — agency requirements are heavy and a mistake is severe. Come back to them once the machine works.</w:t>
            </w:r>
          </w:p>
        </w:tc>
      </w:tr>
      <w:tr>
        <w:tc>
          <w:tcPr>
            <w:tcW w:type="dxa" w:w="2300"/>
            <w:tcMar>
              <w:top w:type="dxa" w:w="90"/>
              <w:left w:type="dxa" w:w="120"/>
              <w:bottom w:type="dxa" w:w="90"/>
              <w:right w:type="dxa" w:w="120"/>
            </w:tcMar>
          </w:tcPr>
          <w:p>
            <w:pPr>
              <w:spacing w:after="0" w:line="250"/>
            </w:pPr>
            <w:r>
              <w:rPr>
                <w:b/>
                <w:bCs/>
                <w:color w:val="1A1A1A"/>
                <w:sz w:val="18"/>
                <w:szCs w:val="18"/>
              </w:rPr>
              <w:t xml:space="preserve">Reachable supply</w:t>
            </w:r>
          </w:p>
        </w:tc>
        <w:tc>
          <w:tcPr>
            <w:tcW w:type="dxa" w:w="7060"/>
            <w:tcMar>
              <w:top w:type="dxa" w:w="90"/>
              <w:left w:type="dxa" w:w="120"/>
              <w:bottom w:type="dxa" w:w="90"/>
              <w:right w:type="dxa" w:w="120"/>
            </w:tcMar>
          </w:tcPr>
          <w:p>
            <w:pPr>
              <w:spacing w:after="0" w:line="250"/>
            </w:pPr>
            <w:r>
              <w:rPr>
                <w:b w:val="false"/>
                <w:bCs w:val="false"/>
                <w:color w:val="1A1A1A"/>
                <w:sz w:val="18"/>
                <w:szCs w:val="18"/>
              </w:rPr>
              <w:t xml:space="preserve">An active Export Promotion Council and geographic clustering, so onboarding can be done in concentrated pushes rather than scattered nationally.</w:t>
            </w:r>
          </w:p>
        </w:tc>
      </w:tr>
    </w:tbl>
    <w:p>
      <w:pPr>
        <w:spacing w:after="60"/>
      </w:pPr>
    </w:p>
    <w:p>
      <w:pPr>
        <w:spacing w:after="120" w:line="276"/>
      </w:pPr>
      <w:r>
        <w:rPr>
          <w:color w:val="1A1A1A"/>
          <w:sz w:val="21"/>
          <w:szCs w:val="21"/>
        </w:rPr>
        <w:t xml:space="preserve">Textiles and home furnishings, engineering components, handicrafts and houseware, and leather goods all score well on these criteria. Run the trade data before deciding — the answer should come from shipment volumes in your chosen destination, not from intuition.</w:t>
      </w:r>
    </w:p>
    <w:p>
      <w:pPr>
        <w:pStyle w:val="Heading2"/>
        <w:spacing w:after="140" w:before="320"/>
      </w:pPr>
      <w:r>
        <w:rPr>
          <w:b/>
          <w:bCs/>
          <w:color w:val="1A1A1A"/>
          <w:sz w:val="25"/>
          <w:szCs w:val="25"/>
        </w:rPr>
        <w:t xml:space="preserve">11.2  Supply sequence</w:t>
      </w:r>
    </w:p>
    <w:tbl>
      <w:tblPr>
        <w:tblW w:type="dxa" w:w="9360"/>
        <w:tblBorders>
          <w:top w:val="single" w:color="C7CDD4" w:sz="2"/>
          <w:left w:val="single" w:color="C7CDD4" w:sz="2"/>
          <w:bottom w:val="single" w:color="C7CDD4" w:sz="2"/>
          <w:right w:val="single" w:color="C7CDD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0" w:line="240"/>
            </w:pPr>
            <w:r>
              <w:rPr>
                <w:rFonts w:ascii="Consolas" w:cs="Consolas" w:eastAsia="Consolas" w:hAnsi="Consolas"/>
                <w:color w:val="20303F"/>
                <w:sz w:val="17"/>
                <w:szCs w:val="17"/>
              </w:rPr>
              <w:t xml:space="preserve">WEEK 1-2   Trade data → prospect list for ONE category, ranked by</w:t>
            </w:r>
          </w:p>
          <w:p>
            <w:pPr>
              <w:spacing w:after="0" w:line="240"/>
            </w:pPr>
            <w:r>
              <w:rPr>
                <w:rFonts w:ascii="Consolas" w:cs="Consolas" w:eastAsia="Consolas" w:hAnsi="Consolas"/>
                <w:color w:val="20303F"/>
                <w:sz w:val="17"/>
                <w:szCs w:val="17"/>
              </w:rPr>
              <w:t xml:space="preserve">           real export volume to the USA. Target ~800 firms.</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WEEK 2-3   Registry verification. Drop inactive entities. ~600 remain.</w:t>
            </w:r>
          </w:p>
          <w:p>
            <w:pPr>
              <w:spacing w:after="0" w:line="240"/>
            </w:pPr>
            <w:r>
              <w:rPr>
                <w:rFonts w:ascii="Consolas" w:cs="Consolas" w:eastAsia="Consolas" w:hAnsi="Consolas"/>
                <w:color w:val="20303F"/>
                <w:sz w:val="17"/>
                <w:szCs w:val="17"/>
              </w:rPr>
              <w:t xml:space="preserve">           Approach the relevant EPC and FIEO in parallel.</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WEEK 3-6   Hand-onboard 200 vendors. No product yet - a form and a</w:t>
            </w:r>
          </w:p>
          <w:p>
            <w:pPr>
              <w:spacing w:after="0" w:line="240"/>
            </w:pPr>
            <w:r>
              <w:rPr>
                <w:rFonts w:ascii="Consolas" w:cs="Consolas" w:eastAsia="Consolas" w:hAnsi="Consolas"/>
                <w:color w:val="20303F"/>
                <w:sz w:val="17"/>
                <w:szCs w:val="17"/>
              </w:rPr>
              <w:t xml:space="preserve">           spreadsheet is enough. You are learning what vendors will</w:t>
            </w:r>
          </w:p>
          <w:p>
            <w:pPr>
              <w:spacing w:after="0" w:line="240"/>
            </w:pPr>
            <w:r>
              <w:rPr>
                <w:rFonts w:ascii="Consolas" w:cs="Consolas" w:eastAsia="Consolas" w:hAnsi="Consolas"/>
                <w:color w:val="20303F"/>
                <w:sz w:val="17"/>
                <w:szCs w:val="17"/>
              </w:rPr>
              <w:t xml:space="preserve">           and will not give you, especially on price. This is the</w:t>
            </w:r>
          </w:p>
          <w:p>
            <w:pPr>
              <w:spacing w:after="0" w:line="240"/>
            </w:pPr>
            <w:r>
              <w:rPr>
                <w:rFonts w:ascii="Consolas" w:cs="Consolas" w:eastAsia="Consolas" w:hAnsi="Consolas"/>
                <w:color w:val="20303F"/>
                <w:sz w:val="17"/>
                <w:szCs w:val="17"/>
              </w:rPr>
              <w:t xml:space="preserve">           most valuable research in the whole project.</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WEEK 6-14  Build the MVP around what you learned. Migrate the 200.</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MONTH 4+   Stub pages for the remaining 400 with claim outreach.</w:t>
            </w:r>
          </w:p>
          <w:p>
            <w:pPr>
              <w:spacing w:after="0" w:line="240"/>
            </w:pPr>
            <w:r>
              <w:rPr>
                <w:rFonts w:ascii="Consolas" w:cs="Consolas" w:eastAsia="Consolas" w:hAnsi="Consolas"/>
                <w:color w:val="20303F"/>
                <w:sz w:val="17"/>
                <w:szCs w:val="17"/>
              </w:rPr>
              <w:t xml:space="preserve">           EPC co-branded onboarding drives.</w:t>
            </w:r>
          </w:p>
          <w:p>
            <w:pPr>
              <w:spacing w:after="0" w:line="240"/>
            </w:pPr>
            <w:r>
              <w:rPr>
                <w:rFonts w:ascii="Consolas" w:cs="Consolas" w:eastAsia="Consolas" w:hAnsi="Consolas"/>
                <w:color w:val="20303F"/>
                <w:sz w:val="17"/>
                <w:szCs w:val="17"/>
              </w:rPr>
              <w:t xml:space="preserve">           Direct sales team scales the funnel.</w:t>
            </w:r>
          </w:p>
        </w:tc>
      </w:tr>
    </w:tbl>
    <w:p>
      <w:pPr>
        <w:spacing w:after="80"/>
      </w:pPr>
    </w:p>
    <w:tbl>
      <w:tblPr>
        <w:tblW w:type="dxa" w:w="9360"/>
        <w:tblBorders>
          <w:top w:val="single" w:color="C7CDD4" w:sz="2"/>
          <w:left w:val="single" w:color="0F4C81" w:sz="18"/>
          <w:bottom w:val="single" w:color="C7CDD4" w:sz="2"/>
          <w:right w:val="single" w:color="C7CDD4" w:sz="2"/>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60"/>
            </w:pPr>
            <w:r>
              <w:rPr>
                <w:b/>
                <w:bCs/>
                <w:color w:val="0F4C81"/>
                <w:sz w:val="17"/>
                <w:szCs w:val="17"/>
              </w:rPr>
              <w:t xml:space="preserve">DO NOT SKIP WEEKS 3 TO 6</w:t>
            </w:r>
          </w:p>
          <w:p>
            <w:pPr>
              <w:spacing w:after="0" w:line="276"/>
            </w:pPr>
            <w:r>
              <w:rPr>
                <w:color w:val="1A1A1A"/>
                <w:sz w:val="21"/>
                <w:szCs w:val="21"/>
              </w:rPr>
              <w:t xml:space="preserve">Onboarding two hundred vendors by hand before writing product code will teach you more than any amount of design. You will discover what proportion will publish a price, what they can supply in English, how they want to be contacted, and what they actually want from you. Every one of those answers changes the product, and finding them after launch means rebuilding.</w:t>
            </w:r>
          </w:p>
        </w:tc>
      </w:tr>
    </w:tbl>
    <w:p>
      <w:pPr>
        <w:pStyle w:val="Heading2"/>
        <w:spacing w:after="140" w:before="320"/>
      </w:pPr>
      <w:r>
        <w:rPr>
          <w:b/>
          <w:bCs/>
          <w:color w:val="1A1A1A"/>
          <w:sz w:val="25"/>
          <w:szCs w:val="25"/>
        </w:rPr>
        <w:t xml:space="preserve">11.3  Demand</w:t>
      </w:r>
    </w:p>
    <w:p>
      <w:pPr>
        <w:spacing w:after="120" w:line="276"/>
      </w:pPr>
      <w:r>
        <w:rPr>
          <w:color w:val="1A1A1A"/>
          <w:sz w:val="21"/>
          <w:szCs w:val="21"/>
        </w:rPr>
        <w:t xml:space="preserve">Easier than supply, and mostly one channel.</w:t>
      </w:r>
    </w:p>
    <w:p>
      <w:pPr>
        <w:pStyle w:val="ListParagraph"/>
        <w:numPr>
          <w:ilvl w:val="0"/>
          <w:numId w:val="3"/>
        </w:numPr>
        <w:spacing w:after="80" w:line="276"/>
      </w:pPr>
      <w:r>
        <w:rPr>
          <w:b/>
          <w:bCs/>
          <w:color w:val="1A1A1A"/>
          <w:sz w:val="21"/>
          <w:szCs w:val="21"/>
        </w:rPr>
        <w:t xml:space="preserve">Organic search is the engine. </w:t>
      </w:r>
      <w:r>
        <w:rPr>
          <w:color w:val="1A1A1A"/>
          <w:sz w:val="21"/>
          <w:szCs w:val="21"/>
        </w:rPr>
        <w:t xml:space="preserve">Sourcing buyers search for products, specifications and tariff codes. Server-rendered listing pages, category pages and classification pages are the entire demand strategy for the first year. This is why the public layer in Section 5.1 must be rich, and why the frontend must render on the server.</w:t>
      </w:r>
    </w:p>
    <w:p>
      <w:pPr>
        <w:pStyle w:val="ListParagraph"/>
        <w:numPr>
          <w:ilvl w:val="0"/>
          <w:numId w:val="3"/>
        </w:numPr>
        <w:spacing w:after="80" w:line="276"/>
      </w:pPr>
      <w:r>
        <w:rPr>
          <w:b/>
          <w:bCs/>
          <w:color w:val="1A1A1A"/>
          <w:sz w:val="21"/>
          <w:szCs w:val="21"/>
        </w:rPr>
        <w:t xml:space="preserve">Landed cost is the hook. </w:t>
      </w:r>
      <w:r>
        <w:rPr>
          <w:color w:val="1A1A1A"/>
          <w:sz w:val="21"/>
          <w:szCs w:val="21"/>
        </w:rPr>
        <w:t xml:space="preserve">A calculator that answers "what does this cost me delivered from India" is a standalone acquisition tool that attracts exactly the buyer you want, before you have a catalogue deep enough to impress them.</w:t>
      </w:r>
    </w:p>
    <w:p>
      <w:pPr>
        <w:pStyle w:val="ListParagraph"/>
        <w:numPr>
          <w:ilvl w:val="0"/>
          <w:numId w:val="3"/>
        </w:numPr>
        <w:spacing w:after="80" w:line="276"/>
      </w:pPr>
      <w:r>
        <w:rPr>
          <w:b/>
          <w:bCs/>
          <w:color w:val="1A1A1A"/>
          <w:sz w:val="21"/>
          <w:szCs w:val="21"/>
        </w:rPr>
        <w:t xml:space="preserve">US buyers already importing are the warm list. </w:t>
      </w:r>
      <w:r>
        <w:rPr>
          <w:color w:val="1A1A1A"/>
          <w:sz w:val="21"/>
          <w:szCs w:val="21"/>
        </w:rPr>
        <w:t xml:space="preserve">US import manifests name the companies already buying this category from India. That is an outbound list of buyers with proven intent, obtained from public records.</w:t>
      </w:r>
    </w:p>
    <w:p>
      <w:pPr>
        <w:pStyle w:val="ListParagraph"/>
        <w:numPr>
          <w:ilvl w:val="0"/>
          <w:numId w:val="3"/>
        </w:numPr>
        <w:spacing w:after="80" w:line="276"/>
      </w:pPr>
      <w:r>
        <w:rPr>
          <w:b/>
          <w:bCs/>
          <w:color w:val="1A1A1A"/>
          <w:sz w:val="21"/>
          <w:szCs w:val="21"/>
        </w:rPr>
        <w:t xml:space="preserve">Institutional distribution works on both sides. </w:t>
      </w:r>
      <w:r>
        <w:rPr>
          <w:color w:val="1A1A1A"/>
          <w:sz w:val="21"/>
          <w:szCs w:val="21"/>
        </w:rPr>
        <w:t xml:space="preserve">US importer associations, trade shows, and the US Commercial Service reach sourcing managers directly.</w:t>
      </w:r>
    </w:p>
    <w:p>
      <w:pPr>
        <w:pStyle w:val="Heading2"/>
        <w:spacing w:after="140" w:before="320"/>
      </w:pPr>
      <w:r>
        <w:rPr>
          <w:b/>
          <w:bCs/>
          <w:color w:val="1A1A1A"/>
          <w:sz w:val="25"/>
          <w:szCs w:val="25"/>
        </w:rPr>
        <w:t xml:space="preserve">11.4  Liquidity metrics</w:t>
      </w:r>
    </w:p>
    <w:p>
      <w:pPr>
        <w:spacing w:after="120" w:line="276"/>
      </w:pPr>
      <w:r>
        <w:rPr>
          <w:color w:val="1A1A1A"/>
          <w:sz w:val="21"/>
          <w:szCs w:val="21"/>
        </w:rPr>
        <w:t xml:space="preserve">Four numbers, reviewed weekly. Everything else is vanity.</w:t>
      </w:r>
    </w:p>
    <w:tbl>
      <w:tblPr>
        <w:tblW w:type="dxa" w:w="9360"/>
        <w:tblBorders>
          <w:top w:val="single" w:color="0F4C81" w:sz="4"/>
          <w:left w:val="none"/>
          <w:bottom w:val="single" w:color="0F4C81" w:sz="4"/>
          <w:right w:val="none"/>
          <w:insideH w:val="single" w:color="C7CDD4" w:sz="2"/>
          <w:insideV w:val="none"/>
        </w:tblBorders>
      </w:tblPr>
      <w:tblGrid>
        <w:gridCol w:w="2400"/>
        <w:gridCol w:w="3200"/>
        <w:gridCol w:w="3760"/>
      </w:tblGrid>
      <w:tr>
        <w:trPr>
          <w:tblHeader/>
        </w:trPr>
        <w:tc>
          <w:tcPr>
            <w:tcW w:type="dxa" w:w="2400"/>
            <w:shd w:fill="EEF2F6" w:val="clear"/>
            <w:tcMar>
              <w:top w:type="dxa" w:w="100"/>
              <w:left w:type="dxa" w:w="120"/>
              <w:bottom w:type="dxa" w:w="100"/>
              <w:right w:type="dxa" w:w="120"/>
            </w:tcMar>
          </w:tcPr>
          <w:p>
            <w:pPr>
              <w:spacing w:after="0"/>
            </w:pPr>
            <w:r>
              <w:rPr>
                <w:b/>
                <w:bCs/>
                <w:color w:val="0F4C81"/>
                <w:sz w:val="18"/>
                <w:szCs w:val="18"/>
              </w:rPr>
              <w:t xml:space="preserve">Metric</w:t>
            </w:r>
          </w:p>
        </w:tc>
        <w:tc>
          <w:tcPr>
            <w:tcW w:type="dxa" w:w="3200"/>
            <w:shd w:fill="EEF2F6" w:val="clear"/>
            <w:tcMar>
              <w:top w:type="dxa" w:w="100"/>
              <w:left w:type="dxa" w:w="120"/>
              <w:bottom w:type="dxa" w:w="100"/>
              <w:right w:type="dxa" w:w="120"/>
            </w:tcMar>
          </w:tcPr>
          <w:p>
            <w:pPr>
              <w:spacing w:after="0"/>
            </w:pPr>
            <w:r>
              <w:rPr>
                <w:b/>
                <w:bCs/>
                <w:color w:val="0F4C81"/>
                <w:sz w:val="18"/>
                <w:szCs w:val="18"/>
              </w:rPr>
              <w:t xml:space="preserve">Definition</w:t>
            </w:r>
          </w:p>
        </w:tc>
        <w:tc>
          <w:tcPr>
            <w:tcW w:type="dxa" w:w="3760"/>
            <w:shd w:fill="EEF2F6" w:val="clear"/>
            <w:tcMar>
              <w:top w:type="dxa" w:w="100"/>
              <w:left w:type="dxa" w:w="120"/>
              <w:bottom w:type="dxa" w:w="100"/>
              <w:right w:type="dxa" w:w="120"/>
            </w:tcMar>
          </w:tcPr>
          <w:p>
            <w:pPr>
              <w:spacing w:after="0"/>
            </w:pPr>
            <w:r>
              <w:rPr>
                <w:b/>
                <w:bCs/>
                <w:color w:val="0F4C81"/>
                <w:sz w:val="18"/>
                <w:szCs w:val="18"/>
              </w:rPr>
              <w:t xml:space="preserve">Why it is the one that matters</w:t>
            </w:r>
          </w:p>
        </w:tc>
      </w:tr>
      <w:tr>
        <w:tc>
          <w:tcPr>
            <w:tcW w:type="dxa" w:w="2400"/>
            <w:tcMar>
              <w:top w:type="dxa" w:w="90"/>
              <w:left w:type="dxa" w:w="120"/>
              <w:bottom w:type="dxa" w:w="90"/>
              <w:right w:type="dxa" w:w="120"/>
            </w:tcMar>
          </w:tcPr>
          <w:p>
            <w:pPr>
              <w:spacing w:after="0" w:line="250"/>
            </w:pPr>
            <w:r>
              <w:rPr>
                <w:b/>
                <w:bCs/>
                <w:color w:val="1A1A1A"/>
                <w:sz w:val="18"/>
                <w:szCs w:val="18"/>
              </w:rPr>
              <w:t xml:space="preserve">Enquiry rate</w:t>
            </w:r>
          </w:p>
        </w:tc>
        <w:tc>
          <w:tcPr>
            <w:tcW w:type="dxa" w:w="3200"/>
            <w:tcMar>
              <w:top w:type="dxa" w:w="90"/>
              <w:left w:type="dxa" w:w="120"/>
              <w:bottom w:type="dxa" w:w="90"/>
              <w:right w:type="dxa" w:w="120"/>
            </w:tcMar>
          </w:tcPr>
          <w:p>
            <w:pPr>
              <w:spacing w:after="0" w:line="250"/>
            </w:pPr>
            <w:r>
              <w:rPr>
                <w:b w:val="false"/>
                <w:bCs w:val="false"/>
                <w:color w:val="1A1A1A"/>
                <w:sz w:val="18"/>
                <w:szCs w:val="18"/>
              </w:rPr>
              <w:t xml:space="preserve">Enquiries per hundred listing views.</w:t>
            </w:r>
          </w:p>
        </w:tc>
        <w:tc>
          <w:tcPr>
            <w:tcW w:type="dxa" w:w="3760"/>
            <w:tcMar>
              <w:top w:type="dxa" w:w="90"/>
              <w:left w:type="dxa" w:w="120"/>
              <w:bottom w:type="dxa" w:w="90"/>
              <w:right w:type="dxa" w:w="120"/>
            </w:tcMar>
          </w:tcPr>
          <w:p>
            <w:pPr>
              <w:spacing w:after="0" w:line="250"/>
            </w:pPr>
            <w:r>
              <w:rPr>
                <w:b w:val="false"/>
                <w:bCs w:val="false"/>
                <w:color w:val="1A1A1A"/>
                <w:sz w:val="18"/>
                <w:szCs w:val="18"/>
              </w:rPr>
              <w:t xml:space="preserve">The core conversion. If this is low, either the listings are thin or the price information is not credible.</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Vendor response rate</w:t>
            </w:r>
          </w:p>
        </w:tc>
        <w:tc>
          <w:tcPr>
            <w:tcW w:type="dxa" w:w="3200"/>
            <w:shd w:fill="F7F9FB" w:val="clear"/>
            <w:tcMar>
              <w:top w:type="dxa" w:w="90"/>
              <w:left w:type="dxa" w:w="120"/>
              <w:bottom w:type="dxa" w:w="90"/>
              <w:right w:type="dxa" w:w="120"/>
            </w:tcMar>
          </w:tcPr>
          <w:p>
            <w:pPr>
              <w:spacing w:after="0" w:line="250"/>
            </w:pPr>
            <w:r>
              <w:rPr>
                <w:b w:val="false"/>
                <w:bCs w:val="false"/>
                <w:color w:val="1A1A1A"/>
                <w:sz w:val="18"/>
                <w:szCs w:val="18"/>
              </w:rPr>
              <w:t xml:space="preserve">Enquiries answered within 48 hours.</w:t>
            </w:r>
          </w:p>
        </w:tc>
        <w:tc>
          <w:tcPr>
            <w:tcW w:type="dxa" w:w="3760"/>
            <w:shd w:fill="F7F9FB" w:val="clear"/>
            <w:tcMar>
              <w:top w:type="dxa" w:w="90"/>
              <w:left w:type="dxa" w:w="120"/>
              <w:bottom w:type="dxa" w:w="90"/>
              <w:right w:type="dxa" w:w="120"/>
            </w:tcMar>
          </w:tcPr>
          <w:p>
            <w:pPr>
              <w:spacing w:after="0" w:line="250"/>
            </w:pPr>
            <w:r>
              <w:rPr>
                <w:b w:val="false"/>
                <w:bCs w:val="false"/>
                <w:color w:val="1A1A1A"/>
                <w:sz w:val="18"/>
                <w:szCs w:val="18"/>
              </w:rPr>
              <w:t xml:space="preserve">The fastest way to kill buyer trust is an unanswered enquiry. Below seventy per cent, stop acquiring supply and fix engagement.</w:t>
            </w:r>
          </w:p>
        </w:tc>
      </w:tr>
      <w:tr>
        <w:tc>
          <w:tcPr>
            <w:tcW w:type="dxa" w:w="2400"/>
            <w:tcMar>
              <w:top w:type="dxa" w:w="90"/>
              <w:left w:type="dxa" w:w="120"/>
              <w:bottom w:type="dxa" w:w="90"/>
              <w:right w:type="dxa" w:w="120"/>
            </w:tcMar>
          </w:tcPr>
          <w:p>
            <w:pPr>
              <w:spacing w:after="0" w:line="250"/>
            </w:pPr>
            <w:r>
              <w:rPr>
                <w:b/>
                <w:bCs/>
                <w:color w:val="1A1A1A"/>
                <w:sz w:val="18"/>
                <w:szCs w:val="18"/>
              </w:rPr>
              <w:t xml:space="preserve">Category depth</w:t>
            </w:r>
          </w:p>
        </w:tc>
        <w:tc>
          <w:tcPr>
            <w:tcW w:type="dxa" w:w="3200"/>
            <w:tcMar>
              <w:top w:type="dxa" w:w="90"/>
              <w:left w:type="dxa" w:w="120"/>
              <w:bottom w:type="dxa" w:w="90"/>
              <w:right w:type="dxa" w:w="120"/>
            </w:tcMar>
          </w:tcPr>
          <w:p>
            <w:pPr>
              <w:spacing w:after="0" w:line="250"/>
            </w:pPr>
            <w:r>
              <w:rPr>
                <w:b w:val="false"/>
                <w:bCs w:val="false"/>
                <w:color w:val="1A1A1A"/>
                <w:sz w:val="18"/>
                <w:szCs w:val="18"/>
              </w:rPr>
              <w:t xml:space="preserve">Verified vendors per active category.</w:t>
            </w:r>
          </w:p>
        </w:tc>
        <w:tc>
          <w:tcPr>
            <w:tcW w:type="dxa" w:w="3760"/>
            <w:tcMar>
              <w:top w:type="dxa" w:w="90"/>
              <w:left w:type="dxa" w:w="120"/>
              <w:bottom w:type="dxa" w:w="90"/>
              <w:right w:type="dxa" w:w="120"/>
            </w:tcMar>
          </w:tcPr>
          <w:p>
            <w:pPr>
              <w:spacing w:after="0" w:line="250"/>
            </w:pPr>
            <w:r>
              <w:rPr>
                <w:b w:val="false"/>
                <w:bCs w:val="false"/>
                <w:color w:val="1A1A1A"/>
                <w:sz w:val="18"/>
                <w:szCs w:val="18"/>
              </w:rPr>
              <w:t xml:space="preserve">Below roughly twenty, a category looks empty and should not be exposed in navigation.</w:t>
            </w:r>
          </w:p>
        </w:tc>
      </w:tr>
      <w:tr>
        <w:tc>
          <w:tcPr>
            <w:tcW w:type="dxa" w:w="2400"/>
            <w:shd w:fill="F7F9FB" w:val="clear"/>
            <w:tcMar>
              <w:top w:type="dxa" w:w="90"/>
              <w:left w:type="dxa" w:w="120"/>
              <w:bottom w:type="dxa" w:w="90"/>
              <w:right w:type="dxa" w:w="120"/>
            </w:tcMar>
          </w:tcPr>
          <w:p>
            <w:pPr>
              <w:spacing w:after="0" w:line="250"/>
            </w:pPr>
            <w:r>
              <w:rPr>
                <w:b/>
                <w:bCs/>
                <w:color w:val="1A1A1A"/>
                <w:sz w:val="18"/>
                <w:szCs w:val="18"/>
              </w:rPr>
              <w:t xml:space="preserve">Repeat buyer rate</w:t>
            </w:r>
          </w:p>
        </w:tc>
        <w:tc>
          <w:tcPr>
            <w:tcW w:type="dxa" w:w="3200"/>
            <w:shd w:fill="F7F9FB" w:val="clear"/>
            <w:tcMar>
              <w:top w:type="dxa" w:w="90"/>
              <w:left w:type="dxa" w:w="120"/>
              <w:bottom w:type="dxa" w:w="90"/>
              <w:right w:type="dxa" w:w="120"/>
            </w:tcMar>
          </w:tcPr>
          <w:p>
            <w:pPr>
              <w:spacing w:after="0" w:line="250"/>
            </w:pPr>
            <w:r>
              <w:rPr>
                <w:b w:val="false"/>
                <w:bCs w:val="false"/>
                <w:color w:val="1A1A1A"/>
                <w:sz w:val="18"/>
                <w:szCs w:val="18"/>
              </w:rPr>
              <w:t xml:space="preserve">Buyers returning within ninety days.</w:t>
            </w:r>
          </w:p>
        </w:tc>
        <w:tc>
          <w:tcPr>
            <w:tcW w:type="dxa" w:w="3760"/>
            <w:shd w:fill="F7F9FB" w:val="clear"/>
            <w:tcMar>
              <w:top w:type="dxa" w:w="90"/>
              <w:left w:type="dxa" w:w="120"/>
              <w:bottom w:type="dxa" w:w="90"/>
              <w:right w:type="dxa" w:w="120"/>
            </w:tcMar>
          </w:tcPr>
          <w:p>
            <w:pPr>
              <w:spacing w:after="0" w:line="250"/>
            </w:pPr>
            <w:r>
              <w:rPr>
                <w:b w:val="false"/>
                <w:bCs w:val="false"/>
                <w:color w:val="1A1A1A"/>
                <w:sz w:val="18"/>
                <w:szCs w:val="18"/>
              </w:rPr>
              <w:t xml:space="preserve">The only real evidence the product works. Everything before this is traffic.</w:t>
            </w:r>
          </w:p>
        </w:tc>
      </w:tr>
    </w:tbl>
    <w:p>
      <w:r>
        <w:br w:type="page"/>
      </w:r>
    </w:p>
    <w:p>
      <w:pPr>
        <w:pStyle w:val="Heading1"/>
        <w:spacing w:after="200" w:before="400"/>
      </w:pPr>
      <w:r>
        <w:rPr>
          <w:b/>
          <w:bCs/>
          <w:color w:val="0F4C81"/>
          <w:sz w:val="32"/>
          <w:szCs w:val="32"/>
        </w:rPr>
        <w:t xml:space="preserve">12.  Build roadmap</w:t>
      </w:r>
    </w:p>
    <w:tbl>
      <w:tblPr>
        <w:tblW w:type="dxa" w:w="9360"/>
        <w:tblBorders>
          <w:top w:val="single" w:color="0F4C81" w:sz="4"/>
          <w:left w:val="none"/>
          <w:bottom w:val="single" w:color="0F4C81" w:sz="4"/>
          <w:right w:val="none"/>
          <w:insideH w:val="single" w:color="C7CDD4" w:sz="2"/>
          <w:insideV w:val="none"/>
        </w:tblBorders>
      </w:tblPr>
      <w:tblGrid>
        <w:gridCol w:w="1200"/>
        <w:gridCol w:w="2000"/>
        <w:gridCol w:w="1100"/>
        <w:gridCol w:w="5060"/>
      </w:tblGrid>
      <w:tr>
        <w:trPr>
          <w:tblHeader/>
        </w:trPr>
        <w:tc>
          <w:tcPr>
            <w:tcW w:type="dxa" w:w="1200"/>
            <w:shd w:fill="EEF2F6" w:val="clear"/>
            <w:tcMar>
              <w:top w:type="dxa" w:w="100"/>
              <w:left w:type="dxa" w:w="120"/>
              <w:bottom w:type="dxa" w:w="100"/>
              <w:right w:type="dxa" w:w="120"/>
            </w:tcMar>
          </w:tcPr>
          <w:p>
            <w:pPr>
              <w:spacing w:after="0"/>
            </w:pPr>
            <w:r>
              <w:rPr>
                <w:b/>
                <w:bCs/>
                <w:color w:val="0F4C81"/>
                <w:sz w:val="18"/>
                <w:szCs w:val="18"/>
              </w:rPr>
              <w:t xml:space="preserve">Phase</w:t>
            </w:r>
          </w:p>
        </w:tc>
        <w:tc>
          <w:tcPr>
            <w:tcW w:type="dxa" w:w="2000"/>
            <w:shd w:fill="EEF2F6" w:val="clear"/>
            <w:tcMar>
              <w:top w:type="dxa" w:w="100"/>
              <w:left w:type="dxa" w:w="120"/>
              <w:bottom w:type="dxa" w:w="100"/>
              <w:right w:type="dxa" w:w="120"/>
            </w:tcMar>
          </w:tcPr>
          <w:p>
            <w:pPr>
              <w:spacing w:after="0"/>
            </w:pPr>
            <w:r>
              <w:rPr>
                <w:b/>
                <w:bCs/>
                <w:color w:val="0F4C81"/>
                <w:sz w:val="18"/>
                <w:szCs w:val="18"/>
              </w:rPr>
              <w:t xml:space="preserve">Focus</w:t>
            </w:r>
          </w:p>
        </w:tc>
        <w:tc>
          <w:tcPr>
            <w:tcW w:type="dxa" w:w="1100"/>
            <w:shd w:fill="EEF2F6" w:val="clear"/>
            <w:tcMar>
              <w:top w:type="dxa" w:w="100"/>
              <w:left w:type="dxa" w:w="120"/>
              <w:bottom w:type="dxa" w:w="100"/>
              <w:right w:type="dxa" w:w="120"/>
            </w:tcMar>
          </w:tcPr>
          <w:p>
            <w:pPr>
              <w:spacing w:after="0"/>
            </w:pPr>
            <w:r>
              <w:rPr>
                <w:b/>
                <w:bCs/>
                <w:color w:val="0F4C81"/>
                <w:sz w:val="18"/>
                <w:szCs w:val="18"/>
              </w:rPr>
              <w:t xml:space="preserve">Duration</w:t>
            </w:r>
          </w:p>
        </w:tc>
        <w:tc>
          <w:tcPr>
            <w:tcW w:type="dxa" w:w="5060"/>
            <w:shd w:fill="EEF2F6" w:val="clear"/>
            <w:tcMar>
              <w:top w:type="dxa" w:w="100"/>
              <w:left w:type="dxa" w:w="120"/>
              <w:bottom w:type="dxa" w:w="100"/>
              <w:right w:type="dxa" w:w="120"/>
            </w:tcMar>
          </w:tcPr>
          <w:p>
            <w:pPr>
              <w:spacing w:after="0"/>
            </w:pPr>
            <w:r>
              <w:rPr>
                <w:b/>
                <w:bCs/>
                <w:color w:val="0F4C81"/>
                <w:sz w:val="18"/>
                <w:szCs w:val="18"/>
              </w:rPr>
              <w:t xml:space="preserve">Scope and exit criterion</w:t>
            </w:r>
          </w:p>
        </w:tc>
      </w:tr>
      <w:tr>
        <w:tc>
          <w:tcPr>
            <w:tcW w:type="dxa" w:w="1200"/>
            <w:tcMar>
              <w:top w:type="dxa" w:w="90"/>
              <w:left w:type="dxa" w:w="120"/>
              <w:bottom w:type="dxa" w:w="90"/>
              <w:right w:type="dxa" w:w="120"/>
            </w:tcMar>
          </w:tcPr>
          <w:p>
            <w:pPr>
              <w:spacing w:after="0" w:line="250"/>
            </w:pPr>
            <w:r>
              <w:rPr>
                <w:b/>
                <w:bCs/>
                <w:color w:val="1A1A1A"/>
                <w:sz w:val="18"/>
                <w:szCs w:val="18"/>
              </w:rPr>
              <w:t xml:space="preserve">Phase 0</w:t>
            </w:r>
          </w:p>
        </w:tc>
        <w:tc>
          <w:tcPr>
            <w:tcW w:type="dxa" w:w="2000"/>
            <w:tcMar>
              <w:top w:type="dxa" w:w="90"/>
              <w:left w:type="dxa" w:w="120"/>
              <w:bottom w:type="dxa" w:w="90"/>
              <w:right w:type="dxa" w:w="120"/>
            </w:tcMar>
          </w:tcPr>
          <w:p>
            <w:pPr>
              <w:spacing w:after="0" w:line="250"/>
            </w:pPr>
            <w:r>
              <w:rPr>
                <w:b w:val="false"/>
                <w:bCs w:val="false"/>
                <w:color w:val="1A1A1A"/>
                <w:sz w:val="18"/>
                <w:szCs w:val="18"/>
              </w:rPr>
              <w:t xml:space="preserve">Category and supply research</w:t>
            </w:r>
          </w:p>
        </w:tc>
        <w:tc>
          <w:tcPr>
            <w:tcW w:type="dxa" w:w="1100"/>
            <w:tcMar>
              <w:top w:type="dxa" w:w="90"/>
              <w:left w:type="dxa" w:w="120"/>
              <w:bottom w:type="dxa" w:w="90"/>
              <w:right w:type="dxa" w:w="120"/>
            </w:tcMar>
          </w:tcPr>
          <w:p>
            <w:pPr>
              <w:spacing w:after="0" w:line="250"/>
            </w:pPr>
            <w:r>
              <w:rPr>
                <w:b w:val="false"/>
                <w:bCs w:val="false"/>
                <w:color w:val="1A1A1A"/>
                <w:sz w:val="18"/>
                <w:szCs w:val="18"/>
              </w:rPr>
              <w:t xml:space="preserve">6 weeks</w:t>
            </w:r>
          </w:p>
        </w:tc>
        <w:tc>
          <w:tcPr>
            <w:tcW w:type="dxa" w:w="5060"/>
            <w:tcMar>
              <w:top w:type="dxa" w:w="90"/>
              <w:left w:type="dxa" w:w="120"/>
              <w:bottom w:type="dxa" w:w="90"/>
              <w:right w:type="dxa" w:w="120"/>
            </w:tcMar>
          </w:tcPr>
          <w:p>
            <w:pPr>
              <w:spacing w:after="0" w:line="250"/>
            </w:pPr>
            <w:r>
              <w:rPr>
                <w:b w:val="false"/>
                <w:bCs w:val="false"/>
                <w:color w:val="1A1A1A"/>
                <w:sz w:val="18"/>
                <w:szCs w:val="18"/>
              </w:rPr>
              <w:t xml:space="preserve">Trade data subscription, category selection, prospect list, EPC and FIEO approach, 200 vendors onboarded by hand into a spreadsheet. Exit: you know what vendors will publish on price and you have 200 signed up. No code.</w:t>
            </w:r>
          </w:p>
        </w:tc>
      </w:tr>
      <w:tr>
        <w:tc>
          <w:tcPr>
            <w:tcW w:type="dxa" w:w="1200"/>
            <w:shd w:fill="F7F9FB" w:val="clear"/>
            <w:tcMar>
              <w:top w:type="dxa" w:w="90"/>
              <w:left w:type="dxa" w:w="120"/>
              <w:bottom w:type="dxa" w:w="90"/>
              <w:right w:type="dxa" w:w="120"/>
            </w:tcMar>
          </w:tcPr>
          <w:p>
            <w:pPr>
              <w:spacing w:after="0" w:line="250"/>
            </w:pPr>
            <w:r>
              <w:rPr>
                <w:b/>
                <w:bCs/>
                <w:color w:val="1A1A1A"/>
                <w:sz w:val="18"/>
                <w:szCs w:val="18"/>
              </w:rPr>
              <w:t xml:space="preserve">Phase 1</w:t>
            </w:r>
          </w:p>
        </w:tc>
        <w:tc>
          <w:tcPr>
            <w:tcW w:type="dxa" w:w="2000"/>
            <w:shd w:fill="F7F9FB" w:val="clear"/>
            <w:tcMar>
              <w:top w:type="dxa" w:w="90"/>
              <w:left w:type="dxa" w:w="120"/>
              <w:bottom w:type="dxa" w:w="90"/>
              <w:right w:type="dxa" w:w="120"/>
            </w:tcMar>
          </w:tcPr>
          <w:p>
            <w:pPr>
              <w:spacing w:after="0" w:line="250"/>
            </w:pPr>
            <w:r>
              <w:rPr>
                <w:b w:val="false"/>
                <w:bCs w:val="false"/>
                <w:color w:val="1A1A1A"/>
                <w:sz w:val="18"/>
                <w:szCs w:val="18"/>
              </w:rPr>
              <w:t xml:space="preserve">MVP, one corridor, one category</w:t>
            </w:r>
          </w:p>
        </w:tc>
        <w:tc>
          <w:tcPr>
            <w:tcW w:type="dxa" w:w="1100"/>
            <w:shd w:fill="F7F9FB" w:val="clear"/>
            <w:tcMar>
              <w:top w:type="dxa" w:w="90"/>
              <w:left w:type="dxa" w:w="120"/>
              <w:bottom w:type="dxa" w:w="90"/>
              <w:right w:type="dxa" w:w="120"/>
            </w:tcMar>
          </w:tcPr>
          <w:p>
            <w:pPr>
              <w:spacing w:after="0" w:line="250"/>
            </w:pPr>
            <w:r>
              <w:rPr>
                <w:b w:val="false"/>
                <w:bCs w:val="false"/>
                <w:color w:val="1A1A1A"/>
                <w:sz w:val="18"/>
                <w:szCs w:val="18"/>
              </w:rPr>
              <w:t xml:space="preserve">10 weeks</w:t>
            </w:r>
          </w:p>
        </w:tc>
        <w:tc>
          <w:tcPr>
            <w:tcW w:type="dxa" w:w="5060"/>
            <w:shd w:fill="F7F9FB" w:val="clear"/>
            <w:tcMar>
              <w:top w:type="dxa" w:w="90"/>
              <w:left w:type="dxa" w:w="120"/>
              <w:bottom w:type="dxa" w:w="90"/>
              <w:right w:type="dxa" w:w="120"/>
            </w:tcMar>
          </w:tcPr>
          <w:p>
            <w:pPr>
              <w:spacing w:after="0" w:line="250"/>
            </w:pPr>
            <w:r>
              <w:rPr>
                <w:b w:val="false"/>
                <w:bCs w:val="false"/>
                <w:color w:val="1A1A1A"/>
                <w:sz w:val="18"/>
                <w:szCs w:val="18"/>
              </w:rPr>
              <w:t xml:space="preserve">Vendor onboarding with KYB verification, listing editor, price tiers, server-rendered listing and category pages, Postgres search with facets, buyer registration, gated enquiry flow, vendor lead inbox with WhatsApp notification, admin moderation and claim queue, automatic classification, landed cost. Exit: 200 live listings and the first buyer enquiry answered.</w:t>
            </w:r>
          </w:p>
        </w:tc>
      </w:tr>
      <w:tr>
        <w:tc>
          <w:tcPr>
            <w:tcW w:type="dxa" w:w="1200"/>
            <w:tcMar>
              <w:top w:type="dxa" w:w="90"/>
              <w:left w:type="dxa" w:w="120"/>
              <w:bottom w:type="dxa" w:w="90"/>
              <w:right w:type="dxa" w:w="120"/>
            </w:tcMar>
          </w:tcPr>
          <w:p>
            <w:pPr>
              <w:spacing w:after="0" w:line="250"/>
            </w:pPr>
            <w:r>
              <w:rPr>
                <w:b/>
                <w:bCs/>
                <w:color w:val="1A1A1A"/>
                <w:sz w:val="18"/>
                <w:szCs w:val="18"/>
              </w:rPr>
              <w:t xml:space="preserve">Phase 2</w:t>
            </w:r>
          </w:p>
        </w:tc>
        <w:tc>
          <w:tcPr>
            <w:tcW w:type="dxa" w:w="2000"/>
            <w:tcMar>
              <w:top w:type="dxa" w:w="90"/>
              <w:left w:type="dxa" w:w="120"/>
              <w:bottom w:type="dxa" w:w="90"/>
              <w:right w:type="dxa" w:w="120"/>
            </w:tcMar>
          </w:tcPr>
          <w:p>
            <w:pPr>
              <w:spacing w:after="0" w:line="250"/>
            </w:pPr>
            <w:r>
              <w:rPr>
                <w:b w:val="false"/>
                <w:bCs w:val="false"/>
                <w:color w:val="1A1A1A"/>
                <w:sz w:val="18"/>
                <w:szCs w:val="18"/>
              </w:rPr>
              <w:t xml:space="preserve">Depth and discovery</w:t>
            </w:r>
          </w:p>
        </w:tc>
        <w:tc>
          <w:tcPr>
            <w:tcW w:type="dxa" w:w="1100"/>
            <w:tcMar>
              <w:top w:type="dxa" w:w="90"/>
              <w:left w:type="dxa" w:w="120"/>
              <w:bottom w:type="dxa" w:w="90"/>
              <w:right w:type="dxa" w:w="120"/>
            </w:tcMar>
          </w:tcPr>
          <w:p>
            <w:pPr>
              <w:spacing w:after="0" w:line="250"/>
            </w:pPr>
            <w:r>
              <w:rPr>
                <w:b w:val="false"/>
                <w:bCs w:val="false"/>
                <w:color w:val="1A1A1A"/>
                <w:sz w:val="18"/>
                <w:szCs w:val="18"/>
              </w:rPr>
              <w:t xml:space="preserve">10 weeks</w:t>
            </w:r>
          </w:p>
        </w:tc>
        <w:tc>
          <w:tcPr>
            <w:tcW w:type="dxa" w:w="5060"/>
            <w:tcMar>
              <w:top w:type="dxa" w:w="90"/>
              <w:left w:type="dxa" w:w="120"/>
              <w:bottom w:type="dxa" w:w="90"/>
              <w:right w:type="dxa" w:w="120"/>
            </w:tcMar>
          </w:tcPr>
          <w:p>
            <w:pPr>
              <w:spacing w:after="0" w:line="250"/>
            </w:pPr>
            <w:r>
              <w:rPr>
                <w:b w:val="false"/>
                <w:bCs w:val="false"/>
                <w:color w:val="1A1A1A"/>
                <w:sz w:val="18"/>
                <w:szCs w:val="18"/>
              </w:rPr>
              <w:t xml:space="preserve">Typesense migration, semantic matching, RFQ with multi-vendor routing, on-platform messaging, comparison, trade-proven badge from shipment data, stub pages with claim outreach, second category. Exit: enquiry rate and vendor response rate above target for two consecutive months.</w:t>
            </w:r>
          </w:p>
        </w:tc>
      </w:tr>
      <w:tr>
        <w:tc>
          <w:tcPr>
            <w:tcW w:type="dxa" w:w="1200"/>
            <w:shd w:fill="F7F9FB" w:val="clear"/>
            <w:tcMar>
              <w:top w:type="dxa" w:w="90"/>
              <w:left w:type="dxa" w:w="120"/>
              <w:bottom w:type="dxa" w:w="90"/>
              <w:right w:type="dxa" w:w="120"/>
            </w:tcMar>
          </w:tcPr>
          <w:p>
            <w:pPr>
              <w:spacing w:after="0" w:line="250"/>
            </w:pPr>
            <w:r>
              <w:rPr>
                <w:b/>
                <w:bCs/>
                <w:color w:val="1A1A1A"/>
                <w:sz w:val="18"/>
                <w:szCs w:val="18"/>
              </w:rPr>
              <w:t xml:space="preserve">Phase 3</w:t>
            </w:r>
          </w:p>
        </w:tc>
        <w:tc>
          <w:tcPr>
            <w:tcW w:type="dxa" w:w="2000"/>
            <w:shd w:fill="F7F9FB" w:val="clear"/>
            <w:tcMar>
              <w:top w:type="dxa" w:w="90"/>
              <w:left w:type="dxa" w:w="120"/>
              <w:bottom w:type="dxa" w:w="90"/>
              <w:right w:type="dxa" w:w="120"/>
            </w:tcMar>
          </w:tcPr>
          <w:p>
            <w:pPr>
              <w:spacing w:after="0" w:line="250"/>
            </w:pPr>
            <w:r>
              <w:rPr>
                <w:b w:val="false"/>
                <w:bCs w:val="false"/>
                <w:color w:val="1A1A1A"/>
                <w:sz w:val="18"/>
                <w:szCs w:val="18"/>
              </w:rPr>
              <w:t xml:space="preserve">Trust and scale</w:t>
            </w:r>
          </w:p>
        </w:tc>
        <w:tc>
          <w:tcPr>
            <w:tcW w:type="dxa" w:w="1100"/>
            <w:shd w:fill="F7F9FB" w:val="clear"/>
            <w:tcMar>
              <w:top w:type="dxa" w:w="90"/>
              <w:left w:type="dxa" w:w="120"/>
              <w:bottom w:type="dxa" w:w="90"/>
              <w:right w:type="dxa" w:w="120"/>
            </w:tcMar>
          </w:tcPr>
          <w:p>
            <w:pPr>
              <w:spacing w:after="0" w:line="250"/>
            </w:pPr>
            <w:r>
              <w:rPr>
                <w:b w:val="false"/>
                <w:bCs w:val="false"/>
                <w:color w:val="1A1A1A"/>
                <w:sz w:val="18"/>
                <w:szCs w:val="18"/>
              </w:rPr>
              <w:t xml:space="preserve">12 weeks</w:t>
            </w:r>
          </w:p>
        </w:tc>
        <w:tc>
          <w:tcPr>
            <w:tcW w:type="dxa" w:w="5060"/>
            <w:shd w:fill="F7F9FB" w:val="clear"/>
            <w:tcMar>
              <w:top w:type="dxa" w:w="90"/>
              <w:left w:type="dxa" w:w="120"/>
              <w:bottom w:type="dxa" w:w="90"/>
              <w:right w:type="dxa" w:w="120"/>
            </w:tcMar>
          </w:tcPr>
          <w:p>
            <w:pPr>
              <w:spacing w:after="0" w:line="250"/>
            </w:pPr>
            <w:r>
              <w:rPr>
                <w:b w:val="false"/>
                <w:bCs w:val="false"/>
                <w:color w:val="1A1A1A"/>
                <w:sz w:val="18"/>
                <w:szCs w:val="18"/>
              </w:rPr>
              <w:t xml:space="preserve">Audited verification tier, freight rate integration, buyer accounts with saved searches and rate-change alerts, vendor analytics, paid vendor tiers, third and fourth categories. Exit: first revenue and a repeat buyer cohort.</w:t>
            </w:r>
          </w:p>
        </w:tc>
      </w:tr>
      <w:tr>
        <w:tc>
          <w:tcPr>
            <w:tcW w:type="dxa" w:w="1200"/>
            <w:tcMar>
              <w:top w:type="dxa" w:w="90"/>
              <w:left w:type="dxa" w:w="120"/>
              <w:bottom w:type="dxa" w:w="90"/>
              <w:right w:type="dxa" w:w="120"/>
            </w:tcMar>
          </w:tcPr>
          <w:p>
            <w:pPr>
              <w:spacing w:after="0" w:line="250"/>
            </w:pPr>
            <w:r>
              <w:rPr>
                <w:b/>
                <w:bCs/>
                <w:color w:val="1A1A1A"/>
                <w:sz w:val="18"/>
                <w:szCs w:val="18"/>
              </w:rPr>
              <w:t xml:space="preserve">Phase 4</w:t>
            </w:r>
          </w:p>
        </w:tc>
        <w:tc>
          <w:tcPr>
            <w:tcW w:type="dxa" w:w="2000"/>
            <w:tcMar>
              <w:top w:type="dxa" w:w="90"/>
              <w:left w:type="dxa" w:w="120"/>
              <w:bottom w:type="dxa" w:w="90"/>
              <w:right w:type="dxa" w:w="120"/>
            </w:tcMar>
          </w:tcPr>
          <w:p>
            <w:pPr>
              <w:spacing w:after="0" w:line="250"/>
            </w:pPr>
            <w:r>
              <w:rPr>
                <w:b w:val="false"/>
                <w:bCs w:val="false"/>
                <w:color w:val="1A1A1A"/>
                <w:sz w:val="18"/>
                <w:szCs w:val="18"/>
              </w:rPr>
              <w:t xml:space="preserve">Transaction and reverse corridor</w:t>
            </w:r>
          </w:p>
        </w:tc>
        <w:tc>
          <w:tcPr>
            <w:tcW w:type="dxa" w:w="1100"/>
            <w:tcMar>
              <w:top w:type="dxa" w:w="90"/>
              <w:left w:type="dxa" w:w="120"/>
              <w:bottom w:type="dxa" w:w="90"/>
              <w:right w:type="dxa" w:w="120"/>
            </w:tcMar>
          </w:tcPr>
          <w:p>
            <w:pPr>
              <w:spacing w:after="0" w:line="250"/>
            </w:pPr>
            <w:r>
              <w:rPr>
                <w:b w:val="false"/>
                <w:bCs w:val="false"/>
                <w:color w:val="1A1A1A"/>
                <w:sz w:val="18"/>
                <w:szCs w:val="18"/>
              </w:rPr>
              <w:t xml:space="preserve">12 weeks+</w:t>
            </w:r>
          </w:p>
        </w:tc>
        <w:tc>
          <w:tcPr>
            <w:tcW w:type="dxa" w:w="5060"/>
            <w:tcMar>
              <w:top w:type="dxa" w:w="90"/>
              <w:left w:type="dxa" w:w="120"/>
              <w:bottom w:type="dxa" w:w="90"/>
              <w:right w:type="dxa" w:w="120"/>
            </w:tcMar>
          </w:tcPr>
          <w:p>
            <w:pPr>
              <w:spacing w:after="0" w:line="250"/>
            </w:pPr>
            <w:r>
              <w:rPr>
                <w:b w:val="false"/>
                <w:bCs w:val="false"/>
                <w:color w:val="1A1A1A"/>
                <w:sz w:val="18"/>
                <w:szCs w:val="18"/>
              </w:rPr>
              <w:t xml:space="preserve">Licensed payment partner for escrow, sample ordering, USA-to-India corridor on the same codebase. Exit: first platform-mediated transaction.</w:t>
            </w:r>
          </w:p>
        </w:tc>
      </w:tr>
    </w:tbl>
    <w:p>
      <w:pPr>
        <w:spacing w:after="100"/>
      </w:pPr>
    </w:p>
    <w:p>
      <w:pPr>
        <w:spacing w:after="120" w:line="276"/>
      </w:pPr>
      <w:r>
        <w:rPr>
          <w:color w:val="1A1A1A"/>
          <w:sz w:val="21"/>
          <w:szCs w:val="21"/>
        </w:rPr>
        <w:t xml:space="preserve">Two sequencing rules are worth stating explicitly. Phase 0 has no engineering deliverable and must not be compressed — it is the phase that de-risks everything after it. And the reverse corridor waits until Phase 4 because it doubles the only genuinely hard problem in the business.</w:t>
      </w:r>
    </w:p>
    <w:p>
      <w:pPr>
        <w:pStyle w:val="Heading1"/>
        <w:spacing w:after="200" w:before="400"/>
      </w:pPr>
      <w:r>
        <w:rPr>
          <w:b/>
          <w:bCs/>
          <w:color w:val="0F4C81"/>
          <w:sz w:val="32"/>
          <w:szCs w:val="32"/>
        </w:rPr>
        <w:t xml:space="preserve">13.  Cost model</w:t>
      </w:r>
    </w:p>
    <w:p>
      <w:pPr>
        <w:spacing w:after="120" w:line="276"/>
      </w:pPr>
      <w:r>
        <w:rPr>
          <w:color w:val="1A1A1A"/>
          <w:sz w:val="21"/>
          <w:szCs w:val="21"/>
        </w:rPr>
        <w:t xml:space="preserve">Indicative monthly run rate, excluding salaries. Figures are order-of-magnitude for planning; confirm against live quotes.</w:t>
      </w:r>
    </w:p>
    <w:tbl>
      <w:tblPr>
        <w:tblW w:type="dxa" w:w="9360"/>
        <w:tblBorders>
          <w:top w:val="single" w:color="0F4C81" w:sz="4"/>
          <w:left w:val="none"/>
          <w:bottom w:val="single" w:color="0F4C81" w:sz="4"/>
          <w:right w:val="none"/>
          <w:insideH w:val="single" w:color="C7CDD4" w:sz="2"/>
          <w:insideV w:val="none"/>
        </w:tblBorders>
      </w:tblPr>
      <w:tblGrid>
        <w:gridCol w:w="2600"/>
        <w:gridCol w:w="1800"/>
        <w:gridCol w:w="1500"/>
        <w:gridCol w:w="3460"/>
      </w:tblGrid>
      <w:tr>
        <w:trPr>
          <w:tblHeader/>
        </w:trPr>
        <w:tc>
          <w:tcPr>
            <w:tcW w:type="dxa" w:w="2600"/>
            <w:shd w:fill="EEF2F6" w:val="clear"/>
            <w:tcMar>
              <w:top w:type="dxa" w:w="100"/>
              <w:left w:type="dxa" w:w="120"/>
              <w:bottom w:type="dxa" w:w="100"/>
              <w:right w:type="dxa" w:w="120"/>
            </w:tcMar>
          </w:tcPr>
          <w:p>
            <w:pPr>
              <w:spacing w:after="0"/>
            </w:pPr>
            <w:r>
              <w:rPr>
                <w:b/>
                <w:bCs/>
                <w:color w:val="0F4C81"/>
                <w:sz w:val="18"/>
                <w:szCs w:val="18"/>
              </w:rPr>
              <w:t xml:space="preserve">Item</w:t>
            </w:r>
          </w:p>
        </w:tc>
        <w:tc>
          <w:tcPr>
            <w:tcW w:type="dxa" w:w="1800"/>
            <w:shd w:fill="EEF2F6" w:val="clear"/>
            <w:tcMar>
              <w:top w:type="dxa" w:w="100"/>
              <w:left w:type="dxa" w:w="120"/>
              <w:bottom w:type="dxa" w:w="100"/>
              <w:right w:type="dxa" w:w="120"/>
            </w:tcMar>
          </w:tcPr>
          <w:p>
            <w:pPr>
              <w:spacing w:after="0"/>
            </w:pPr>
            <w:r>
              <w:rPr>
                <w:b/>
                <w:bCs/>
                <w:color w:val="0F4C81"/>
                <w:sz w:val="18"/>
                <w:szCs w:val="18"/>
              </w:rPr>
              <w:t xml:space="preserve">Phase 1</w:t>
            </w:r>
          </w:p>
        </w:tc>
        <w:tc>
          <w:tcPr>
            <w:tcW w:type="dxa" w:w="1500"/>
            <w:shd w:fill="EEF2F6" w:val="clear"/>
            <w:tcMar>
              <w:top w:type="dxa" w:w="100"/>
              <w:left w:type="dxa" w:w="120"/>
              <w:bottom w:type="dxa" w:w="100"/>
              <w:right w:type="dxa" w:w="120"/>
            </w:tcMar>
          </w:tcPr>
          <w:p>
            <w:pPr>
              <w:spacing w:after="0"/>
            </w:pPr>
            <w:r>
              <w:rPr>
                <w:b/>
                <w:bCs/>
                <w:color w:val="0F4C81"/>
                <w:sz w:val="18"/>
                <w:szCs w:val="18"/>
              </w:rPr>
              <w:t xml:space="preserve">Phase 3</w:t>
            </w:r>
          </w:p>
        </w:tc>
        <w:tc>
          <w:tcPr>
            <w:tcW w:type="dxa" w:w="3460"/>
            <w:shd w:fill="EEF2F6" w:val="clear"/>
            <w:tcMar>
              <w:top w:type="dxa" w:w="100"/>
              <w:left w:type="dxa" w:w="120"/>
              <w:bottom w:type="dxa" w:w="100"/>
              <w:right w:type="dxa" w:w="120"/>
            </w:tcMar>
          </w:tcPr>
          <w:p>
            <w:pPr>
              <w:spacing w:after="0"/>
            </w:pPr>
            <w:r>
              <w:rPr>
                <w:b/>
                <w:bCs/>
                <w:color w:val="0F4C81"/>
                <w:sz w:val="18"/>
                <w:szCs w:val="18"/>
              </w:rPr>
              <w:t xml:space="preserve">Notes</w:t>
            </w:r>
          </w:p>
        </w:tc>
      </w:tr>
      <w:tr>
        <w:tc>
          <w:tcPr>
            <w:tcW w:type="dxa" w:w="2600"/>
            <w:tcMar>
              <w:top w:type="dxa" w:w="90"/>
              <w:left w:type="dxa" w:w="120"/>
              <w:bottom w:type="dxa" w:w="90"/>
              <w:right w:type="dxa" w:w="120"/>
            </w:tcMar>
          </w:tcPr>
          <w:p>
            <w:pPr>
              <w:spacing w:after="0" w:line="250"/>
            </w:pPr>
            <w:r>
              <w:rPr>
                <w:b/>
                <w:bCs/>
                <w:color w:val="1A1A1A"/>
                <w:sz w:val="18"/>
                <w:szCs w:val="18"/>
              </w:rPr>
              <w:t xml:space="preserve">Trade data subscription</w:t>
            </w:r>
          </w:p>
        </w:tc>
        <w:tc>
          <w:tcPr>
            <w:tcW w:type="dxa" w:w="1800"/>
            <w:tcMar>
              <w:top w:type="dxa" w:w="90"/>
              <w:left w:type="dxa" w:w="120"/>
              <w:bottom w:type="dxa" w:w="90"/>
              <w:right w:type="dxa" w:w="120"/>
            </w:tcMar>
          </w:tcPr>
          <w:p>
            <w:pPr>
              <w:spacing w:after="0" w:line="250"/>
            </w:pPr>
            <w:r>
              <w:rPr>
                <w:b w:val="false"/>
                <w:bCs w:val="false"/>
                <w:color w:val="1A1A1A"/>
                <w:sz w:val="18"/>
                <w:szCs w:val="18"/>
              </w:rPr>
              <w:t xml:space="preserve">Moderate</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Moderate</w:t>
            </w:r>
          </w:p>
        </w:tc>
        <w:tc>
          <w:tcPr>
            <w:tcW w:type="dxa" w:w="3460"/>
            <w:tcMar>
              <w:top w:type="dxa" w:w="90"/>
              <w:left w:type="dxa" w:w="120"/>
              <w:bottom w:type="dxa" w:w="90"/>
              <w:right w:type="dxa" w:w="120"/>
            </w:tcMar>
          </w:tcPr>
          <w:p>
            <w:pPr>
              <w:spacing w:after="0" w:line="250"/>
            </w:pPr>
            <w:r>
              <w:rPr>
                <w:b w:val="false"/>
                <w:bCs w:val="false"/>
                <w:color w:val="1A1A1A"/>
                <w:sz w:val="18"/>
                <w:szCs w:val="18"/>
              </w:rPr>
              <w:t xml:space="preserve">The largest fixed data cost and the most valuable. Trial two providers.</w:t>
            </w:r>
          </w:p>
        </w:tc>
      </w:tr>
      <w:tr>
        <w:tc>
          <w:tcPr>
            <w:tcW w:type="dxa" w:w="2600"/>
            <w:shd w:fill="F7F9FB" w:val="clear"/>
            <w:tcMar>
              <w:top w:type="dxa" w:w="90"/>
              <w:left w:type="dxa" w:w="120"/>
              <w:bottom w:type="dxa" w:w="90"/>
              <w:right w:type="dxa" w:w="120"/>
            </w:tcMar>
          </w:tcPr>
          <w:p>
            <w:pPr>
              <w:spacing w:after="0" w:line="250"/>
            </w:pPr>
            <w:r>
              <w:rPr>
                <w:b/>
                <w:bCs/>
                <w:color w:val="1A1A1A"/>
                <w:sz w:val="18"/>
                <w:szCs w:val="18"/>
              </w:rPr>
              <w:t xml:space="preserve">KYB verification calls</w:t>
            </w:r>
          </w:p>
        </w:tc>
        <w:tc>
          <w:tcPr>
            <w:tcW w:type="dxa" w:w="1800"/>
            <w:shd w:fill="F7F9FB" w:val="clear"/>
            <w:tcMar>
              <w:top w:type="dxa" w:w="90"/>
              <w:left w:type="dxa" w:w="120"/>
              <w:bottom w:type="dxa" w:w="90"/>
              <w:right w:type="dxa" w:w="120"/>
            </w:tcMar>
          </w:tcPr>
          <w:p>
            <w:pPr>
              <w:spacing w:after="0" w:line="250"/>
            </w:pPr>
            <w:r>
              <w:rPr>
                <w:b w:val="false"/>
                <w:bCs w:val="false"/>
                <w:color w:val="1A1A1A"/>
                <w:sz w:val="18"/>
                <w:szCs w:val="18"/>
              </w:rPr>
              <w:t xml:space="preserve">Low</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Scales with vendors</w:t>
            </w:r>
          </w:p>
        </w:tc>
        <w:tc>
          <w:tcPr>
            <w:tcW w:type="dxa" w:w="3460"/>
            <w:shd w:fill="F7F9FB" w:val="clear"/>
            <w:tcMar>
              <w:top w:type="dxa" w:w="90"/>
              <w:left w:type="dxa" w:w="120"/>
              <w:bottom w:type="dxa" w:w="90"/>
              <w:right w:type="dxa" w:w="120"/>
            </w:tcMar>
          </w:tcPr>
          <w:p>
            <w:pPr>
              <w:spacing w:after="0" w:line="250"/>
            </w:pPr>
            <w:r>
              <w:rPr>
                <w:b w:val="false"/>
                <w:bCs w:val="false"/>
                <w:color w:val="1A1A1A"/>
                <w:sz w:val="18"/>
                <w:szCs w:val="18"/>
              </w:rPr>
              <w:t xml:space="preserve">Per-call pricing; a one-off cost per vendor, not recurring.</w:t>
            </w:r>
          </w:p>
        </w:tc>
      </w:tr>
      <w:tr>
        <w:tc>
          <w:tcPr>
            <w:tcW w:type="dxa" w:w="2600"/>
            <w:tcMar>
              <w:top w:type="dxa" w:w="90"/>
              <w:left w:type="dxa" w:w="120"/>
              <w:bottom w:type="dxa" w:w="90"/>
              <w:right w:type="dxa" w:w="120"/>
            </w:tcMar>
          </w:tcPr>
          <w:p>
            <w:pPr>
              <w:spacing w:after="0" w:line="250"/>
            </w:pPr>
            <w:r>
              <w:rPr>
                <w:b/>
                <w:bCs/>
                <w:color w:val="1A1A1A"/>
                <w:sz w:val="18"/>
                <w:szCs w:val="18"/>
              </w:rPr>
              <w:t xml:space="preserve">LLM usage</w:t>
            </w:r>
          </w:p>
        </w:tc>
        <w:tc>
          <w:tcPr>
            <w:tcW w:type="dxa" w:w="1800"/>
            <w:tcMar>
              <w:top w:type="dxa" w:w="90"/>
              <w:left w:type="dxa" w:w="120"/>
              <w:bottom w:type="dxa" w:w="90"/>
              <w:right w:type="dxa" w:w="120"/>
            </w:tcMar>
          </w:tcPr>
          <w:p>
            <w:pPr>
              <w:spacing w:after="0" w:line="250"/>
            </w:pPr>
            <w:r>
              <w:rPr>
                <w:b w:val="false"/>
                <w:bCs w:val="false"/>
                <w:color w:val="1A1A1A"/>
                <w:sz w:val="18"/>
                <w:szCs w:val="18"/>
              </w:rPr>
              <w:t xml:space="preserve">Low</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Low</w:t>
            </w:r>
          </w:p>
        </w:tc>
        <w:tc>
          <w:tcPr>
            <w:tcW w:type="dxa" w:w="3460"/>
            <w:tcMar>
              <w:top w:type="dxa" w:w="90"/>
              <w:left w:type="dxa" w:w="120"/>
              <w:bottom w:type="dxa" w:w="90"/>
              <w:right w:type="dxa" w:w="120"/>
            </w:tcMar>
          </w:tcPr>
          <w:p>
            <w:pPr>
              <w:spacing w:after="0" w:line="250"/>
            </w:pPr>
            <w:r>
              <w:rPr>
                <w:b w:val="false"/>
                <w:bCs w:val="false"/>
                <w:color w:val="1A1A1A"/>
                <w:sz w:val="18"/>
                <w:szCs w:val="18"/>
              </w:rPr>
              <w:t xml:space="preserve">Classification is one call per listing, ever. Duty research caches across the catalogue by classification. This is far cheaper than it first appears.</w:t>
            </w:r>
          </w:p>
        </w:tc>
      </w:tr>
      <w:tr>
        <w:tc>
          <w:tcPr>
            <w:tcW w:type="dxa" w:w="2600"/>
            <w:shd w:fill="F7F9FB" w:val="clear"/>
            <w:tcMar>
              <w:top w:type="dxa" w:w="90"/>
              <w:left w:type="dxa" w:w="120"/>
              <w:bottom w:type="dxa" w:w="90"/>
              <w:right w:type="dxa" w:w="120"/>
            </w:tcMar>
          </w:tcPr>
          <w:p>
            <w:pPr>
              <w:spacing w:after="0" w:line="250"/>
            </w:pPr>
            <w:r>
              <w:rPr>
                <w:b/>
                <w:bCs/>
                <w:color w:val="1A1A1A"/>
                <w:sz w:val="18"/>
                <w:szCs w:val="18"/>
              </w:rPr>
              <w:t xml:space="preserve">Hosting, database, cache</w:t>
            </w:r>
          </w:p>
        </w:tc>
        <w:tc>
          <w:tcPr>
            <w:tcW w:type="dxa" w:w="1800"/>
            <w:shd w:fill="F7F9FB" w:val="clear"/>
            <w:tcMar>
              <w:top w:type="dxa" w:w="90"/>
              <w:left w:type="dxa" w:w="120"/>
              <w:bottom w:type="dxa" w:w="90"/>
              <w:right w:type="dxa" w:w="120"/>
            </w:tcMar>
          </w:tcPr>
          <w:p>
            <w:pPr>
              <w:spacing w:after="0" w:line="250"/>
            </w:pPr>
            <w:r>
              <w:rPr>
                <w:b w:val="false"/>
                <w:bCs w:val="false"/>
                <w:color w:val="1A1A1A"/>
                <w:sz w:val="18"/>
                <w:szCs w:val="18"/>
              </w:rPr>
              <w:t xml:space="preserve">Low</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Moderate</w:t>
            </w:r>
          </w:p>
        </w:tc>
        <w:tc>
          <w:tcPr>
            <w:tcW w:type="dxa" w:w="3460"/>
            <w:shd w:fill="F7F9FB" w:val="clear"/>
            <w:tcMar>
              <w:top w:type="dxa" w:w="90"/>
              <w:left w:type="dxa" w:w="120"/>
              <w:bottom w:type="dxa" w:w="90"/>
              <w:right w:type="dxa" w:w="120"/>
            </w:tcMar>
          </w:tcPr>
          <w:p>
            <w:pPr>
              <w:spacing w:after="0" w:line="250"/>
            </w:pPr>
            <w:r>
              <w:rPr>
                <w:b w:val="false"/>
                <w:bCs w:val="false"/>
                <w:color w:val="1A1A1A"/>
                <w:sz w:val="18"/>
                <w:szCs w:val="18"/>
              </w:rPr>
              <w:t xml:space="preserve">Managed services; scales predictably.</w:t>
            </w:r>
          </w:p>
        </w:tc>
      </w:tr>
      <w:tr>
        <w:tc>
          <w:tcPr>
            <w:tcW w:type="dxa" w:w="2600"/>
            <w:tcMar>
              <w:top w:type="dxa" w:w="90"/>
              <w:left w:type="dxa" w:w="120"/>
              <w:bottom w:type="dxa" w:w="90"/>
              <w:right w:type="dxa" w:w="120"/>
            </w:tcMar>
          </w:tcPr>
          <w:p>
            <w:pPr>
              <w:spacing w:after="0" w:line="250"/>
            </w:pPr>
            <w:r>
              <w:rPr>
                <w:b/>
                <w:bCs/>
                <w:color w:val="1A1A1A"/>
                <w:sz w:val="18"/>
                <w:szCs w:val="18"/>
              </w:rPr>
              <w:t xml:space="preserve">Search service</w:t>
            </w:r>
          </w:p>
        </w:tc>
        <w:tc>
          <w:tcPr>
            <w:tcW w:type="dxa" w:w="1800"/>
            <w:tcMar>
              <w:top w:type="dxa" w:w="90"/>
              <w:left w:type="dxa" w:w="120"/>
              <w:bottom w:type="dxa" w:w="90"/>
              <w:right w:type="dxa" w:w="120"/>
            </w:tcMar>
          </w:tcPr>
          <w:p>
            <w:pPr>
              <w:spacing w:after="0" w:line="250"/>
            </w:pPr>
            <w:r>
              <w:rPr>
                <w:b w:val="false"/>
                <w:bCs w:val="false"/>
                <w:color w:val="1A1A1A"/>
                <w:sz w:val="18"/>
                <w:szCs w:val="18"/>
              </w:rPr>
              <w:t xml:space="preserve">Nil</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Low</w:t>
            </w:r>
          </w:p>
        </w:tc>
        <w:tc>
          <w:tcPr>
            <w:tcW w:type="dxa" w:w="3460"/>
            <w:tcMar>
              <w:top w:type="dxa" w:w="90"/>
              <w:left w:type="dxa" w:w="120"/>
              <w:bottom w:type="dxa" w:w="90"/>
              <w:right w:type="dxa" w:w="120"/>
            </w:tcMar>
          </w:tcPr>
          <w:p>
            <w:pPr>
              <w:spacing w:after="0" w:line="250"/>
            </w:pPr>
            <w:r>
              <w:rPr>
                <w:b w:val="false"/>
                <w:bCs w:val="false"/>
                <w:color w:val="1A1A1A"/>
                <w:sz w:val="18"/>
                <w:szCs w:val="18"/>
              </w:rPr>
              <w:t xml:space="preserve">Postgres until Phase 2; self-hosted Typesense after.</w:t>
            </w:r>
          </w:p>
        </w:tc>
      </w:tr>
      <w:tr>
        <w:tc>
          <w:tcPr>
            <w:tcW w:type="dxa" w:w="2600"/>
            <w:shd w:fill="F7F9FB" w:val="clear"/>
            <w:tcMar>
              <w:top w:type="dxa" w:w="90"/>
              <w:left w:type="dxa" w:w="120"/>
              <w:bottom w:type="dxa" w:w="90"/>
              <w:right w:type="dxa" w:w="120"/>
            </w:tcMar>
          </w:tcPr>
          <w:p>
            <w:pPr>
              <w:spacing w:after="0" w:line="250"/>
            </w:pPr>
            <w:r>
              <w:rPr>
                <w:b/>
                <w:bCs/>
                <w:color w:val="1A1A1A"/>
                <w:sz w:val="18"/>
                <w:szCs w:val="18"/>
              </w:rPr>
              <w:t xml:space="preserve">Object storage and CDN</w:t>
            </w:r>
          </w:p>
        </w:tc>
        <w:tc>
          <w:tcPr>
            <w:tcW w:type="dxa" w:w="1800"/>
            <w:shd w:fill="F7F9FB" w:val="clear"/>
            <w:tcMar>
              <w:top w:type="dxa" w:w="90"/>
              <w:left w:type="dxa" w:w="120"/>
              <w:bottom w:type="dxa" w:w="90"/>
              <w:right w:type="dxa" w:w="120"/>
            </w:tcMar>
          </w:tcPr>
          <w:p>
            <w:pPr>
              <w:spacing w:after="0" w:line="250"/>
            </w:pPr>
            <w:r>
              <w:rPr>
                <w:b w:val="false"/>
                <w:bCs w:val="false"/>
                <w:color w:val="1A1A1A"/>
                <w:sz w:val="18"/>
                <w:szCs w:val="18"/>
              </w:rPr>
              <w:t xml:space="preserve">Low</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Moderate</w:t>
            </w:r>
          </w:p>
        </w:tc>
        <w:tc>
          <w:tcPr>
            <w:tcW w:type="dxa" w:w="3460"/>
            <w:shd w:fill="F7F9FB" w:val="clear"/>
            <w:tcMar>
              <w:top w:type="dxa" w:w="90"/>
              <w:left w:type="dxa" w:w="120"/>
              <w:bottom w:type="dxa" w:w="90"/>
              <w:right w:type="dxa" w:w="120"/>
            </w:tcMar>
          </w:tcPr>
          <w:p>
            <w:pPr>
              <w:spacing w:after="0" w:line="250"/>
            </w:pPr>
            <w:r>
              <w:rPr>
                <w:b w:val="false"/>
                <w:bCs w:val="false"/>
                <w:color w:val="1A1A1A"/>
                <w:sz w:val="18"/>
                <w:szCs w:val="18"/>
              </w:rPr>
              <w:t xml:space="preserve">Product images dominate. Choose a provider without egress fees.</w:t>
            </w:r>
          </w:p>
        </w:tc>
      </w:tr>
      <w:tr>
        <w:tc>
          <w:tcPr>
            <w:tcW w:type="dxa" w:w="2600"/>
            <w:tcMar>
              <w:top w:type="dxa" w:w="90"/>
              <w:left w:type="dxa" w:w="120"/>
              <w:bottom w:type="dxa" w:w="90"/>
              <w:right w:type="dxa" w:w="120"/>
            </w:tcMar>
          </w:tcPr>
          <w:p>
            <w:pPr>
              <w:spacing w:after="0" w:line="250"/>
            </w:pPr>
            <w:r>
              <w:rPr>
                <w:b/>
                <w:bCs/>
                <w:color w:val="1A1A1A"/>
                <w:sz w:val="18"/>
                <w:szCs w:val="18"/>
              </w:rPr>
              <w:t xml:space="preserve">WhatsApp messaging</w:t>
            </w:r>
          </w:p>
        </w:tc>
        <w:tc>
          <w:tcPr>
            <w:tcW w:type="dxa" w:w="1800"/>
            <w:tcMar>
              <w:top w:type="dxa" w:w="90"/>
              <w:left w:type="dxa" w:w="120"/>
              <w:bottom w:type="dxa" w:w="90"/>
              <w:right w:type="dxa" w:w="120"/>
            </w:tcMar>
          </w:tcPr>
          <w:p>
            <w:pPr>
              <w:spacing w:after="0" w:line="250"/>
            </w:pPr>
            <w:r>
              <w:rPr>
                <w:b w:val="false"/>
                <w:bCs w:val="false"/>
                <w:color w:val="1A1A1A"/>
                <w:sz w:val="18"/>
                <w:szCs w:val="18"/>
              </w:rPr>
              <w:t xml:space="preserve">Low</w:t>
            </w:r>
          </w:p>
        </w:tc>
        <w:tc>
          <w:tcPr>
            <w:tcW w:type="dxa" w:w="1500"/>
            <w:tcMar>
              <w:top w:type="dxa" w:w="90"/>
              <w:left w:type="dxa" w:w="120"/>
              <w:bottom w:type="dxa" w:w="90"/>
              <w:right w:type="dxa" w:w="120"/>
            </w:tcMar>
          </w:tcPr>
          <w:p>
            <w:pPr>
              <w:spacing w:after="0" w:line="250"/>
            </w:pPr>
            <w:r>
              <w:rPr>
                <w:b w:val="false"/>
                <w:bCs w:val="false"/>
                <w:color w:val="1A1A1A"/>
                <w:sz w:val="18"/>
                <w:szCs w:val="18"/>
              </w:rPr>
              <w:t xml:space="preserve">Moderate</w:t>
            </w:r>
          </w:p>
        </w:tc>
        <w:tc>
          <w:tcPr>
            <w:tcW w:type="dxa" w:w="3460"/>
            <w:tcMar>
              <w:top w:type="dxa" w:w="90"/>
              <w:left w:type="dxa" w:w="120"/>
              <w:bottom w:type="dxa" w:w="90"/>
              <w:right w:type="dxa" w:w="120"/>
            </w:tcMar>
          </w:tcPr>
          <w:p>
            <w:pPr>
              <w:spacing w:after="0" w:line="250"/>
            </w:pPr>
            <w:r>
              <w:rPr>
                <w:b w:val="false"/>
                <w:bCs w:val="false"/>
                <w:color w:val="1A1A1A"/>
                <w:sz w:val="18"/>
                <w:szCs w:val="18"/>
              </w:rPr>
              <w:t xml:space="preserve">Per-message; scales with enquiry volume, which is the revenue event.</w:t>
            </w:r>
          </w:p>
        </w:tc>
      </w:tr>
      <w:tr>
        <w:tc>
          <w:tcPr>
            <w:tcW w:type="dxa" w:w="2600"/>
            <w:shd w:fill="F7F9FB" w:val="clear"/>
            <w:tcMar>
              <w:top w:type="dxa" w:w="90"/>
              <w:left w:type="dxa" w:w="120"/>
              <w:bottom w:type="dxa" w:w="90"/>
              <w:right w:type="dxa" w:w="120"/>
            </w:tcMar>
          </w:tcPr>
          <w:p>
            <w:pPr>
              <w:spacing w:after="0" w:line="250"/>
            </w:pPr>
            <w:r>
              <w:rPr>
                <w:b/>
                <w:bCs/>
                <w:color w:val="1A1A1A"/>
                <w:sz w:val="18"/>
                <w:szCs w:val="18"/>
              </w:rPr>
              <w:t xml:space="preserve">Government APIs</w:t>
            </w:r>
          </w:p>
        </w:tc>
        <w:tc>
          <w:tcPr>
            <w:tcW w:type="dxa" w:w="1800"/>
            <w:shd w:fill="F7F9FB" w:val="clear"/>
            <w:tcMar>
              <w:top w:type="dxa" w:w="90"/>
              <w:left w:type="dxa" w:w="120"/>
              <w:bottom w:type="dxa" w:w="90"/>
              <w:right w:type="dxa" w:w="120"/>
            </w:tcMar>
          </w:tcPr>
          <w:p>
            <w:pPr>
              <w:spacing w:after="0" w:line="250"/>
            </w:pPr>
            <w:r>
              <w:rPr>
                <w:b w:val="false"/>
                <w:bCs w:val="false"/>
                <w:color w:val="1A1A1A"/>
                <w:sz w:val="18"/>
                <w:szCs w:val="18"/>
              </w:rPr>
              <w:t xml:space="preserve">Free</w:t>
            </w:r>
          </w:p>
        </w:tc>
        <w:tc>
          <w:tcPr>
            <w:tcW w:type="dxa" w:w="1500"/>
            <w:shd w:fill="F7F9FB" w:val="clear"/>
            <w:tcMar>
              <w:top w:type="dxa" w:w="90"/>
              <w:left w:type="dxa" w:w="120"/>
              <w:bottom w:type="dxa" w:w="90"/>
              <w:right w:type="dxa" w:w="120"/>
            </w:tcMar>
          </w:tcPr>
          <w:p>
            <w:pPr>
              <w:spacing w:after="0" w:line="250"/>
            </w:pPr>
            <w:r>
              <w:rPr>
                <w:b w:val="false"/>
                <w:bCs w:val="false"/>
                <w:color w:val="1A1A1A"/>
                <w:sz w:val="18"/>
                <w:szCs w:val="18"/>
              </w:rPr>
              <w:t xml:space="preserve">Free</w:t>
            </w:r>
          </w:p>
        </w:tc>
        <w:tc>
          <w:tcPr>
            <w:tcW w:type="dxa" w:w="3460"/>
            <w:shd w:fill="F7F9FB" w:val="clear"/>
            <w:tcMar>
              <w:top w:type="dxa" w:w="90"/>
              <w:left w:type="dxa" w:w="120"/>
              <w:bottom w:type="dxa" w:w="90"/>
              <w:right w:type="dxa" w:w="120"/>
            </w:tcMar>
          </w:tcPr>
          <w:p>
            <w:pPr>
              <w:spacing w:after="0" w:line="250"/>
            </w:pPr>
            <w:r>
              <w:rPr>
                <w:b w:val="false"/>
                <w:bCs w:val="false"/>
                <w:color w:val="1A1A1A"/>
                <w:sz w:val="18"/>
                <w:szCs w:val="18"/>
              </w:rPr>
              <w:t xml:space="preserve">trade.gov and Comtrade free tiers.</w:t>
            </w:r>
          </w:p>
        </w:tc>
      </w:tr>
    </w:tbl>
    <w:p>
      <w:pPr>
        <w:spacing w:after="80"/>
      </w:pPr>
    </w:p>
    <w:p>
      <w:pPr>
        <w:spacing w:after="120" w:line="276"/>
      </w:pPr>
      <w:r>
        <w:rPr>
          <w:color w:val="1A1A1A"/>
          <w:sz w:val="21"/>
          <w:szCs w:val="21"/>
        </w:rPr>
        <w:t xml:space="preserve">The dominant cost in this business is people, not infrastructure: the supply acquisition team in India and the operations staff running moderation and verification. A realistic year-one budget is weighted heavily toward those two functions, and a plan that is not is a plan that has misunderstood the business.</w:t>
      </w:r>
    </w:p>
    <w:p>
      <w:r>
        <w:br w:type="page"/>
      </w:r>
    </w:p>
    <w:p>
      <w:pPr>
        <w:pStyle w:val="Heading1"/>
        <w:spacing w:after="200" w:before="400"/>
      </w:pPr>
      <w:r>
        <w:rPr>
          <w:b/>
          <w:bCs/>
          <w:color w:val="0F4C81"/>
          <w:sz w:val="32"/>
          <w:szCs w:val="32"/>
        </w:rPr>
        <w:t xml:space="preserve">14.  Risks</w:t>
      </w:r>
    </w:p>
    <w:tbl>
      <w:tblPr>
        <w:tblW w:type="dxa" w:w="9360"/>
        <w:tblBorders>
          <w:top w:val="single" w:color="0F4C81" w:sz="4"/>
          <w:left w:val="none"/>
          <w:bottom w:val="single" w:color="0F4C81" w:sz="4"/>
          <w:right w:val="none"/>
          <w:insideH w:val="single" w:color="C7CDD4" w:sz="2"/>
          <w:insideV w:val="none"/>
        </w:tblBorders>
      </w:tblPr>
      <w:tblGrid>
        <w:gridCol w:w="2200"/>
        <w:gridCol w:w="3400"/>
        <w:gridCol w:w="3760"/>
      </w:tblGrid>
      <w:tr>
        <w:trPr>
          <w:tblHeader/>
        </w:trPr>
        <w:tc>
          <w:tcPr>
            <w:tcW w:type="dxa" w:w="2200"/>
            <w:shd w:fill="EEF2F6" w:val="clear"/>
            <w:tcMar>
              <w:top w:type="dxa" w:w="100"/>
              <w:left w:type="dxa" w:w="120"/>
              <w:bottom w:type="dxa" w:w="100"/>
              <w:right w:type="dxa" w:w="120"/>
            </w:tcMar>
          </w:tcPr>
          <w:p>
            <w:pPr>
              <w:spacing w:after="0"/>
            </w:pPr>
            <w:r>
              <w:rPr>
                <w:b/>
                <w:bCs/>
                <w:color w:val="0F4C81"/>
                <w:sz w:val="18"/>
                <w:szCs w:val="18"/>
              </w:rPr>
              <w:t xml:space="preserve">Risk</w:t>
            </w:r>
          </w:p>
        </w:tc>
        <w:tc>
          <w:tcPr>
            <w:tcW w:type="dxa" w:w="3400"/>
            <w:shd w:fill="EEF2F6" w:val="clear"/>
            <w:tcMar>
              <w:top w:type="dxa" w:w="100"/>
              <w:left w:type="dxa" w:w="120"/>
              <w:bottom w:type="dxa" w:w="100"/>
              <w:right w:type="dxa" w:w="120"/>
            </w:tcMar>
          </w:tcPr>
          <w:p>
            <w:pPr>
              <w:spacing w:after="0"/>
            </w:pPr>
            <w:r>
              <w:rPr>
                <w:b/>
                <w:bCs/>
                <w:color w:val="0F4C81"/>
                <w:sz w:val="18"/>
                <w:szCs w:val="18"/>
              </w:rPr>
              <w:t xml:space="preserve">Reality</w:t>
            </w:r>
          </w:p>
        </w:tc>
        <w:tc>
          <w:tcPr>
            <w:tcW w:type="dxa" w:w="3760"/>
            <w:shd w:fill="EEF2F6" w:val="clear"/>
            <w:tcMar>
              <w:top w:type="dxa" w:w="100"/>
              <w:left w:type="dxa" w:w="120"/>
              <w:bottom w:type="dxa" w:w="100"/>
              <w:right w:type="dxa" w:w="120"/>
            </w:tcMar>
          </w:tcPr>
          <w:p>
            <w:pPr>
              <w:spacing w:after="0"/>
            </w:pPr>
            <w:r>
              <w:rPr>
                <w:b/>
                <w:bCs/>
                <w:color w:val="0F4C81"/>
                <w:sz w:val="18"/>
                <w:szCs w:val="18"/>
              </w:rPr>
              <w:t xml:space="preserve">Mitigation</w:t>
            </w:r>
          </w:p>
        </w:tc>
      </w:tr>
      <w:tr>
        <w:tc>
          <w:tcPr>
            <w:tcW w:type="dxa" w:w="2200"/>
            <w:tcMar>
              <w:top w:type="dxa" w:w="90"/>
              <w:left w:type="dxa" w:w="120"/>
              <w:bottom w:type="dxa" w:w="90"/>
              <w:right w:type="dxa" w:w="120"/>
            </w:tcMar>
          </w:tcPr>
          <w:p>
            <w:pPr>
              <w:spacing w:after="0" w:line="250"/>
            </w:pPr>
            <w:r>
              <w:rPr>
                <w:b/>
                <w:bCs/>
                <w:color w:val="1A1A1A"/>
                <w:sz w:val="18"/>
                <w:szCs w:val="18"/>
              </w:rPr>
              <w:t xml:space="preserve">Supply cold start fails</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The default outcome. Most marketplaces die here.</w:t>
            </w:r>
          </w:p>
        </w:tc>
        <w:tc>
          <w:tcPr>
            <w:tcW w:type="dxa" w:w="3760"/>
            <w:tcMar>
              <w:top w:type="dxa" w:w="90"/>
              <w:left w:type="dxa" w:w="120"/>
              <w:bottom w:type="dxa" w:w="90"/>
              <w:right w:type="dxa" w:w="120"/>
            </w:tcMar>
          </w:tcPr>
          <w:p>
            <w:pPr>
              <w:spacing w:after="0" w:line="250"/>
            </w:pPr>
            <w:r>
              <w:rPr>
                <w:b w:val="false"/>
                <w:bCs w:val="false"/>
                <w:color w:val="1A1A1A"/>
                <w:sz w:val="18"/>
                <w:szCs w:val="18"/>
              </w:rPr>
              <w:t xml:space="preserve">Phase 0 exists solely to de-risk this. Two hundred hand-onboarded vendors before a line of product code.</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Vendors will not publish prices</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A large proportion will refuse, and they are not wrong to.</w:t>
            </w:r>
          </w:p>
        </w:tc>
        <w:tc>
          <w:tcPr>
            <w:tcW w:type="dxa" w:w="3760"/>
            <w:shd w:fill="F7F9FB" w:val="clear"/>
            <w:tcMar>
              <w:top w:type="dxa" w:w="90"/>
              <w:left w:type="dxa" w:w="120"/>
              <w:bottom w:type="dxa" w:w="90"/>
              <w:right w:type="dxa" w:w="120"/>
            </w:tcMar>
          </w:tcPr>
          <w:p>
            <w:pPr>
              <w:spacing w:after="0" w:line="250"/>
            </w:pPr>
            <w:r>
              <w:rPr>
                <w:b w:val="false"/>
                <w:bCs w:val="false"/>
                <w:color w:val="1A1A1A"/>
                <w:sz w:val="18"/>
                <w:szCs w:val="18"/>
              </w:rPr>
              <w:t xml:space="preserve">The three-tier price model in Section 4.2, with derived category ranges so no listing is ever blank.</w:t>
            </w:r>
          </w:p>
        </w:tc>
      </w:tr>
      <w:tr>
        <w:tc>
          <w:tcPr>
            <w:tcW w:type="dxa" w:w="2200"/>
            <w:tcMar>
              <w:top w:type="dxa" w:w="90"/>
              <w:left w:type="dxa" w:w="120"/>
              <w:bottom w:type="dxa" w:w="90"/>
              <w:right w:type="dxa" w:w="120"/>
            </w:tcMar>
          </w:tcPr>
          <w:p>
            <w:pPr>
              <w:spacing w:after="0" w:line="250"/>
            </w:pPr>
            <w:r>
              <w:rPr>
                <w:b/>
                <w:bCs/>
                <w:color w:val="1A1A1A"/>
                <w:sz w:val="18"/>
                <w:szCs w:val="18"/>
              </w:rPr>
              <w:t xml:space="preserve">Vendors do not answer enquiries</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The commonest way buyer trust dies, and invisible until it has already happened.</w:t>
            </w:r>
          </w:p>
        </w:tc>
        <w:tc>
          <w:tcPr>
            <w:tcW w:type="dxa" w:w="3760"/>
            <w:tcMar>
              <w:top w:type="dxa" w:w="90"/>
              <w:left w:type="dxa" w:w="120"/>
              <w:bottom w:type="dxa" w:w="90"/>
              <w:right w:type="dxa" w:w="120"/>
            </w:tcMar>
          </w:tcPr>
          <w:p>
            <w:pPr>
              <w:spacing w:after="0" w:line="250"/>
            </w:pPr>
            <w:r>
              <w:rPr>
                <w:b w:val="false"/>
                <w:bCs w:val="false"/>
                <w:color w:val="1A1A1A"/>
                <w:sz w:val="18"/>
                <w:szCs w:val="18"/>
              </w:rPr>
              <w:t xml:space="preserve">Response rate as a headline metric, WhatsApp notification, response time shown publicly on the vendor profile, delisting for chronic non-response.</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Incumbent legal action</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IndiaMART has sued a competitor over exactly this territory.</w:t>
            </w:r>
          </w:p>
        </w:tc>
        <w:tc>
          <w:tcPr>
            <w:tcW w:type="dxa" w:w="3760"/>
            <w:shd w:fill="F7F9FB" w:val="clear"/>
            <w:tcMar>
              <w:top w:type="dxa" w:w="90"/>
              <w:left w:type="dxa" w:w="120"/>
              <w:bottom w:type="dxa" w:w="90"/>
              <w:right w:type="dxa" w:w="120"/>
            </w:tcMar>
          </w:tcPr>
          <w:p>
            <w:pPr>
              <w:spacing w:after="0" w:line="250"/>
            </w:pPr>
            <w:r>
              <w:rPr>
                <w:b w:val="false"/>
                <w:bCs w:val="false"/>
                <w:color w:val="1A1A1A"/>
                <w:sz w:val="18"/>
                <w:szCs w:val="18"/>
              </w:rPr>
              <w:t xml:space="preserve">Never republish third-party listings. Every catalogue record traces to a vendor submission or a public registry.</w:t>
            </w:r>
          </w:p>
        </w:tc>
      </w:tr>
      <w:tr>
        <w:tc>
          <w:tcPr>
            <w:tcW w:type="dxa" w:w="2200"/>
            <w:tcMar>
              <w:top w:type="dxa" w:w="90"/>
              <w:left w:type="dxa" w:w="120"/>
              <w:bottom w:type="dxa" w:w="90"/>
              <w:right w:type="dxa" w:w="120"/>
            </w:tcMar>
          </w:tcPr>
          <w:p>
            <w:pPr>
              <w:spacing w:after="0" w:line="250"/>
            </w:pPr>
            <w:r>
              <w:rPr>
                <w:b/>
                <w:bCs/>
                <w:color w:val="1A1A1A"/>
                <w:sz w:val="18"/>
                <w:szCs w:val="18"/>
              </w:rPr>
              <w:t xml:space="preserve">Data protection exposure</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Rules are operational and penalties are large.</w:t>
            </w:r>
          </w:p>
        </w:tc>
        <w:tc>
          <w:tcPr>
            <w:tcW w:type="dxa" w:w="3760"/>
            <w:tcMar>
              <w:top w:type="dxa" w:w="90"/>
              <w:left w:type="dxa" w:w="120"/>
              <w:bottom w:type="dxa" w:w="90"/>
              <w:right w:type="dxa" w:w="120"/>
            </w:tcMar>
          </w:tcPr>
          <w:p>
            <w:pPr>
              <w:spacing w:after="0" w:line="250"/>
            </w:pPr>
            <w:r>
              <w:rPr>
                <w:b w:val="false"/>
                <w:bCs w:val="false"/>
                <w:color w:val="1A1A1A"/>
                <w:sz w:val="18"/>
                <w:szCs w:val="18"/>
              </w:rPr>
              <w:t xml:space="preserve">Consent at onboarding, gated disclosure, records, grievance process. Architected in, not bolted on.</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Fraud on the platform</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Corridor-typical: misrepresented capability, quality failure, non-delivery.</w:t>
            </w:r>
          </w:p>
        </w:tc>
        <w:tc>
          <w:tcPr>
            <w:tcW w:type="dxa" w:w="3760"/>
            <w:shd w:fill="F7F9FB" w:val="clear"/>
            <w:tcMar>
              <w:top w:type="dxa" w:w="90"/>
              <w:left w:type="dxa" w:w="120"/>
              <w:bottom w:type="dxa" w:w="90"/>
              <w:right w:type="dxa" w:w="120"/>
            </w:tcMar>
          </w:tcPr>
          <w:p>
            <w:pPr>
              <w:spacing w:after="0" w:line="250"/>
            </w:pPr>
            <w:r>
              <w:rPr>
                <w:b w:val="false"/>
                <w:bCs w:val="false"/>
                <w:color w:val="1A1A1A"/>
                <w:sz w:val="18"/>
                <w:szCs w:val="18"/>
              </w:rPr>
              <w:t xml:space="preserve">Tiered verification, trade-data corroboration, restricted-party screening, and no payment flow in early phases so the platform is not the counterparty.</w:t>
            </w:r>
          </w:p>
        </w:tc>
      </w:tr>
      <w:tr>
        <w:tc>
          <w:tcPr>
            <w:tcW w:type="dxa" w:w="2200"/>
            <w:tcMar>
              <w:top w:type="dxa" w:w="90"/>
              <w:left w:type="dxa" w:w="120"/>
              <w:bottom w:type="dxa" w:w="90"/>
              <w:right w:type="dxa" w:w="120"/>
            </w:tcMar>
          </w:tcPr>
          <w:p>
            <w:pPr>
              <w:spacing w:after="0" w:line="250"/>
            </w:pPr>
            <w:r>
              <w:rPr>
                <w:b/>
                <w:bCs/>
                <w:color w:val="1A1A1A"/>
                <w:sz w:val="18"/>
                <w:szCs w:val="18"/>
              </w:rPr>
              <w:t xml:space="preserve">Duty data goes stale</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Rates in this corridor move on a scale of weeks.</w:t>
            </w:r>
          </w:p>
        </w:tc>
        <w:tc>
          <w:tcPr>
            <w:tcW w:type="dxa" w:w="3760"/>
            <w:tcMar>
              <w:top w:type="dxa" w:w="90"/>
              <w:left w:type="dxa" w:w="120"/>
              <w:bottom w:type="dxa" w:w="90"/>
              <w:right w:type="dxa" w:w="120"/>
            </w:tcMar>
          </w:tcPr>
          <w:p>
            <w:pPr>
              <w:spacing w:after="0" w:line="250"/>
            </w:pPr>
            <w:r>
              <w:rPr>
                <w:b w:val="false"/>
                <w:bCs w:val="false"/>
                <w:color w:val="1A1A1A"/>
                <w:sz w:val="18"/>
                <w:szCs w:val="18"/>
              </w:rPr>
              <w:t xml:space="preserve">Scheduled re-verification, dated components, visible as-of dates, buyer alerts on change.</w:t>
            </w:r>
          </w:p>
        </w:tc>
      </w:tr>
      <w:tr>
        <w:tc>
          <w:tcPr>
            <w:tcW w:type="dxa" w:w="2200"/>
            <w:shd w:fill="F7F9FB" w:val="clear"/>
            <w:tcMar>
              <w:top w:type="dxa" w:w="90"/>
              <w:left w:type="dxa" w:w="120"/>
              <w:bottom w:type="dxa" w:w="90"/>
              <w:right w:type="dxa" w:w="120"/>
            </w:tcMar>
          </w:tcPr>
          <w:p>
            <w:pPr>
              <w:spacing w:after="0" w:line="250"/>
            </w:pPr>
            <w:r>
              <w:rPr>
                <w:b/>
                <w:bCs/>
                <w:color w:val="1A1A1A"/>
                <w:sz w:val="18"/>
                <w:szCs w:val="18"/>
              </w:rPr>
              <w:t xml:space="preserve">Disintermediation</w:t>
            </w:r>
          </w:p>
        </w:tc>
        <w:tc>
          <w:tcPr>
            <w:tcW w:type="dxa" w:w="3400"/>
            <w:shd w:fill="F7F9FB" w:val="clear"/>
            <w:tcMar>
              <w:top w:type="dxa" w:w="90"/>
              <w:left w:type="dxa" w:w="120"/>
              <w:bottom w:type="dxa" w:w="90"/>
              <w:right w:type="dxa" w:w="120"/>
            </w:tcMar>
          </w:tcPr>
          <w:p>
            <w:pPr>
              <w:spacing w:after="0" w:line="250"/>
            </w:pPr>
            <w:r>
              <w:rPr>
                <w:b w:val="false"/>
                <w:bCs w:val="false"/>
                <w:color w:val="1A1A1A"/>
                <w:sz w:val="18"/>
                <w:szCs w:val="18"/>
              </w:rPr>
              <w:t xml:space="preserve">Buyer and vendor connect once, then transact off-platform forever.</w:t>
            </w:r>
          </w:p>
        </w:tc>
        <w:tc>
          <w:tcPr>
            <w:tcW w:type="dxa" w:w="3760"/>
            <w:shd w:fill="F7F9FB" w:val="clear"/>
            <w:tcMar>
              <w:top w:type="dxa" w:w="90"/>
              <w:left w:type="dxa" w:w="120"/>
              <w:bottom w:type="dxa" w:w="90"/>
              <w:right w:type="dxa" w:w="120"/>
            </w:tcMar>
          </w:tcPr>
          <w:p>
            <w:pPr>
              <w:spacing w:after="0" w:line="250"/>
            </w:pPr>
            <w:r>
              <w:rPr>
                <w:b w:val="false"/>
                <w:bCs w:val="false"/>
                <w:color w:val="1A1A1A"/>
                <w:sz w:val="18"/>
                <w:szCs w:val="18"/>
              </w:rPr>
              <w:t xml:space="preserve">Accept it in the lead-generation model — charge for the lead. Later, make staying on-platform genuinely better: escrow, logistics, compliance documents, repeat ordering.</w:t>
            </w:r>
          </w:p>
        </w:tc>
      </w:tr>
      <w:tr>
        <w:tc>
          <w:tcPr>
            <w:tcW w:type="dxa" w:w="2200"/>
            <w:tcMar>
              <w:top w:type="dxa" w:w="90"/>
              <w:left w:type="dxa" w:w="120"/>
              <w:bottom w:type="dxa" w:w="90"/>
              <w:right w:type="dxa" w:w="120"/>
            </w:tcMar>
          </w:tcPr>
          <w:p>
            <w:pPr>
              <w:spacing w:after="0" w:line="250"/>
            </w:pPr>
            <w:r>
              <w:rPr>
                <w:b/>
                <w:bCs/>
                <w:color w:val="1A1A1A"/>
                <w:sz w:val="18"/>
                <w:szCs w:val="18"/>
              </w:rPr>
              <w:t xml:space="preserve">Trying to be horizontal too early</w:t>
            </w:r>
          </w:p>
        </w:tc>
        <w:tc>
          <w:tcPr>
            <w:tcW w:type="dxa" w:w="3400"/>
            <w:tcMar>
              <w:top w:type="dxa" w:w="90"/>
              <w:left w:type="dxa" w:w="120"/>
              <w:bottom w:type="dxa" w:w="90"/>
              <w:right w:type="dxa" w:w="120"/>
            </w:tcMar>
          </w:tcPr>
          <w:p>
            <w:pPr>
              <w:spacing w:after="0" w:line="250"/>
            </w:pPr>
            <w:r>
              <w:rPr>
                <w:b w:val="false"/>
                <w:bCs w:val="false"/>
                <w:color w:val="1A1A1A"/>
                <w:sz w:val="18"/>
                <w:szCs w:val="18"/>
              </w:rPr>
              <w:t xml:space="preserve">The most likely self-inflicted failure.</w:t>
            </w:r>
          </w:p>
        </w:tc>
        <w:tc>
          <w:tcPr>
            <w:tcW w:type="dxa" w:w="3760"/>
            <w:tcMar>
              <w:top w:type="dxa" w:w="90"/>
              <w:left w:type="dxa" w:w="120"/>
              <w:bottom w:type="dxa" w:w="90"/>
              <w:right w:type="dxa" w:w="120"/>
            </w:tcMar>
          </w:tcPr>
          <w:p>
            <w:pPr>
              <w:spacing w:after="0" w:line="250"/>
            </w:pPr>
            <w:r>
              <w:rPr>
                <w:b w:val="false"/>
                <w:bCs w:val="false"/>
                <w:color w:val="1A1A1A"/>
                <w:sz w:val="18"/>
                <w:szCs w:val="18"/>
              </w:rPr>
              <w:t xml:space="preserve">One category until the liquidity metrics clear, regardless of how slow it feels.</w:t>
            </w:r>
          </w:p>
        </w:tc>
      </w:tr>
    </w:tbl>
    <w:p>
      <w:pPr>
        <w:spacing w:after="100"/>
      </w:pPr>
    </w:p>
    <w:tbl>
      <w:tblPr>
        <w:tblW w:type="dxa" w:w="9360"/>
        <w:tblBorders>
          <w:top w:val="single" w:color="C7CDD4" w:sz="2"/>
          <w:left w:val="single" w:color="0F4C81" w:sz="18"/>
          <w:bottom w:val="single" w:color="C7CDD4" w:sz="2"/>
          <w:right w:val="single" w:color="C7CDD4" w:sz="2"/>
          <w:insideH w:val="none"/>
          <w:insideV w:val="none"/>
        </w:tblBorders>
      </w:tblPr>
      <w:tblGrid>
        <w:gridCol w:w="9360"/>
      </w:tblGrid>
      <w:tr>
        <w:tc>
          <w:tcPr>
            <w:tcW w:type="dxa" w:w="9360"/>
            <w:shd w:fill="EEF2F6" w:val="clear"/>
            <w:tcMar>
              <w:top w:type="dxa" w:w="140"/>
              <w:left w:type="dxa" w:w="200"/>
              <w:bottom w:type="dxa" w:w="140"/>
              <w:right w:type="dxa" w:w="200"/>
            </w:tcMar>
          </w:tcPr>
          <w:p>
            <w:pPr>
              <w:spacing w:after="60"/>
            </w:pPr>
            <w:r>
              <w:rPr>
                <w:b/>
                <w:bCs/>
                <w:color w:val="0F4C81"/>
                <w:sz w:val="17"/>
                <w:szCs w:val="17"/>
              </w:rPr>
              <w:t xml:space="preserve">THE HONEST SUMMARY</w:t>
            </w:r>
          </w:p>
          <w:p>
            <w:pPr>
              <w:spacing w:after="0" w:line="276"/>
            </w:pPr>
            <w:r>
              <w:rPr>
                <w:color w:val="1A1A1A"/>
                <w:sz w:val="21"/>
                <w:szCs w:val="21"/>
              </w:rPr>
              <w:t xml:space="preserve">None of the hard problems in this business are technical. The platform described here is eight to ten weeks of competent engineering. Whether it becomes a company depends entirely on whether you can acquire and retain supply, and on whether vendors will give you enough real price information to make the site useful to a buyer. Both of those are answered in Phase 0, before any of the engineering is worth starting.</w:t>
            </w:r>
          </w:p>
        </w:tc>
      </w:tr>
    </w:tbl>
    <w:p>
      <w:pPr>
        <w:spacing w:after="200"/>
      </w:pPr>
    </w:p>
    <w:p>
      <w:pPr>
        <w:pStyle w:val="Heading1"/>
        <w:spacing w:after="200" w:before="400"/>
      </w:pPr>
      <w:r>
        <w:rPr>
          <w:b/>
          <w:bCs/>
          <w:color w:val="0F4C81"/>
          <w:sz w:val="32"/>
          <w:szCs w:val="32"/>
        </w:rPr>
        <w:t xml:space="preserve">15.  Open decisions</w:t>
      </w:r>
    </w:p>
    <w:tbl>
      <w:tblPr>
        <w:tblW w:type="dxa" w:w="9360"/>
        <w:tblBorders>
          <w:top w:val="single" w:color="0F4C81" w:sz="4"/>
          <w:left w:val="none"/>
          <w:bottom w:val="single" w:color="0F4C81" w:sz="4"/>
          <w:right w:val="none"/>
          <w:insideH w:val="single" w:color="C7CDD4" w:sz="2"/>
          <w:insideV w:val="none"/>
        </w:tblBorders>
      </w:tblPr>
      <w:tblGrid>
        <w:gridCol w:w="600"/>
        <w:gridCol w:w="2600"/>
        <w:gridCol w:w="6160"/>
      </w:tblGrid>
      <w:tr>
        <w:trPr>
          <w:tblHeader/>
        </w:trPr>
        <w:tc>
          <w:tcPr>
            <w:tcW w:type="dxa" w:w="600"/>
            <w:shd w:fill="EEF2F6" w:val="clear"/>
            <w:tcMar>
              <w:top w:type="dxa" w:w="100"/>
              <w:left w:type="dxa" w:w="120"/>
              <w:bottom w:type="dxa" w:w="100"/>
              <w:right w:type="dxa" w:w="120"/>
            </w:tcMar>
          </w:tcPr>
          <w:p>
            <w:pPr>
              <w:spacing w:after="0"/>
            </w:pPr>
            <w:r>
              <w:rPr>
                <w:b/>
                <w:bCs/>
                <w:color w:val="0F4C81"/>
                <w:sz w:val="18"/>
                <w:szCs w:val="18"/>
              </w:rPr>
              <w:t xml:space="preserve">#</w:t>
            </w:r>
          </w:p>
        </w:tc>
        <w:tc>
          <w:tcPr>
            <w:tcW w:type="dxa" w:w="2600"/>
            <w:shd w:fill="EEF2F6" w:val="clear"/>
            <w:tcMar>
              <w:top w:type="dxa" w:w="100"/>
              <w:left w:type="dxa" w:w="120"/>
              <w:bottom w:type="dxa" w:w="100"/>
              <w:right w:type="dxa" w:w="120"/>
            </w:tcMar>
          </w:tcPr>
          <w:p>
            <w:pPr>
              <w:spacing w:after="0"/>
            </w:pPr>
            <w:r>
              <w:rPr>
                <w:b/>
                <w:bCs/>
                <w:color w:val="0F4C81"/>
                <w:sz w:val="18"/>
                <w:szCs w:val="18"/>
              </w:rPr>
              <w:t xml:space="preserve">Decision</w:t>
            </w:r>
          </w:p>
        </w:tc>
        <w:tc>
          <w:tcPr>
            <w:tcW w:type="dxa" w:w="6160"/>
            <w:shd w:fill="EEF2F6" w:val="clear"/>
            <w:tcMar>
              <w:top w:type="dxa" w:w="100"/>
              <w:left w:type="dxa" w:w="120"/>
              <w:bottom w:type="dxa" w:w="100"/>
              <w:right w:type="dxa" w:w="120"/>
            </w:tcMar>
          </w:tcPr>
          <w:p>
            <w:pPr>
              <w:spacing w:after="0"/>
            </w:pPr>
            <w:r>
              <w:rPr>
                <w:b/>
                <w:bCs/>
                <w:color w:val="0F4C81"/>
                <w:sz w:val="18"/>
                <w:szCs w:val="18"/>
              </w:rPr>
              <w:t xml:space="preserve">Consequence</w:t>
            </w:r>
          </w:p>
        </w:tc>
      </w:tr>
      <w:tr>
        <w:tc>
          <w:tcPr>
            <w:tcW w:type="dxa" w:w="600"/>
            <w:tcMar>
              <w:top w:type="dxa" w:w="90"/>
              <w:left w:type="dxa" w:w="120"/>
              <w:bottom w:type="dxa" w:w="90"/>
              <w:right w:type="dxa" w:w="120"/>
            </w:tcMar>
          </w:tcPr>
          <w:p>
            <w:pPr>
              <w:spacing w:after="0" w:line="250"/>
            </w:pPr>
            <w:r>
              <w:rPr>
                <w:b/>
                <w:bCs/>
                <w:color w:val="1A1A1A"/>
                <w:sz w:val="18"/>
                <w:szCs w:val="18"/>
              </w:rPr>
              <w:t xml:space="preserve">1</w:t>
            </w:r>
          </w:p>
        </w:tc>
        <w:tc>
          <w:tcPr>
            <w:tcW w:type="dxa" w:w="2600"/>
            <w:tcMar>
              <w:top w:type="dxa" w:w="90"/>
              <w:left w:type="dxa" w:w="120"/>
              <w:bottom w:type="dxa" w:w="90"/>
              <w:right w:type="dxa" w:w="120"/>
            </w:tcMar>
          </w:tcPr>
          <w:p>
            <w:pPr>
              <w:spacing w:after="0" w:line="250"/>
            </w:pPr>
            <w:r>
              <w:rPr>
                <w:b w:val="false"/>
                <w:bCs w:val="false"/>
                <w:color w:val="1A1A1A"/>
                <w:sz w:val="18"/>
                <w:szCs w:val="18"/>
              </w:rPr>
              <w:t xml:space="preserve">Which single category and corridor direction first?</w:t>
            </w:r>
          </w:p>
        </w:tc>
        <w:tc>
          <w:tcPr>
            <w:tcW w:type="dxa" w:w="6160"/>
            <w:tcMar>
              <w:top w:type="dxa" w:w="90"/>
              <w:left w:type="dxa" w:w="120"/>
              <w:bottom w:type="dxa" w:w="90"/>
              <w:right w:type="dxa" w:w="120"/>
            </w:tcMar>
          </w:tcPr>
          <w:p>
            <w:pPr>
              <w:spacing w:after="0" w:line="250"/>
            </w:pPr>
            <w:r>
              <w:rPr>
                <w:b w:val="false"/>
                <w:bCs w:val="false"/>
                <w:color w:val="1A1A1A"/>
                <w:sz w:val="18"/>
                <w:szCs w:val="18"/>
              </w:rPr>
              <w:t xml:space="preserve">Blocks everything. Decide from trade data, not intuition. Section 11.1 gives the criteria.</w:t>
            </w:r>
          </w:p>
        </w:tc>
      </w:tr>
      <w:tr>
        <w:tc>
          <w:tcPr>
            <w:tcW w:type="dxa" w:w="600"/>
            <w:shd w:fill="F7F9FB" w:val="clear"/>
            <w:tcMar>
              <w:top w:type="dxa" w:w="90"/>
              <w:left w:type="dxa" w:w="120"/>
              <w:bottom w:type="dxa" w:w="90"/>
              <w:right w:type="dxa" w:w="120"/>
            </w:tcMar>
          </w:tcPr>
          <w:p>
            <w:pPr>
              <w:spacing w:after="0" w:line="250"/>
            </w:pPr>
            <w:r>
              <w:rPr>
                <w:b/>
                <w:bCs/>
                <w:color w:val="1A1A1A"/>
                <w:sz w:val="18"/>
                <w:szCs w:val="18"/>
              </w:rPr>
              <w:t xml:space="preserve">2</w:t>
            </w:r>
          </w:p>
        </w:tc>
        <w:tc>
          <w:tcPr>
            <w:tcW w:type="dxa" w:w="2600"/>
            <w:shd w:fill="F7F9FB" w:val="clear"/>
            <w:tcMar>
              <w:top w:type="dxa" w:w="90"/>
              <w:left w:type="dxa" w:w="120"/>
              <w:bottom w:type="dxa" w:w="90"/>
              <w:right w:type="dxa" w:w="120"/>
            </w:tcMar>
          </w:tcPr>
          <w:p>
            <w:pPr>
              <w:spacing w:after="0" w:line="250"/>
            </w:pPr>
            <w:r>
              <w:rPr>
                <w:b w:val="false"/>
                <w:bCs w:val="false"/>
                <w:color w:val="1A1A1A"/>
                <w:sz w:val="18"/>
                <w:szCs w:val="18"/>
              </w:rPr>
              <w:t xml:space="preserve">Who pays — vendor or buyer?</w:t>
            </w:r>
          </w:p>
        </w:tc>
        <w:tc>
          <w:tcPr>
            <w:tcW w:type="dxa" w:w="6160"/>
            <w:shd w:fill="F7F9FB" w:val="clear"/>
            <w:tcMar>
              <w:top w:type="dxa" w:w="90"/>
              <w:left w:type="dxa" w:w="120"/>
              <w:bottom w:type="dxa" w:w="90"/>
              <w:right w:type="dxa" w:w="120"/>
            </w:tcMar>
          </w:tcPr>
          <w:p>
            <w:pPr>
              <w:spacing w:after="0" w:line="250"/>
            </w:pPr>
            <w:r>
              <w:rPr>
                <w:b w:val="false"/>
                <w:bCs w:val="false"/>
                <w:color w:val="1A1A1A"/>
                <w:sz w:val="18"/>
                <w:szCs w:val="18"/>
              </w:rPr>
              <w:t xml:space="preserve">Vendor-pays for leads and subscription is the proven model in this corridor and the recommended default. Buyer-pays for verification and landed-cost intelligence is a real alternative and changes the product emphasis substantially.</w:t>
            </w:r>
          </w:p>
        </w:tc>
      </w:tr>
      <w:tr>
        <w:tc>
          <w:tcPr>
            <w:tcW w:type="dxa" w:w="600"/>
            <w:tcMar>
              <w:top w:type="dxa" w:w="90"/>
              <w:left w:type="dxa" w:w="120"/>
              <w:bottom w:type="dxa" w:w="90"/>
              <w:right w:type="dxa" w:w="120"/>
            </w:tcMar>
          </w:tcPr>
          <w:p>
            <w:pPr>
              <w:spacing w:after="0" w:line="250"/>
            </w:pPr>
            <w:r>
              <w:rPr>
                <w:b/>
                <w:bCs/>
                <w:color w:val="1A1A1A"/>
                <w:sz w:val="18"/>
                <w:szCs w:val="18"/>
              </w:rPr>
              <w:t xml:space="preserve">3</w:t>
            </w:r>
          </w:p>
        </w:tc>
        <w:tc>
          <w:tcPr>
            <w:tcW w:type="dxa" w:w="2600"/>
            <w:tcMar>
              <w:top w:type="dxa" w:w="90"/>
              <w:left w:type="dxa" w:w="120"/>
              <w:bottom w:type="dxa" w:w="90"/>
              <w:right w:type="dxa" w:w="120"/>
            </w:tcMar>
          </w:tcPr>
          <w:p>
            <w:pPr>
              <w:spacing w:after="0" w:line="250"/>
            </w:pPr>
            <w:r>
              <w:rPr>
                <w:b w:val="false"/>
                <w:bCs w:val="false"/>
                <w:color w:val="1A1A1A"/>
                <w:sz w:val="18"/>
                <w:szCs w:val="18"/>
              </w:rPr>
              <w:t xml:space="preserve">Corporate structure — US entity, Indian entity, or both?</w:t>
            </w:r>
          </w:p>
        </w:tc>
        <w:tc>
          <w:tcPr>
            <w:tcW w:type="dxa" w:w="6160"/>
            <w:tcMar>
              <w:top w:type="dxa" w:w="90"/>
              <w:left w:type="dxa" w:w="120"/>
              <w:bottom w:type="dxa" w:w="90"/>
              <w:right w:type="dxa" w:w="120"/>
            </w:tcMar>
          </w:tcPr>
          <w:p>
            <w:pPr>
              <w:spacing w:after="0" w:line="250"/>
            </w:pPr>
            <w:r>
              <w:rPr>
                <w:b w:val="false"/>
                <w:bCs w:val="false"/>
                <w:color w:val="1A1A1A"/>
                <w:sz w:val="18"/>
                <w:szCs w:val="18"/>
              </w:rPr>
              <w:t xml:space="preserve">Affects tax, data transfer obligations, payment flow and fundraising. Expensive to change later; decide before incorporation.</w:t>
            </w:r>
          </w:p>
        </w:tc>
      </w:tr>
      <w:tr>
        <w:tc>
          <w:tcPr>
            <w:tcW w:type="dxa" w:w="600"/>
            <w:shd w:fill="F7F9FB" w:val="clear"/>
            <w:tcMar>
              <w:top w:type="dxa" w:w="90"/>
              <w:left w:type="dxa" w:w="120"/>
              <w:bottom w:type="dxa" w:w="90"/>
              <w:right w:type="dxa" w:w="120"/>
            </w:tcMar>
          </w:tcPr>
          <w:p>
            <w:pPr>
              <w:spacing w:after="0" w:line="250"/>
            </w:pPr>
            <w:r>
              <w:rPr>
                <w:b/>
                <w:bCs/>
                <w:color w:val="1A1A1A"/>
                <w:sz w:val="18"/>
                <w:szCs w:val="18"/>
              </w:rPr>
              <w:t xml:space="preserve">4</w:t>
            </w:r>
          </w:p>
        </w:tc>
        <w:tc>
          <w:tcPr>
            <w:tcW w:type="dxa" w:w="2600"/>
            <w:shd w:fill="F7F9FB" w:val="clear"/>
            <w:tcMar>
              <w:top w:type="dxa" w:w="90"/>
              <w:left w:type="dxa" w:w="120"/>
              <w:bottom w:type="dxa" w:w="90"/>
              <w:right w:type="dxa" w:w="120"/>
            </w:tcMar>
          </w:tcPr>
          <w:p>
            <w:pPr>
              <w:spacing w:after="0" w:line="250"/>
            </w:pPr>
            <w:r>
              <w:rPr>
                <w:b w:val="false"/>
                <w:bCs w:val="false"/>
                <w:color w:val="1A1A1A"/>
                <w:sz w:val="18"/>
                <w:szCs w:val="18"/>
              </w:rPr>
              <w:t xml:space="preserve">Is contact gated, per Section 5?</w:t>
            </w:r>
          </w:p>
        </w:tc>
        <w:tc>
          <w:tcPr>
            <w:tcW w:type="dxa" w:w="6160"/>
            <w:shd w:fill="F7F9FB" w:val="clear"/>
            <w:tcMar>
              <w:top w:type="dxa" w:w="90"/>
              <w:left w:type="dxa" w:w="120"/>
              <w:bottom w:type="dxa" w:w="90"/>
              <w:right w:type="dxa" w:w="120"/>
            </w:tcMar>
          </w:tcPr>
          <w:p>
            <w:pPr>
              <w:spacing w:after="0" w:line="250"/>
            </w:pPr>
            <w:r>
              <w:rPr>
                <w:b w:val="false"/>
                <w:bCs w:val="false"/>
                <w:color w:val="1A1A1A"/>
                <w:sz w:val="18"/>
                <w:szCs w:val="18"/>
              </w:rPr>
              <w:t xml:space="preserve">Recommended strongly. It determines the business model, the compliance posture and the defence against being scraped.</w:t>
            </w:r>
          </w:p>
        </w:tc>
      </w:tr>
      <w:tr>
        <w:tc>
          <w:tcPr>
            <w:tcW w:type="dxa" w:w="600"/>
            <w:tcMar>
              <w:top w:type="dxa" w:w="90"/>
              <w:left w:type="dxa" w:w="120"/>
              <w:bottom w:type="dxa" w:w="90"/>
              <w:right w:type="dxa" w:w="120"/>
            </w:tcMar>
          </w:tcPr>
          <w:p>
            <w:pPr>
              <w:spacing w:after="0" w:line="250"/>
            </w:pPr>
            <w:r>
              <w:rPr>
                <w:b/>
                <w:bCs/>
                <w:color w:val="1A1A1A"/>
                <w:sz w:val="18"/>
                <w:szCs w:val="18"/>
              </w:rPr>
              <w:t xml:space="preserve">5</w:t>
            </w:r>
          </w:p>
        </w:tc>
        <w:tc>
          <w:tcPr>
            <w:tcW w:type="dxa" w:w="2600"/>
            <w:tcMar>
              <w:top w:type="dxa" w:w="90"/>
              <w:left w:type="dxa" w:w="120"/>
              <w:bottom w:type="dxa" w:w="90"/>
              <w:right w:type="dxa" w:w="120"/>
            </w:tcMar>
          </w:tcPr>
          <w:p>
            <w:pPr>
              <w:spacing w:after="0" w:line="250"/>
            </w:pPr>
            <w:r>
              <w:rPr>
                <w:b w:val="false"/>
                <w:bCs w:val="false"/>
                <w:color w:val="1A1A1A"/>
                <w:sz w:val="18"/>
                <w:szCs w:val="18"/>
              </w:rPr>
              <w:t xml:space="preserve">Build the supply acquisition team in-house or through EPC partnerships?</w:t>
            </w:r>
          </w:p>
        </w:tc>
        <w:tc>
          <w:tcPr>
            <w:tcW w:type="dxa" w:w="6160"/>
            <w:tcMar>
              <w:top w:type="dxa" w:w="90"/>
              <w:left w:type="dxa" w:w="120"/>
              <w:bottom w:type="dxa" w:w="90"/>
              <w:right w:type="dxa" w:w="120"/>
            </w:tcMar>
          </w:tcPr>
          <w:p>
            <w:pPr>
              <w:spacing w:after="0" w:line="250"/>
            </w:pPr>
            <w:r>
              <w:rPr>
                <w:b w:val="false"/>
                <w:bCs w:val="false"/>
                <w:color w:val="1A1A1A"/>
                <w:sz w:val="18"/>
                <w:szCs w:val="18"/>
              </w:rPr>
              <w:t xml:space="preserve">Realistically both, but the balance determines the year-one budget shape and the speed of the first thousand vendors.</w:t>
            </w:r>
          </w:p>
        </w:tc>
      </w:tr>
      <w:tr>
        <w:tc>
          <w:tcPr>
            <w:tcW w:type="dxa" w:w="600"/>
            <w:shd w:fill="F7F9FB" w:val="clear"/>
            <w:tcMar>
              <w:top w:type="dxa" w:w="90"/>
              <w:left w:type="dxa" w:w="120"/>
              <w:bottom w:type="dxa" w:w="90"/>
              <w:right w:type="dxa" w:w="120"/>
            </w:tcMar>
          </w:tcPr>
          <w:p>
            <w:pPr>
              <w:spacing w:after="0" w:line="250"/>
            </w:pPr>
            <w:r>
              <w:rPr>
                <w:b/>
                <w:bCs/>
                <w:color w:val="1A1A1A"/>
                <w:sz w:val="18"/>
                <w:szCs w:val="18"/>
              </w:rPr>
              <w:t xml:space="preserve">6</w:t>
            </w:r>
          </w:p>
        </w:tc>
        <w:tc>
          <w:tcPr>
            <w:tcW w:type="dxa" w:w="2600"/>
            <w:shd w:fill="F7F9FB" w:val="clear"/>
            <w:tcMar>
              <w:top w:type="dxa" w:w="90"/>
              <w:left w:type="dxa" w:w="120"/>
              <w:bottom w:type="dxa" w:w="90"/>
              <w:right w:type="dxa" w:w="120"/>
            </w:tcMar>
          </w:tcPr>
          <w:p>
            <w:pPr>
              <w:spacing w:after="0" w:line="250"/>
            </w:pPr>
            <w:r>
              <w:rPr>
                <w:b w:val="false"/>
                <w:bCs w:val="false"/>
                <w:color w:val="1A1A1A"/>
                <w:sz w:val="18"/>
                <w:szCs w:val="18"/>
              </w:rPr>
              <w:t xml:space="preserve">Does the Export-to-Entry Agent launch as a standalone product first?</w:t>
            </w:r>
          </w:p>
        </w:tc>
        <w:tc>
          <w:tcPr>
            <w:tcW w:type="dxa" w:w="6160"/>
            <w:shd w:fill="F7F9FB" w:val="clear"/>
            <w:tcMar>
              <w:top w:type="dxa" w:w="90"/>
              <w:left w:type="dxa" w:w="120"/>
              <w:bottom w:type="dxa" w:w="90"/>
              <w:right w:type="dxa" w:w="120"/>
            </w:tcMar>
          </w:tcPr>
          <w:p>
            <w:pPr>
              <w:spacing w:after="0" w:line="250"/>
            </w:pPr>
            <w:r>
              <w:rPr>
                <w:b w:val="false"/>
                <w:bCs w:val="false"/>
                <w:color w:val="1A1A1A"/>
                <w:sz w:val="18"/>
                <w:szCs w:val="18"/>
              </w:rPr>
              <w:t xml:space="preserve">It is a buyer-acquisition tool that works before you have a catalogue, and it is already specified. Launching it first could seed demand while Phase 0 builds supply.</w:t>
            </w:r>
          </w:p>
        </w:tc>
      </w:tr>
    </w:tbl>
    <w:p>
      <w:r>
        <w:br w:type="page"/>
      </w:r>
    </w:p>
    <w:p>
      <w:pPr>
        <w:pStyle w:val="Heading1"/>
        <w:spacing w:after="200" w:before="400"/>
      </w:pPr>
      <w:r>
        <w:rPr>
          <w:b/>
          <w:bCs/>
          <w:color w:val="0F4C81"/>
          <w:sz w:val="32"/>
          <w:szCs w:val="32"/>
        </w:rPr>
        <w:t xml:space="preserve">Appendix A — Core data model</w:t>
      </w:r>
    </w:p>
    <w:tbl>
      <w:tblPr>
        <w:tblW w:type="dxa" w:w="9360"/>
        <w:tblBorders>
          <w:top w:val="single" w:color="C7CDD4" w:sz="2"/>
          <w:left w:val="single" w:color="C7CDD4" w:sz="2"/>
          <w:bottom w:val="single" w:color="C7CDD4" w:sz="2"/>
          <w:right w:val="single" w:color="C7CDD4" w:sz="2"/>
          <w:insideH w:val="none"/>
          <w:insideV w:val="none"/>
        </w:tblBorders>
      </w:tblPr>
      <w:tblGrid>
        <w:gridCol w:w="9360"/>
      </w:tblGrid>
      <w:tr>
        <w:tc>
          <w:tcPr>
            <w:tcW w:type="dxa" w:w="9360"/>
            <w:shd w:fill="F4F6F8" w:val="clear"/>
            <w:tcMar>
              <w:top w:type="dxa" w:w="120"/>
              <w:left w:type="dxa" w:w="160"/>
              <w:bottom w:type="dxa" w:w="120"/>
              <w:right w:type="dxa" w:w="160"/>
            </w:tcMar>
          </w:tcPr>
          <w:p>
            <w:pPr>
              <w:spacing w:after="0" w:line="240"/>
            </w:pPr>
            <w:r>
              <w:rPr>
                <w:rFonts w:ascii="Consolas" w:cs="Consolas" w:eastAsia="Consolas" w:hAnsi="Consolas"/>
                <w:color w:val="20303F"/>
                <w:sz w:val="17"/>
                <w:szCs w:val="17"/>
              </w:rPr>
              <w:t xml:space="preserve">vendors</w:t>
            </w:r>
          </w:p>
          <w:p>
            <w:pPr>
              <w:spacing w:after="0" w:line="240"/>
            </w:pPr>
            <w:r>
              <w:rPr>
                <w:rFonts w:ascii="Consolas" w:cs="Consolas" w:eastAsia="Consolas" w:hAnsi="Consolas"/>
                <w:color w:val="20303F"/>
                <w:sz w:val="17"/>
                <w:szCs w:val="17"/>
              </w:rPr>
              <w:t xml:space="preserve">  id · legal_name · trade_name · country · state · city</w:t>
            </w:r>
          </w:p>
          <w:p>
            <w:pPr>
              <w:spacing w:after="0" w:line="240"/>
            </w:pPr>
            <w:r>
              <w:rPr>
                <w:rFonts w:ascii="Consolas" w:cs="Consolas" w:eastAsia="Consolas" w:hAnsi="Consolas"/>
                <w:color w:val="20303F"/>
                <w:sz w:val="17"/>
                <w:szCs w:val="17"/>
              </w:rPr>
              <w:t xml:space="preserve">  iec · gstin · cin · udyam            -- registry identifiers</w:t>
            </w:r>
          </w:p>
          <w:p>
            <w:pPr>
              <w:spacing w:after="0" w:line="240"/>
            </w:pPr>
            <w:r>
              <w:rPr>
                <w:rFonts w:ascii="Consolas" w:cs="Consolas" w:eastAsia="Consolas" w:hAnsi="Consolas"/>
                <w:color w:val="20303F"/>
                <w:sz w:val="17"/>
                <w:szCs w:val="17"/>
              </w:rPr>
              <w:t xml:space="preserve">  claim_state      unclaimed | pending | claimed</w:t>
            </w:r>
          </w:p>
          <w:p>
            <w:pPr>
              <w:spacing w:after="0" w:line="240"/>
            </w:pPr>
            <w:r>
              <w:rPr>
                <w:rFonts w:ascii="Consolas" w:cs="Consolas" w:eastAsia="Consolas" w:hAnsi="Consolas"/>
                <w:color w:val="20303F"/>
                <w:sz w:val="17"/>
                <w:szCs w:val="17"/>
              </w:rPr>
              <w:t xml:space="preserve">  verification_tier listed | claimed | verified | trade_proven | audited</w:t>
            </w:r>
          </w:p>
          <w:p>
            <w:pPr>
              <w:spacing w:after="0" w:line="240"/>
            </w:pPr>
            <w:r>
              <w:rPr>
                <w:rFonts w:ascii="Consolas" w:cs="Consolas" w:eastAsia="Consolas" w:hAnsi="Consolas"/>
                <w:color w:val="20303F"/>
                <w:sz w:val="17"/>
                <w:szCs w:val="17"/>
              </w:rPr>
              <w:t xml:space="preserve">  response_rate · median_response_hours -- computed, shown publicly</w:t>
            </w:r>
          </w:p>
          <w:p>
            <w:pPr>
              <w:spacing w:after="0" w:line="240"/>
            </w:pPr>
            <w:r>
              <w:rPr>
                <w:rFonts w:ascii="Consolas" w:cs="Consolas" w:eastAsia="Consolas" w:hAnsi="Consolas"/>
                <w:color w:val="20303F"/>
                <w:sz w:val="17"/>
                <w:szCs w:val="17"/>
              </w:rPr>
              <w:t xml:space="preserve">  consent_record_id                     -- DPDP basis for disclosure</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verifications                          -- append-only, never updated</w:t>
            </w:r>
          </w:p>
          <w:p>
            <w:pPr>
              <w:spacing w:after="0" w:line="240"/>
            </w:pPr>
            <w:r>
              <w:rPr>
                <w:rFonts w:ascii="Consolas" w:cs="Consolas" w:eastAsia="Consolas" w:hAnsi="Consolas"/>
                <w:color w:val="20303F"/>
                <w:sz w:val="17"/>
                <w:szCs w:val="17"/>
              </w:rPr>
              <w:t xml:space="preserve">  id · vendor_id · check_type · source · result · evidence_url</w:t>
            </w:r>
          </w:p>
          <w:p>
            <w:pPr>
              <w:spacing w:after="0" w:line="240"/>
            </w:pPr>
            <w:r>
              <w:rPr>
                <w:rFonts w:ascii="Consolas" w:cs="Consolas" w:eastAsia="Consolas" w:hAnsi="Consolas"/>
                <w:color w:val="20303F"/>
                <w:sz w:val="17"/>
                <w:szCs w:val="17"/>
              </w:rPr>
              <w:t xml:space="preserve">  checked_at · expires_at</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listings</w:t>
            </w:r>
          </w:p>
          <w:p>
            <w:pPr>
              <w:spacing w:after="0" w:line="240"/>
            </w:pPr>
            <w:r>
              <w:rPr>
                <w:rFonts w:ascii="Consolas" w:cs="Consolas" w:eastAsia="Consolas" w:hAnsi="Consolas"/>
                <w:color w:val="20303F"/>
                <w:sz w:val="17"/>
                <w:szCs w:val="17"/>
              </w:rPr>
              <w:t xml:space="preserve">  id · vendor_id · title · description · specs jsonb</w:t>
            </w:r>
          </w:p>
          <w:p>
            <w:pPr>
              <w:spacing w:after="0" w:line="240"/>
            </w:pPr>
            <w:r>
              <w:rPr>
                <w:rFonts w:ascii="Consolas" w:cs="Consolas" w:eastAsia="Consolas" w:hAnsi="Consolas"/>
                <w:color w:val="20303F"/>
                <w:sz w:val="17"/>
                <w:szCs w:val="17"/>
              </w:rPr>
              <w:t xml:space="preserve">  hts10 · hts_confidence · hts_reasoning   -- AI-assigned, moderated</w:t>
            </w:r>
          </w:p>
          <w:p>
            <w:pPr>
              <w:spacing w:after="0" w:line="240"/>
            </w:pPr>
            <w:r>
              <w:rPr>
                <w:rFonts w:ascii="Consolas" w:cs="Consolas" w:eastAsia="Consolas" w:hAnsi="Consolas"/>
                <w:color w:val="20303F"/>
                <w:sz w:val="17"/>
                <w:szCs w:val="17"/>
              </w:rPr>
              <w:t xml:space="preserve">  taxonomy_path · moq · lead_time_days · capacity_per_month</w:t>
            </w:r>
          </w:p>
          <w:p>
            <w:pPr>
              <w:spacing w:after="0" w:line="240"/>
            </w:pPr>
            <w:r>
              <w:rPr>
                <w:rFonts w:ascii="Consolas" w:cs="Consolas" w:eastAsia="Consolas" w:hAnsi="Consolas"/>
                <w:color w:val="20303F"/>
                <w:sz w:val="17"/>
                <w:szCs w:val="17"/>
              </w:rPr>
              <w:t xml:space="preserve">  certifications[] · images[] · state draft|pending|live|suspended</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price_tiers                            -- MANY per listing, never one price</w:t>
            </w:r>
          </w:p>
          <w:p>
            <w:pPr>
              <w:spacing w:after="0" w:line="240"/>
            </w:pPr>
            <w:r>
              <w:rPr>
                <w:rFonts w:ascii="Consolas" w:cs="Consolas" w:eastAsia="Consolas" w:hAnsi="Consolas"/>
                <w:color w:val="20303F"/>
                <w:sz w:val="17"/>
                <w:szCs w:val="17"/>
              </w:rPr>
              <w:t xml:space="preserve">  id · listing_id · qty_min · qty_max</w:t>
            </w:r>
          </w:p>
          <w:p>
            <w:pPr>
              <w:spacing w:after="0" w:line="240"/>
            </w:pPr>
            <w:r>
              <w:rPr>
                <w:rFonts w:ascii="Consolas" w:cs="Consolas" w:eastAsia="Consolas" w:hAnsi="Consolas"/>
                <w:color w:val="20303F"/>
                <w:sz w:val="17"/>
                <w:szCs w:val="17"/>
              </w:rPr>
              <w:t xml:space="preserve">  price_low · price_high · currency</w:t>
            </w:r>
          </w:p>
          <w:p>
            <w:pPr>
              <w:spacing w:after="0" w:line="240"/>
            </w:pPr>
            <w:r>
              <w:rPr>
                <w:rFonts w:ascii="Consolas" w:cs="Consolas" w:eastAsia="Consolas" w:hAnsi="Consolas"/>
                <w:color w:val="20303F"/>
                <w:sz w:val="17"/>
                <w:szCs w:val="17"/>
              </w:rPr>
              <w:t xml:space="preserve">  incoterm  EXW|FOB|CIF|DDP · port</w:t>
            </w:r>
          </w:p>
          <w:p>
            <w:pPr>
              <w:spacing w:after="0" w:line="240"/>
            </w:pPr>
            <w:r>
              <w:rPr>
                <w:rFonts w:ascii="Consolas" w:cs="Consolas" w:eastAsia="Consolas" w:hAnsi="Consolas"/>
                <w:color w:val="20303F"/>
                <w:sz w:val="17"/>
                <w:szCs w:val="17"/>
              </w:rPr>
              <w:t xml:space="preserve">  valid_until · disclosure published|indicative|on_request</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landed_cost_estimates                  -- cached by (hts10, origin, dest)</w:t>
            </w:r>
          </w:p>
          <w:p>
            <w:pPr>
              <w:spacing w:after="0" w:line="240"/>
            </w:pPr>
            <w:r>
              <w:rPr>
                <w:rFonts w:ascii="Consolas" w:cs="Consolas" w:eastAsia="Consolas" w:hAnsi="Consolas"/>
                <w:color w:val="20303F"/>
                <w:sz w:val="17"/>
                <w:szCs w:val="17"/>
              </w:rPr>
              <w:t xml:space="preserve">  id · hts10 · origin · destination · components jsonb</w:t>
            </w:r>
          </w:p>
          <w:p>
            <w:pPr>
              <w:spacing w:after="0" w:line="240"/>
            </w:pPr>
            <w:r>
              <w:rPr>
                <w:rFonts w:ascii="Consolas" w:cs="Consolas" w:eastAsia="Consolas" w:hAnsi="Consolas"/>
                <w:color w:val="20303F"/>
                <w:sz w:val="17"/>
                <w:szCs w:val="17"/>
              </w:rPr>
              <w:t xml:space="preserve">  computed_at · partial bool           -- see the Export Agent spec</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shipment_signals                       -- from trade data, powers badges</w:t>
            </w:r>
          </w:p>
          <w:p>
            <w:pPr>
              <w:spacing w:after="0" w:line="240"/>
            </w:pPr>
            <w:r>
              <w:rPr>
                <w:rFonts w:ascii="Consolas" w:cs="Consolas" w:eastAsia="Consolas" w:hAnsi="Consolas"/>
                <w:color w:val="20303F"/>
                <w:sz w:val="17"/>
                <w:szCs w:val="17"/>
              </w:rPr>
              <w:t xml:space="preserve">  id · vendor_id · hts6 · destination · period · shipment_count · value_band</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enquiries                              -- THE monetisable event</w:t>
            </w:r>
          </w:p>
          <w:p>
            <w:pPr>
              <w:spacing w:after="0" w:line="240"/>
            </w:pPr>
            <w:r>
              <w:rPr>
                <w:rFonts w:ascii="Consolas" w:cs="Consolas" w:eastAsia="Consolas" w:hAnsi="Consolas"/>
                <w:color w:val="20303F"/>
                <w:sz w:val="17"/>
                <w:szCs w:val="17"/>
              </w:rPr>
              <w:t xml:space="preserve">  id · buyer_id · vendor_id · listing_id · qty · destination</w:t>
            </w:r>
          </w:p>
          <w:p>
            <w:pPr>
              <w:spacing w:after="0" w:line="240"/>
            </w:pPr>
            <w:r>
              <w:rPr>
                <w:rFonts w:ascii="Consolas" w:cs="Consolas" w:eastAsia="Consolas" w:hAnsi="Consolas"/>
                <w:color w:val="20303F"/>
                <w:sz w:val="17"/>
                <w:szCs w:val="17"/>
              </w:rPr>
              <w:t xml:space="preserve">  specification · status · contact_released_at</w:t>
            </w:r>
          </w:p>
          <w:p>
            <w:pPr>
              <w:spacing w:after="0" w:line="240"/>
            </w:pPr>
            <w:r>
              <w:rPr>
                <w:rFonts w:ascii="Consolas" w:cs="Consolas" w:eastAsia="Consolas" w:hAnsi="Consolas"/>
                <w:color w:val="20303F"/>
                <w:sz w:val="17"/>
                <w:szCs w:val="17"/>
              </w:rPr>
              <w:t xml:space="preserve"> </w:t>
            </w:r>
          </w:p>
          <w:p>
            <w:pPr>
              <w:spacing w:after="0" w:line="240"/>
            </w:pPr>
            <w:r>
              <w:rPr>
                <w:rFonts w:ascii="Consolas" w:cs="Consolas" w:eastAsia="Consolas" w:hAnsi="Consolas"/>
                <w:color w:val="20303F"/>
                <w:sz w:val="17"/>
                <w:szCs w:val="17"/>
              </w:rPr>
              <w:t xml:space="preserve">messages · buyers · consent_records · moderation_queue · claim_requests</w:t>
            </w:r>
          </w:p>
        </w:tc>
      </w:tr>
    </w:tbl>
    <w:p>
      <w:pPr>
        <w:spacing w:after="200"/>
      </w:pPr>
    </w:p>
    <w:p>
      <w:pPr>
        <w:pStyle w:val="Heading1"/>
        <w:spacing w:after="200" w:before="400"/>
      </w:pPr>
      <w:r>
        <w:rPr>
          <w:b/>
          <w:bCs/>
          <w:color w:val="0F4C81"/>
          <w:sz w:val="32"/>
          <w:szCs w:val="32"/>
        </w:rPr>
        <w:t xml:space="preserve">Appendix B — Integration inventory</w:t>
      </w:r>
    </w:p>
    <w:tbl>
      <w:tblPr>
        <w:tblW w:type="dxa" w:w="9360"/>
        <w:tblBorders>
          <w:top w:val="single" w:color="0F4C81" w:sz="4"/>
          <w:left w:val="none"/>
          <w:bottom w:val="single" w:color="0F4C81" w:sz="4"/>
          <w:right w:val="none"/>
          <w:insideH w:val="single" w:color="C7CDD4" w:sz="2"/>
          <w:insideV w:val="none"/>
        </w:tblBorders>
      </w:tblPr>
      <w:tblGrid>
        <w:gridCol w:w="2700"/>
        <w:gridCol w:w="1300"/>
        <w:gridCol w:w="1300"/>
        <w:gridCol w:w="4060"/>
      </w:tblGrid>
      <w:tr>
        <w:trPr>
          <w:tblHeader/>
        </w:trPr>
        <w:tc>
          <w:tcPr>
            <w:tcW w:type="dxa" w:w="2700"/>
            <w:shd w:fill="EEF2F6" w:val="clear"/>
            <w:tcMar>
              <w:top w:type="dxa" w:w="100"/>
              <w:left w:type="dxa" w:w="120"/>
              <w:bottom w:type="dxa" w:w="100"/>
              <w:right w:type="dxa" w:w="120"/>
            </w:tcMar>
          </w:tcPr>
          <w:p>
            <w:pPr>
              <w:spacing w:after="0"/>
            </w:pPr>
            <w:r>
              <w:rPr>
                <w:b/>
                <w:bCs/>
                <w:color w:val="0F4C81"/>
                <w:sz w:val="18"/>
                <w:szCs w:val="18"/>
              </w:rPr>
              <w:t xml:space="preserve">Integration</w:t>
            </w:r>
          </w:p>
        </w:tc>
        <w:tc>
          <w:tcPr>
            <w:tcW w:type="dxa" w:w="1300"/>
            <w:shd w:fill="EEF2F6" w:val="clear"/>
            <w:tcMar>
              <w:top w:type="dxa" w:w="100"/>
              <w:left w:type="dxa" w:w="120"/>
              <w:bottom w:type="dxa" w:w="100"/>
              <w:right w:type="dxa" w:w="120"/>
            </w:tcMar>
          </w:tcPr>
          <w:p>
            <w:pPr>
              <w:spacing w:after="0"/>
            </w:pPr>
            <w:r>
              <w:rPr>
                <w:b/>
                <w:bCs/>
                <w:color w:val="0F4C81"/>
                <w:sz w:val="18"/>
                <w:szCs w:val="18"/>
              </w:rPr>
              <w:t xml:space="preserve">Cost</w:t>
            </w:r>
          </w:p>
        </w:tc>
        <w:tc>
          <w:tcPr>
            <w:tcW w:type="dxa" w:w="1300"/>
            <w:shd w:fill="EEF2F6" w:val="clear"/>
            <w:tcMar>
              <w:top w:type="dxa" w:w="100"/>
              <w:left w:type="dxa" w:w="120"/>
              <w:bottom w:type="dxa" w:w="100"/>
              <w:right w:type="dxa" w:w="120"/>
            </w:tcMar>
          </w:tcPr>
          <w:p>
            <w:pPr>
              <w:spacing w:after="0"/>
            </w:pPr>
            <w:r>
              <w:rPr>
                <w:b/>
                <w:bCs/>
                <w:color w:val="0F4C81"/>
                <w:sz w:val="18"/>
                <w:szCs w:val="18"/>
              </w:rPr>
              <w:t xml:space="preserve">Phase</w:t>
            </w:r>
          </w:p>
        </w:tc>
        <w:tc>
          <w:tcPr>
            <w:tcW w:type="dxa" w:w="4060"/>
            <w:shd w:fill="EEF2F6" w:val="clear"/>
            <w:tcMar>
              <w:top w:type="dxa" w:w="100"/>
              <w:left w:type="dxa" w:w="120"/>
              <w:bottom w:type="dxa" w:w="100"/>
              <w:right w:type="dxa" w:w="120"/>
            </w:tcMar>
          </w:tcPr>
          <w:p>
            <w:pPr>
              <w:spacing w:after="0"/>
            </w:pPr>
            <w:r>
              <w:rPr>
                <w:b/>
                <w:bCs/>
                <w:color w:val="0F4C81"/>
                <w:sz w:val="18"/>
                <w:szCs w:val="18"/>
              </w:rPr>
              <w:t xml:space="preserve">Purpose</w:t>
            </w:r>
          </w:p>
        </w:tc>
      </w:tr>
      <w:tr>
        <w:tc>
          <w:tcPr>
            <w:tcW w:type="dxa" w:w="2700"/>
            <w:tcMar>
              <w:top w:type="dxa" w:w="90"/>
              <w:left w:type="dxa" w:w="120"/>
              <w:bottom w:type="dxa" w:w="90"/>
              <w:right w:type="dxa" w:w="120"/>
            </w:tcMar>
          </w:tcPr>
          <w:p>
            <w:pPr>
              <w:spacing w:after="0" w:line="250"/>
            </w:pPr>
            <w:r>
              <w:rPr>
                <w:b/>
                <w:bCs/>
                <w:color w:val="1A1A1A"/>
                <w:sz w:val="18"/>
                <w:szCs w:val="18"/>
              </w:rPr>
              <w:t xml:space="preserve">India export shipment data</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Paid</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0</w:t>
            </w:r>
          </w:p>
        </w:tc>
        <w:tc>
          <w:tcPr>
            <w:tcW w:type="dxa" w:w="4060"/>
            <w:tcMar>
              <w:top w:type="dxa" w:w="90"/>
              <w:left w:type="dxa" w:w="120"/>
              <w:bottom w:type="dxa" w:w="90"/>
              <w:right w:type="dxa" w:w="120"/>
            </w:tcMar>
          </w:tcPr>
          <w:p>
            <w:pPr>
              <w:spacing w:after="0" w:line="250"/>
            </w:pPr>
            <w:r>
              <w:rPr>
                <w:b w:val="false"/>
                <w:bCs w:val="false"/>
                <w:color w:val="1A1A1A"/>
                <w:sz w:val="18"/>
                <w:szCs w:val="18"/>
              </w:rPr>
              <w:t xml:space="preserve">Supply prospect list, trade-proven badge</w:t>
            </w:r>
          </w:p>
        </w:tc>
      </w:tr>
      <w:tr>
        <w:tc>
          <w:tcPr>
            <w:tcW w:type="dxa" w:w="2700"/>
            <w:shd w:fill="F7F9FB" w:val="clear"/>
            <w:tcMar>
              <w:top w:type="dxa" w:w="90"/>
              <w:left w:type="dxa" w:w="120"/>
              <w:bottom w:type="dxa" w:w="90"/>
              <w:right w:type="dxa" w:w="120"/>
            </w:tcMar>
          </w:tcPr>
          <w:p>
            <w:pPr>
              <w:spacing w:after="0" w:line="250"/>
            </w:pPr>
            <w:r>
              <w:rPr>
                <w:b/>
                <w:bCs/>
                <w:color w:val="1A1A1A"/>
                <w:sz w:val="18"/>
                <w:szCs w:val="18"/>
              </w:rPr>
              <w:t xml:space="preserve">UN Comtrade</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Free tier</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0</w:t>
            </w:r>
          </w:p>
        </w:tc>
        <w:tc>
          <w:tcPr>
            <w:tcW w:type="dxa" w:w="4060"/>
            <w:shd w:fill="F7F9FB" w:val="clear"/>
            <w:tcMar>
              <w:top w:type="dxa" w:w="90"/>
              <w:left w:type="dxa" w:w="120"/>
              <w:bottom w:type="dxa" w:w="90"/>
              <w:right w:type="dxa" w:w="120"/>
            </w:tcMar>
          </w:tcPr>
          <w:p>
            <w:pPr>
              <w:spacing w:after="0" w:line="250"/>
            </w:pPr>
            <w:r>
              <w:rPr>
                <w:b w:val="false"/>
                <w:bCs w:val="false"/>
                <w:color w:val="1A1A1A"/>
                <w:sz w:val="18"/>
                <w:szCs w:val="18"/>
              </w:rPr>
              <w:t xml:space="preserve">Category sizing</w:t>
            </w:r>
          </w:p>
        </w:tc>
      </w:tr>
      <w:tr>
        <w:tc>
          <w:tcPr>
            <w:tcW w:type="dxa" w:w="2700"/>
            <w:tcMar>
              <w:top w:type="dxa" w:w="90"/>
              <w:left w:type="dxa" w:w="120"/>
              <w:bottom w:type="dxa" w:w="90"/>
              <w:right w:type="dxa" w:w="120"/>
            </w:tcMar>
          </w:tcPr>
          <w:p>
            <w:pPr>
              <w:spacing w:after="0" w:line="250"/>
            </w:pPr>
            <w:r>
              <w:rPr>
                <w:b/>
                <w:bCs/>
                <w:color w:val="1A1A1A"/>
                <w:sz w:val="18"/>
                <w:szCs w:val="18"/>
              </w:rPr>
              <w:t xml:space="preserve">KYB bundle (GST, MCA, Udyam, IEC)</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Per call</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1</w:t>
            </w:r>
          </w:p>
        </w:tc>
        <w:tc>
          <w:tcPr>
            <w:tcW w:type="dxa" w:w="4060"/>
            <w:tcMar>
              <w:top w:type="dxa" w:w="90"/>
              <w:left w:type="dxa" w:w="120"/>
              <w:bottom w:type="dxa" w:w="90"/>
              <w:right w:type="dxa" w:w="120"/>
            </w:tcMar>
          </w:tcPr>
          <w:p>
            <w:pPr>
              <w:spacing w:after="0" w:line="250"/>
            </w:pPr>
            <w:r>
              <w:rPr>
                <w:b w:val="false"/>
                <w:bCs w:val="false"/>
                <w:color w:val="1A1A1A"/>
                <w:sz w:val="18"/>
                <w:szCs w:val="18"/>
              </w:rPr>
              <w:t xml:space="preserve">Verification tier</w:t>
            </w:r>
          </w:p>
        </w:tc>
      </w:tr>
      <w:tr>
        <w:tc>
          <w:tcPr>
            <w:tcW w:type="dxa" w:w="2700"/>
            <w:shd w:fill="F7F9FB" w:val="clear"/>
            <w:tcMar>
              <w:top w:type="dxa" w:w="90"/>
              <w:left w:type="dxa" w:w="120"/>
              <w:bottom w:type="dxa" w:w="90"/>
              <w:right w:type="dxa" w:w="120"/>
            </w:tcMar>
          </w:tcPr>
          <w:p>
            <w:pPr>
              <w:spacing w:after="0" w:line="250"/>
            </w:pPr>
            <w:r>
              <w:rPr>
                <w:b/>
                <w:bCs/>
                <w:color w:val="1A1A1A"/>
                <w:sz w:val="18"/>
                <w:szCs w:val="18"/>
              </w:rPr>
              <w:t xml:space="preserve">Consolidated Screening List</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Free</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1</w:t>
            </w:r>
          </w:p>
        </w:tc>
        <w:tc>
          <w:tcPr>
            <w:tcW w:type="dxa" w:w="4060"/>
            <w:shd w:fill="F7F9FB" w:val="clear"/>
            <w:tcMar>
              <w:top w:type="dxa" w:w="90"/>
              <w:left w:type="dxa" w:w="120"/>
              <w:bottom w:type="dxa" w:w="90"/>
              <w:right w:type="dxa" w:w="120"/>
            </w:tcMar>
          </w:tcPr>
          <w:p>
            <w:pPr>
              <w:spacing w:after="0" w:line="250"/>
            </w:pPr>
            <w:r>
              <w:rPr>
                <w:b w:val="false"/>
                <w:bCs w:val="false"/>
                <w:color w:val="1A1A1A"/>
                <w:sz w:val="18"/>
                <w:szCs w:val="18"/>
              </w:rPr>
              <w:t xml:space="preserve">Restricted-party screening, both sides</w:t>
            </w:r>
          </w:p>
        </w:tc>
      </w:tr>
      <w:tr>
        <w:tc>
          <w:tcPr>
            <w:tcW w:type="dxa" w:w="2700"/>
            <w:tcMar>
              <w:top w:type="dxa" w:w="90"/>
              <w:left w:type="dxa" w:w="120"/>
              <w:bottom w:type="dxa" w:w="90"/>
              <w:right w:type="dxa" w:w="120"/>
            </w:tcMar>
          </w:tcPr>
          <w:p>
            <w:pPr>
              <w:spacing w:after="0" w:line="250"/>
            </w:pPr>
            <w:r>
              <w:rPr>
                <w:b/>
                <w:bCs/>
                <w:color w:val="1A1A1A"/>
                <w:sz w:val="18"/>
                <w:szCs w:val="18"/>
              </w:rPr>
              <w:t xml:space="preserve">LLM with web search</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Usage</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1</w:t>
            </w:r>
          </w:p>
        </w:tc>
        <w:tc>
          <w:tcPr>
            <w:tcW w:type="dxa" w:w="4060"/>
            <w:tcMar>
              <w:top w:type="dxa" w:w="90"/>
              <w:left w:type="dxa" w:w="120"/>
              <w:bottom w:type="dxa" w:w="90"/>
              <w:right w:type="dxa" w:w="120"/>
            </w:tcMar>
          </w:tcPr>
          <w:p>
            <w:pPr>
              <w:spacing w:after="0" w:line="250"/>
            </w:pPr>
            <w:r>
              <w:rPr>
                <w:b w:val="false"/>
                <w:bCs w:val="false"/>
                <w:color w:val="1A1A1A"/>
                <w:sz w:val="18"/>
                <w:szCs w:val="18"/>
              </w:rPr>
              <w:t xml:space="preserve">Classification, duty research, listing generation</w:t>
            </w:r>
          </w:p>
        </w:tc>
      </w:tr>
      <w:tr>
        <w:tc>
          <w:tcPr>
            <w:tcW w:type="dxa" w:w="2700"/>
            <w:shd w:fill="F7F9FB" w:val="clear"/>
            <w:tcMar>
              <w:top w:type="dxa" w:w="90"/>
              <w:left w:type="dxa" w:w="120"/>
              <w:bottom w:type="dxa" w:w="90"/>
              <w:right w:type="dxa" w:w="120"/>
            </w:tcMar>
          </w:tcPr>
          <w:p>
            <w:pPr>
              <w:spacing w:after="0" w:line="250"/>
            </w:pPr>
            <w:r>
              <w:rPr>
                <w:b/>
                <w:bCs/>
                <w:color w:val="1A1A1A"/>
                <w:sz w:val="18"/>
                <w:szCs w:val="18"/>
              </w:rPr>
              <w:t xml:space="preserve">WhatsApp Business API</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Per msg</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1</w:t>
            </w:r>
          </w:p>
        </w:tc>
        <w:tc>
          <w:tcPr>
            <w:tcW w:type="dxa" w:w="4060"/>
            <w:shd w:fill="F7F9FB" w:val="clear"/>
            <w:tcMar>
              <w:top w:type="dxa" w:w="90"/>
              <w:left w:type="dxa" w:w="120"/>
              <w:bottom w:type="dxa" w:w="90"/>
              <w:right w:type="dxa" w:w="120"/>
            </w:tcMar>
          </w:tcPr>
          <w:p>
            <w:pPr>
              <w:spacing w:after="0" w:line="250"/>
            </w:pPr>
            <w:r>
              <w:rPr>
                <w:b w:val="false"/>
                <w:bCs w:val="false"/>
                <w:color w:val="1A1A1A"/>
                <w:sz w:val="18"/>
                <w:szCs w:val="18"/>
              </w:rPr>
              <w:t xml:space="preserve">Vendor lead notification</w:t>
            </w:r>
          </w:p>
        </w:tc>
      </w:tr>
      <w:tr>
        <w:tc>
          <w:tcPr>
            <w:tcW w:type="dxa" w:w="2700"/>
            <w:tcMar>
              <w:top w:type="dxa" w:w="90"/>
              <w:left w:type="dxa" w:w="120"/>
              <w:bottom w:type="dxa" w:w="90"/>
              <w:right w:type="dxa" w:w="120"/>
            </w:tcMar>
          </w:tcPr>
          <w:p>
            <w:pPr>
              <w:spacing w:after="0" w:line="250"/>
            </w:pPr>
            <w:r>
              <w:rPr>
                <w:b/>
                <w:bCs/>
                <w:color w:val="1A1A1A"/>
                <w:sz w:val="18"/>
                <w:szCs w:val="18"/>
              </w:rPr>
              <w:t xml:space="preserve">Transactional email</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Existing</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1</w:t>
            </w:r>
          </w:p>
        </w:tc>
        <w:tc>
          <w:tcPr>
            <w:tcW w:type="dxa" w:w="4060"/>
            <w:tcMar>
              <w:top w:type="dxa" w:w="90"/>
              <w:left w:type="dxa" w:w="120"/>
              <w:bottom w:type="dxa" w:w="90"/>
              <w:right w:type="dxa" w:w="120"/>
            </w:tcMar>
          </w:tcPr>
          <w:p>
            <w:pPr>
              <w:spacing w:after="0" w:line="250"/>
            </w:pPr>
            <w:r>
              <w:rPr>
                <w:b w:val="false"/>
                <w:bCs w:val="false"/>
                <w:color w:val="1A1A1A"/>
                <w:sz w:val="18"/>
                <w:szCs w:val="18"/>
              </w:rPr>
              <w:t xml:space="preserve">Buyer notifications and reports</w:t>
            </w:r>
          </w:p>
        </w:tc>
      </w:tr>
      <w:tr>
        <w:tc>
          <w:tcPr>
            <w:tcW w:type="dxa" w:w="2700"/>
            <w:shd w:fill="F7F9FB" w:val="clear"/>
            <w:tcMar>
              <w:top w:type="dxa" w:w="90"/>
              <w:left w:type="dxa" w:w="120"/>
              <w:bottom w:type="dxa" w:w="90"/>
              <w:right w:type="dxa" w:w="120"/>
            </w:tcMar>
          </w:tcPr>
          <w:p>
            <w:pPr>
              <w:spacing w:after="0" w:line="250"/>
            </w:pPr>
            <w:r>
              <w:rPr>
                <w:b/>
                <w:bCs/>
                <w:color w:val="1A1A1A"/>
                <w:sz w:val="18"/>
                <w:szCs w:val="18"/>
              </w:rPr>
              <w:t xml:space="preserve">US import manifest data</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Paid</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2</w:t>
            </w:r>
          </w:p>
        </w:tc>
        <w:tc>
          <w:tcPr>
            <w:tcW w:type="dxa" w:w="4060"/>
            <w:shd w:fill="F7F9FB" w:val="clear"/>
            <w:tcMar>
              <w:top w:type="dxa" w:w="90"/>
              <w:left w:type="dxa" w:w="120"/>
              <w:bottom w:type="dxa" w:w="90"/>
              <w:right w:type="dxa" w:w="120"/>
            </w:tcMar>
          </w:tcPr>
          <w:p>
            <w:pPr>
              <w:spacing w:after="0" w:line="250"/>
            </w:pPr>
            <w:r>
              <w:rPr>
                <w:b w:val="false"/>
                <w:bCs w:val="false"/>
                <w:color w:val="1A1A1A"/>
                <w:sz w:val="18"/>
                <w:szCs w:val="18"/>
              </w:rPr>
              <w:t xml:space="preserve">Corroboration, US buyer prospecting</w:t>
            </w:r>
          </w:p>
        </w:tc>
      </w:tr>
      <w:tr>
        <w:tc>
          <w:tcPr>
            <w:tcW w:type="dxa" w:w="2700"/>
            <w:tcMar>
              <w:top w:type="dxa" w:w="90"/>
              <w:left w:type="dxa" w:w="120"/>
              <w:bottom w:type="dxa" w:w="90"/>
              <w:right w:type="dxa" w:w="120"/>
            </w:tcMar>
          </w:tcPr>
          <w:p>
            <w:pPr>
              <w:spacing w:after="0" w:line="250"/>
            </w:pPr>
            <w:r>
              <w:rPr>
                <w:b/>
                <w:bCs/>
                <w:color w:val="1A1A1A"/>
                <w:sz w:val="18"/>
                <w:szCs w:val="18"/>
              </w:rPr>
              <w:t xml:space="preserve">Embeddings</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Usage</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2</w:t>
            </w:r>
          </w:p>
        </w:tc>
        <w:tc>
          <w:tcPr>
            <w:tcW w:type="dxa" w:w="4060"/>
            <w:tcMar>
              <w:top w:type="dxa" w:w="90"/>
              <w:left w:type="dxa" w:w="120"/>
              <w:bottom w:type="dxa" w:w="90"/>
              <w:right w:type="dxa" w:w="120"/>
            </w:tcMar>
          </w:tcPr>
          <w:p>
            <w:pPr>
              <w:spacing w:after="0" w:line="250"/>
            </w:pPr>
            <w:r>
              <w:rPr>
                <w:b w:val="false"/>
                <w:bCs w:val="false"/>
                <w:color w:val="1A1A1A"/>
                <w:sz w:val="18"/>
                <w:szCs w:val="18"/>
              </w:rPr>
              <w:t xml:space="preserve">Semantic matching</w:t>
            </w:r>
          </w:p>
        </w:tc>
      </w:tr>
      <w:tr>
        <w:tc>
          <w:tcPr>
            <w:tcW w:type="dxa" w:w="2700"/>
            <w:shd w:fill="F7F9FB" w:val="clear"/>
            <w:tcMar>
              <w:top w:type="dxa" w:w="90"/>
              <w:left w:type="dxa" w:w="120"/>
              <w:bottom w:type="dxa" w:w="90"/>
              <w:right w:type="dxa" w:w="120"/>
            </w:tcMar>
          </w:tcPr>
          <w:p>
            <w:pPr>
              <w:spacing w:after="0" w:line="250"/>
            </w:pPr>
            <w:r>
              <w:rPr>
                <w:b/>
                <w:bCs/>
                <w:color w:val="1A1A1A"/>
                <w:sz w:val="18"/>
                <w:szCs w:val="18"/>
              </w:rPr>
              <w:t xml:space="preserve">ITA Market Intelligence / Trade Leads</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Free</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2</w:t>
            </w:r>
          </w:p>
        </w:tc>
        <w:tc>
          <w:tcPr>
            <w:tcW w:type="dxa" w:w="4060"/>
            <w:shd w:fill="F7F9FB" w:val="clear"/>
            <w:tcMar>
              <w:top w:type="dxa" w:w="90"/>
              <w:left w:type="dxa" w:w="120"/>
              <w:bottom w:type="dxa" w:w="90"/>
              <w:right w:type="dxa" w:w="120"/>
            </w:tcMar>
          </w:tcPr>
          <w:p>
            <w:pPr>
              <w:spacing w:after="0" w:line="250"/>
            </w:pPr>
            <w:r>
              <w:rPr>
                <w:b w:val="false"/>
                <w:bCs w:val="false"/>
                <w:color w:val="1A1A1A"/>
                <w:sz w:val="18"/>
                <w:szCs w:val="18"/>
              </w:rPr>
              <w:t xml:space="preserve">Content and demand signal</w:t>
            </w:r>
          </w:p>
        </w:tc>
      </w:tr>
      <w:tr>
        <w:tc>
          <w:tcPr>
            <w:tcW w:type="dxa" w:w="2700"/>
            <w:tcMar>
              <w:top w:type="dxa" w:w="90"/>
              <w:left w:type="dxa" w:w="120"/>
              <w:bottom w:type="dxa" w:w="90"/>
              <w:right w:type="dxa" w:w="120"/>
            </w:tcMar>
          </w:tcPr>
          <w:p>
            <w:pPr>
              <w:spacing w:after="0" w:line="250"/>
            </w:pPr>
            <w:r>
              <w:rPr>
                <w:b/>
                <w:bCs/>
                <w:color w:val="1A1A1A"/>
                <w:sz w:val="18"/>
                <w:szCs w:val="18"/>
              </w:rPr>
              <w:t xml:space="preserve">FTA Tariff Rates</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Free</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2</w:t>
            </w:r>
          </w:p>
        </w:tc>
        <w:tc>
          <w:tcPr>
            <w:tcW w:type="dxa" w:w="4060"/>
            <w:tcMar>
              <w:top w:type="dxa" w:w="90"/>
              <w:left w:type="dxa" w:w="120"/>
              <w:bottom w:type="dxa" w:w="90"/>
              <w:right w:type="dxa" w:w="120"/>
            </w:tcMar>
          </w:tcPr>
          <w:p>
            <w:pPr>
              <w:spacing w:after="0" w:line="250"/>
            </w:pPr>
            <w:r>
              <w:rPr>
                <w:b w:val="false"/>
                <w:bCs w:val="false"/>
                <w:color w:val="1A1A1A"/>
                <w:sz w:val="18"/>
                <w:szCs w:val="18"/>
              </w:rPr>
              <w:t xml:space="preserve">Preference checks</w:t>
            </w:r>
          </w:p>
        </w:tc>
      </w:tr>
      <w:tr>
        <w:tc>
          <w:tcPr>
            <w:tcW w:type="dxa" w:w="2700"/>
            <w:shd w:fill="F7F9FB" w:val="clear"/>
            <w:tcMar>
              <w:top w:type="dxa" w:w="90"/>
              <w:left w:type="dxa" w:w="120"/>
              <w:bottom w:type="dxa" w:w="90"/>
              <w:right w:type="dxa" w:w="120"/>
            </w:tcMar>
          </w:tcPr>
          <w:p>
            <w:pPr>
              <w:spacing w:after="0" w:line="250"/>
            </w:pPr>
            <w:r>
              <w:rPr>
                <w:b/>
                <w:bCs/>
                <w:color w:val="1A1A1A"/>
                <w:sz w:val="18"/>
                <w:szCs w:val="18"/>
              </w:rPr>
              <w:t xml:space="preserve">Freight rate API</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Paid</w:t>
            </w:r>
          </w:p>
        </w:tc>
        <w:tc>
          <w:tcPr>
            <w:tcW w:type="dxa" w:w="1300"/>
            <w:shd w:fill="F7F9FB" w:val="clear"/>
            <w:tcMar>
              <w:top w:type="dxa" w:w="90"/>
              <w:left w:type="dxa" w:w="120"/>
              <w:bottom w:type="dxa" w:w="90"/>
              <w:right w:type="dxa" w:w="120"/>
            </w:tcMar>
          </w:tcPr>
          <w:p>
            <w:pPr>
              <w:spacing w:after="0" w:line="250"/>
            </w:pPr>
            <w:r>
              <w:rPr>
                <w:b w:val="false"/>
                <w:bCs w:val="false"/>
                <w:color w:val="1A1A1A"/>
                <w:sz w:val="18"/>
                <w:szCs w:val="18"/>
              </w:rPr>
              <w:t xml:space="preserve">3</w:t>
            </w:r>
          </w:p>
        </w:tc>
        <w:tc>
          <w:tcPr>
            <w:tcW w:type="dxa" w:w="4060"/>
            <w:shd w:fill="F7F9FB" w:val="clear"/>
            <w:tcMar>
              <w:top w:type="dxa" w:w="90"/>
              <w:left w:type="dxa" w:w="120"/>
              <w:bottom w:type="dxa" w:w="90"/>
              <w:right w:type="dxa" w:w="120"/>
            </w:tcMar>
          </w:tcPr>
          <w:p>
            <w:pPr>
              <w:spacing w:after="0" w:line="250"/>
            </w:pPr>
            <w:r>
              <w:rPr>
                <w:b w:val="false"/>
                <w:bCs w:val="false"/>
                <w:color w:val="1A1A1A"/>
                <w:sz w:val="18"/>
                <w:szCs w:val="18"/>
              </w:rPr>
              <w:t xml:space="preserve">Real freight in landed cost</w:t>
            </w:r>
          </w:p>
        </w:tc>
      </w:tr>
      <w:tr>
        <w:tc>
          <w:tcPr>
            <w:tcW w:type="dxa" w:w="2700"/>
            <w:tcMar>
              <w:top w:type="dxa" w:w="90"/>
              <w:left w:type="dxa" w:w="120"/>
              <w:bottom w:type="dxa" w:w="90"/>
              <w:right w:type="dxa" w:w="120"/>
            </w:tcMar>
          </w:tcPr>
          <w:p>
            <w:pPr>
              <w:spacing w:after="0" w:line="250"/>
            </w:pPr>
            <w:r>
              <w:rPr>
                <w:b/>
                <w:bCs/>
                <w:color w:val="1A1A1A"/>
                <w:sz w:val="18"/>
                <w:szCs w:val="18"/>
              </w:rPr>
              <w:t xml:space="preserve">Licensed PA-CB partner</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Per txn</w:t>
            </w:r>
          </w:p>
        </w:tc>
        <w:tc>
          <w:tcPr>
            <w:tcW w:type="dxa" w:w="1300"/>
            <w:tcMar>
              <w:top w:type="dxa" w:w="90"/>
              <w:left w:type="dxa" w:w="120"/>
              <w:bottom w:type="dxa" w:w="90"/>
              <w:right w:type="dxa" w:w="120"/>
            </w:tcMar>
          </w:tcPr>
          <w:p>
            <w:pPr>
              <w:spacing w:after="0" w:line="250"/>
            </w:pPr>
            <w:r>
              <w:rPr>
                <w:b w:val="false"/>
                <w:bCs w:val="false"/>
                <w:color w:val="1A1A1A"/>
                <w:sz w:val="18"/>
                <w:szCs w:val="18"/>
              </w:rPr>
              <w:t xml:space="preserve">4</w:t>
            </w:r>
          </w:p>
        </w:tc>
        <w:tc>
          <w:tcPr>
            <w:tcW w:type="dxa" w:w="4060"/>
            <w:tcMar>
              <w:top w:type="dxa" w:w="90"/>
              <w:left w:type="dxa" w:w="120"/>
              <w:bottom w:type="dxa" w:w="90"/>
              <w:right w:type="dxa" w:w="120"/>
            </w:tcMar>
          </w:tcPr>
          <w:p>
            <w:pPr>
              <w:spacing w:after="0" w:line="250"/>
            </w:pPr>
            <w:r>
              <w:rPr>
                <w:b w:val="false"/>
                <w:bCs w:val="false"/>
                <w:color w:val="1A1A1A"/>
                <w:sz w:val="18"/>
                <w:szCs w:val="18"/>
              </w:rPr>
              <w:t xml:space="preserve">Escrow and settlement</w:t>
            </w:r>
          </w:p>
        </w:tc>
      </w:tr>
    </w:tbl>
    <w:p>
      <w:pPr>
        <w:spacing w:after="200"/>
      </w:pPr>
    </w:p>
    <w:p>
      <w:pPr>
        <w:pStyle w:val="Heading1"/>
        <w:spacing w:after="200" w:before="400"/>
      </w:pPr>
      <w:r>
        <w:rPr>
          <w:b/>
          <w:bCs/>
          <w:color w:val="0F4C81"/>
          <w:sz w:val="32"/>
          <w:szCs w:val="32"/>
        </w:rPr>
        <w:t xml:space="preserve">Appendix C — Sources consulted</w:t>
      </w:r>
    </w:p>
    <w:p>
      <w:pPr>
        <w:spacing w:after="120" w:line="276"/>
      </w:pPr>
      <w:r>
        <w:rPr>
          <w:color w:val="1A1A1A"/>
          <w:sz w:val="21"/>
          <w:szCs w:val="21"/>
        </w:rPr>
        <w:t xml:space="preserve">Research conducted September 2026. Regulatory positions should be confirmed with counsel before they are relied on commercially.</w:t>
      </w:r>
    </w:p>
    <w:p>
      <w:pPr>
        <w:spacing w:after="60"/>
      </w:pPr>
    </w:p>
    <w:p>
      <w:pPr>
        <w:spacing w:after="100" w:line="276"/>
      </w:pPr>
      <w:r>
        <w:rPr>
          <w:b/>
          <w:bCs/>
          <w:color w:val="1A1A1A"/>
          <w:sz w:val="21"/>
          <w:szCs w:val="21"/>
        </w:rPr>
        <w:t xml:space="preserve">US manifest data is public under FOIA; ocean only; confidentiality available — </w:t>
      </w:r>
      <w:r>
        <w:rPr>
          <w:i/>
          <w:iCs/>
          <w:color w:val="1A1A1A"/>
          <w:sz w:val="21"/>
          <w:szCs w:val="21"/>
        </w:rPr>
        <w:t xml:space="preserve">Federal Reserve working paper on bill-of-lading data; Diaz Trade Law, manifest confidentiality</w:t>
      </w:r>
    </w:p>
    <w:p>
      <w:pPr>
        <w:spacing w:after="100" w:line="276"/>
      </w:pPr>
      <w:r>
        <w:rPr>
          <w:b/>
          <w:bCs/>
          <w:color w:val="1A1A1A"/>
          <w:sz w:val="21"/>
          <w:szCs w:val="21"/>
        </w:rPr>
        <w:t xml:space="preserve">Commercial trade-data providers and APIs for India — </w:t>
      </w:r>
      <w:r>
        <w:rPr>
          <w:i/>
          <w:iCs/>
          <w:color w:val="1A1A1A"/>
          <w:sz w:val="21"/>
          <w:szCs w:val="21"/>
        </w:rPr>
        <w:t xml:space="preserve">Volza trade-intelligence API and India export data pages; Export Genius plans; comparative provider reviews</w:t>
      </w:r>
    </w:p>
    <w:p>
      <w:pPr>
        <w:spacing w:after="100" w:line="276"/>
      </w:pPr>
      <w:r>
        <w:rPr>
          <w:b/>
          <w:bCs/>
          <w:color w:val="1A1A1A"/>
          <w:sz w:val="21"/>
          <w:szCs w:val="21"/>
        </w:rPr>
        <w:t xml:space="preserve">FIEO scale, structure and member services — </w:t>
      </w:r>
      <w:r>
        <w:rPr>
          <w:i/>
          <w:iCs/>
          <w:color w:val="1A1A1A"/>
          <w:sz w:val="21"/>
          <w:szCs w:val="21"/>
        </w:rPr>
        <w:t xml:space="preserve">fieo.org; Wikipedia, Federation of Indian Export Organisations</w:t>
      </w:r>
    </w:p>
    <w:p>
      <w:pPr>
        <w:spacing w:after="100" w:line="276"/>
      </w:pPr>
      <w:r>
        <w:rPr>
          <w:b/>
          <w:bCs/>
          <w:color w:val="1A1A1A"/>
          <w:sz w:val="21"/>
          <w:szCs w:val="21"/>
        </w:rPr>
        <w:t xml:space="preserve">DGFT Import Export Code and exporter profile — </w:t>
      </w:r>
      <w:r>
        <w:rPr>
          <w:i/>
          <w:iCs/>
          <w:color w:val="1A1A1A"/>
          <w:sz w:val="21"/>
          <w:szCs w:val="21"/>
        </w:rPr>
        <w:t xml:space="preserve">dgft.gov.in, IEC Profile Management; Indian Trade Portal</w:t>
      </w:r>
    </w:p>
    <w:p>
      <w:pPr>
        <w:spacing w:after="100" w:line="276"/>
      </w:pPr>
      <w:r>
        <w:rPr>
          <w:b/>
          <w:bCs/>
          <w:color w:val="1A1A1A"/>
          <w:sz w:val="21"/>
          <w:szCs w:val="21"/>
        </w:rPr>
        <w:t xml:space="preserve">India FDI policy for B2B e-commerce — 100% automatic route — </w:t>
      </w:r>
      <w:r>
        <w:rPr>
          <w:i/>
          <w:iCs/>
          <w:color w:val="1A1A1A"/>
          <w:sz w:val="21"/>
          <w:szCs w:val="21"/>
        </w:rPr>
        <w:t xml:space="preserve">trade.gov India country commercial guide; AZB Partners; ITIF knowledge base; Press Information Bureau, review of FDI policy in e-commerce</w:t>
      </w:r>
    </w:p>
    <w:p>
      <w:pPr>
        <w:spacing w:after="100" w:line="276"/>
      </w:pPr>
      <w:r>
        <w:rPr>
          <w:b/>
          <w:bCs/>
          <w:color w:val="1A1A1A"/>
          <w:sz w:val="21"/>
          <w:szCs w:val="21"/>
        </w:rPr>
        <w:t xml:space="preserve">DPDP Act 2023 and DPDP Rules 2025 — notification and 2026 timeline — </w:t>
      </w:r>
      <w:r>
        <w:rPr>
          <w:i/>
          <w:iCs/>
          <w:color w:val="1A1A1A"/>
          <w:sz w:val="21"/>
          <w:szCs w:val="21"/>
        </w:rPr>
        <w:t xml:space="preserve">EY India DPDP compliance guide; Wikipedia, Digital Personal Data Protection Rules 2025; Mondaq, 2026 compliance milestones</w:t>
      </w:r>
    </w:p>
    <w:p>
      <w:pPr>
        <w:spacing w:after="100" w:line="276"/>
      </w:pPr>
      <w:r>
        <w:rPr>
          <w:b/>
          <w:bCs/>
          <w:color w:val="1A1A1A"/>
          <w:sz w:val="21"/>
          <w:szCs w:val="21"/>
        </w:rPr>
        <w:t xml:space="preserve">RBI Payment Aggregator – Cross Border framework — </w:t>
      </w:r>
      <w:r>
        <w:rPr>
          <w:i/>
          <w:iCs/>
          <w:color w:val="1A1A1A"/>
          <w:sz w:val="21"/>
          <w:szCs w:val="21"/>
        </w:rPr>
        <w:t xml:space="preserve">RBI notification on PA-CB regulation; Trilegal and AZB analyses; PwC India cross-border payment aggregator overview</w:t>
      </w:r>
    </w:p>
    <w:p>
      <w:pPr>
        <w:spacing w:after="100" w:line="276"/>
      </w:pPr>
      <w:r>
        <w:rPr>
          <w:b/>
          <w:bCs/>
          <w:color w:val="1A1A1A"/>
          <w:sz w:val="21"/>
          <w:szCs w:val="21"/>
        </w:rPr>
        <w:t xml:space="preserve">Scraping legality in India and the IndiaMART v Justdial proceedings — </w:t>
      </w:r>
      <w:r>
        <w:rPr>
          <w:i/>
          <w:iCs/>
          <w:color w:val="1A1A1A"/>
          <w:sz w:val="21"/>
          <w:szCs w:val="21"/>
        </w:rPr>
        <w:t xml:space="preserve">Spice Route Legal; Ikigai Law; Mondaq on data scraping and copyright; IndiaMART corporate newsroom on the Delhi High Court proceedings</w:t>
      </w:r>
    </w:p>
    <w:p>
      <w:pPr>
        <w:spacing w:after="100" w:line="276"/>
      </w:pPr>
      <w:r>
        <w:rPr>
          <w:b/>
          <w:bCs/>
          <w:color w:val="1A1A1A"/>
          <w:sz w:val="21"/>
          <w:szCs w:val="21"/>
        </w:rPr>
        <w:t xml:space="preserve">KYB and registry verification providers — </w:t>
      </w:r>
      <w:r>
        <w:rPr>
          <w:i/>
          <w:iCs/>
          <w:color w:val="1A1A1A"/>
          <w:sz w:val="21"/>
          <w:szCs w:val="21"/>
        </w:rPr>
        <w:t xml:space="preserve">HyperVerge GSTN and KYB APIs; Signzy; KYC Hub business verification guide</w:t>
      </w:r>
    </w:p>
    <w:p>
      <w:pPr>
        <w:spacing w:after="100" w:line="276"/>
      </w:pPr>
      <w:r>
        <w:rPr>
          <w:b/>
          <w:bCs/>
          <w:color w:val="1A1A1A"/>
          <w:sz w:val="21"/>
          <w:szCs w:val="21"/>
        </w:rPr>
        <w:t xml:space="preserve">trade.gov developer APIs — </w:t>
      </w:r>
      <w:r>
        <w:rPr>
          <w:i/>
          <w:iCs/>
          <w:color w:val="1A1A1A"/>
          <w:sz w:val="21"/>
          <w:szCs w:val="21"/>
        </w:rPr>
        <w:t xml:space="preserve">developer.trade.gov API list; Consolidated Screening List documentation; Market Intelligence API</w:t>
      </w:r>
    </w:p>
    <w:p>
      <w:pPr>
        <w:spacing w:after="100" w:line="276"/>
      </w:pPr>
      <w:r>
        <w:rPr>
          <w:b/>
          <w:bCs/>
          <w:color w:val="1A1A1A"/>
          <w:sz w:val="21"/>
          <w:szCs w:val="21"/>
        </w:rPr>
        <w:t xml:space="preserve">UN Comtrade API access tiers — </w:t>
      </w:r>
      <w:r>
        <w:rPr>
          <w:i/>
          <w:iCs/>
          <w:color w:val="1A1A1A"/>
          <w:sz w:val="21"/>
          <w:szCs w:val="21"/>
        </w:rPr>
        <w:t xml:space="preserve">uncomtrade.org API documentation; comtradeapicall Python package</w:t>
      </w:r>
    </w:p>
    <w:p>
      <w:pPr>
        <w:spacing w:after="100" w:line="276"/>
      </w:pPr>
      <w:r>
        <w:rPr>
          <w:b/>
          <w:bCs/>
          <w:color w:val="1A1A1A"/>
          <w:sz w:val="21"/>
          <w:szCs w:val="21"/>
        </w:rPr>
        <w:t xml:space="preserve">Search engine comparison for faceted catalogues — </w:t>
      </w:r>
      <w:r>
        <w:rPr>
          <w:i/>
          <w:iCs/>
          <w:color w:val="1A1A1A"/>
          <w:sz w:val="21"/>
          <w:szCs w:val="21"/>
        </w:rPr>
        <w:t xml:space="preserve">Typesense comparison page; Meilisearch comparative analyses; independent 2026 headless-commerce search benchmarks</w:t>
      </w:r>
    </w:p>
    <w:p>
      <w:pPr>
        <w:spacing w:after="100" w:line="276"/>
      </w:pPr>
      <w:r>
        <w:rPr>
          <w:b/>
          <w:bCs/>
          <w:color w:val="1A1A1A"/>
          <w:sz w:val="21"/>
          <w:szCs w:val="21"/>
        </w:rPr>
        <w:t xml:space="preserve">ONDC scale and B2B direction — </w:t>
      </w:r>
      <w:r>
        <w:rPr>
          <w:i/>
          <w:iCs/>
          <w:color w:val="1A1A1A"/>
          <w:sz w:val="21"/>
          <w:szCs w:val="21"/>
        </w:rPr>
        <w:t xml:space="preserve">ONDC Protocol Specs (GitHub); Deloitte India on ONDC B2B; 2026 network scale reporting</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5"/>
        <w:szCs w:val="15"/>
      </w:rPr>
      <w:t xml:space="preserve">Internal research document  ·  </w:t>
    </w:r>
    <w:r>
      <w:rPr>
        <w:color w:val="5A5A5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4" w:sz="4"/>
      </w:pBdr>
      <w:tabs>
        <w:tab w:val="right" w:pos="9360"/>
      </w:tabs>
      <w:spacing w:after="80"/>
    </w:pPr>
    <w:r>
      <w:rPr>
        <w:color w:val="5A5A5A"/>
        <w:sz w:val="16"/>
        <w:szCs w:val="16"/>
      </w:rPr>
      <w:t xml:space="preserve">India ⇄ USA Trade Marketplace</w:t>
    </w:r>
    <w:r>
      <w:rPr>
        <w:color w:val="5A5A5A"/>
        <w:sz w:val="16"/>
        <w:szCs w:val="16"/>
      </w:rPr>
      <w:t xml:space="preserve">	Research &amp; Technical Blueprint  ·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F4C81"/>
      <w:sz w:val="32"/>
      <w:szCs w:val="32"/>
    </w:rPr>
  </w:style>
  <w:style w:type="paragraph" w:styleId="Heading2">
    <w:name w:val="Heading 2"/>
    <w:basedOn w:val="Normal"/>
    <w:next w:val="Normal"/>
    <w:qFormat/>
    <w:rPr>
      <w:rFonts w:ascii="Calibri" w:cs="Calibri" w:eastAsia="Calibri" w:hAnsi="Calibri"/>
      <w:b/>
      <w:bCs/>
      <w:color w:val="1A1A1A"/>
      <w:sz w:val="25"/>
      <w:szCs w:val="25"/>
    </w:rPr>
  </w:style>
  <w:style w:type="paragraph" w:styleId="Heading3">
    <w:name w:val="Heading 3"/>
    <w:basedOn w:val="Normal"/>
    <w:next w:val="Normal"/>
    <w:qFormat/>
    <w:rPr>
      <w:rFonts w:ascii="Calibri" w:cs="Calibri" w:eastAsia="Calibri" w:hAnsi="Calibri"/>
      <w:b/>
      <w:bCs/>
      <w:color w:val="0F4C81"/>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India-USA Trade Marketplace — Research &amp; Technical Blueprint</dc:title>
  <dc:creator>LeadStrategus</dc:creator>
  <dc:description>Vendor data sourcing, pricing model, tech stack, APIs, AI layer, compliance and roadmap</dc:description>
  <cp:lastModifiedBy>Un-named</cp:lastModifiedBy>
  <cp:revision>1</cp:revision>
  <dcterms:created xsi:type="dcterms:W3CDTF">2026-09-11T11:48:26.288Z</dcterms:created>
  <dcterms:modified xsi:type="dcterms:W3CDTF">2026-09-11T11:48:26.305Z</dcterms:modified>
</cp:coreProperties>
</file>

<file path=docProps/custom.xml><?xml version="1.0" encoding="utf-8"?>
<Properties xmlns="http://schemas.openxmlformats.org/officeDocument/2006/custom-properties" xmlns:vt="http://schemas.openxmlformats.org/officeDocument/2006/docPropsVTypes"/>
</file>