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Automatic Follow-Up Notes for the Daily Stand-Up</w:t>
      </w:r>
    </w:p>
    <w:p>
      <w:pPr>
        <w:spacing w:after="320"/>
      </w:pPr>
      <w:r>
        <w:rPr>
          <w:b w:val="0"/>
          <w:i w:val="0"/>
          <w:color w:val="3E5062"/>
          <w:sz w:val="26"/>
        </w:rPr>
        <w:t>A proposal, and the step-by-step plan to set it up</w:t>
      </w:r>
    </w:p>
    <w:tbl>
      <w:tblPr>
        <w:tblW w:type="auto" w:w="0"/>
        <w:tblLayout w:type="fixed"/>
        <w:tblLook w:firstColumn="1" w:firstRow="1" w:lastColumn="0" w:lastRow="0" w:noHBand="0" w:noVBand="1" w:val="04A0"/>
      </w:tblPr>
      <w:tblGrid>
        <w:gridCol w:w="9461"/>
      </w:tblGrid>
      <w:tr>
        <w:tc>
          <w:tcPr>
            <w:tcW w:type="dxa" w:w="9461"/>
            <w:shd w:val="clear" w:fill="F2F4F7"/>
          </w:tcPr>
          <w:p>
            <w:pPr>
              <w:spacing w:after="60"/>
            </w:pPr>
            <w:r/>
            <w:r>
              <w:rPr>
                <w:b/>
                <w:color w:val="B33224"/>
                <w:sz w:val="21"/>
              </w:rPr>
              <w:t>In one minute</w:t>
            </w:r>
          </w:p>
          <w:p>
            <w:pPr>
              <w:spacing w:after="40"/>
            </w:pPr>
            <w:r>
              <w:rPr>
                <w:color w:val="16222F"/>
                <w:sz w:val="21"/>
              </w:rPr>
              <w:t>Google Meet already records a written transcript of our daily stand-up. Nobody reads it — it is one long document of everything everyone said. This proposal turns that transcript into a short, personal email for each person, sent automatically within 15 minutes of the meeting ending. It uses tools we already pay for, nothing joins our meetings, and setting it up takes about half a day of one person's time.</w:t>
            </w:r>
          </w:p>
        </w:tc>
      </w:tr>
    </w:tbl>
    <w:p>
      <w:pPr>
        <w:spacing w:after="80"/>
      </w:pPr>
    </w:p>
    <w:p>
      <w:pPr>
        <w:spacing w:after="40"/>
      </w:pPr>
      <w:r>
        <w:rPr>
          <w:b w:val="0"/>
          <w:i w:val="0"/>
          <w:color w:val="6F8296"/>
          <w:sz w:val="19"/>
        </w:rPr>
        <w:t>Prepared for management review · 31 August 2026</w:t>
      </w:r>
    </w:p>
    <w:p>
      <w:pPr>
        <w:spacing w:after="280"/>
      </w:pPr>
      <w:r>
        <w:rPr>
          <w:b w:val="0"/>
          <w:i/>
          <w:color w:val="6F8296"/>
          <w:sz w:val="19"/>
        </w:rPr>
        <w:t>Requires four decisions from you — see “What we need from you” on page 3.</w:t>
      </w:r>
    </w:p>
    <w:p>
      <w:pPr>
        <w:pStyle w:val="Heading2"/>
      </w:pPr>
      <w:r>
        <w:t>1. The problem today</w:t>
      </w:r>
    </w:p>
    <w:p>
      <w:pPr>
        <w:spacing w:after="120"/>
      </w:pPr>
      <w:r>
        <w:rPr>
          <w:b w:val="0"/>
          <w:i w:val="0"/>
          <w:color w:val="16222F"/>
          <w:sz w:val="21"/>
        </w:rPr>
        <w:t>Every stand-up produces a transcript. In practice it goes unread, because reading forty minutes of conversation to find the two lines that concern you is slower than just asking someone. Three things follow from that:</w:t>
      </w:r>
    </w:p>
    <w:p>
      <w:pPr>
        <w:pStyle w:val="ListBullet"/>
        <w:spacing w:after="60"/>
      </w:pPr>
      <w:r>
        <w:rPr>
          <w:b/>
          <w:color w:val="16222F"/>
          <w:sz w:val="21"/>
        </w:rPr>
        <w:t>Commitments get lost.</w:t>
      </w:r>
      <w:r>
        <w:rPr>
          <w:color w:val="16222F"/>
          <w:sz w:val="21"/>
        </w:rPr>
        <w:t xml:space="preserve"> Someone agrees to do something, and by Thursday nobody can remember who owns it or what date was said.</w:t>
      </w:r>
    </w:p>
    <w:p>
      <w:pPr>
        <w:pStyle w:val="ListBullet"/>
        <w:spacing w:after="60"/>
      </w:pPr>
      <w:r>
        <w:rPr>
          <w:b/>
          <w:color w:val="16222F"/>
          <w:sz w:val="21"/>
        </w:rPr>
        <w:t>People miss things said about their work</w:t>
      </w:r>
      <w:r>
        <w:rPr>
          <w:color w:val="16222F"/>
          <w:sz w:val="21"/>
        </w:rPr>
        <w:t xml:space="preserve"> while they were half-listening, or on a day they were not in the room.</w:t>
      </w:r>
    </w:p>
    <w:p>
      <w:pPr>
        <w:pStyle w:val="ListBullet"/>
        <w:spacing w:after="60"/>
      </w:pPr>
      <w:r>
        <w:rPr>
          <w:b/>
          <w:color w:val="16222F"/>
          <w:sz w:val="21"/>
        </w:rPr>
        <w:t>The same questions get asked twice,</w:t>
      </w:r>
      <w:r>
        <w:rPr>
          <w:color w:val="16222F"/>
          <w:sz w:val="21"/>
        </w:rPr>
        <w:t xml:space="preserve"> because the answer was given in a meeting and never written down anywhere findable.</w:t>
      </w:r>
    </w:p>
    <w:p>
      <w:pPr>
        <w:pStyle w:val="Heading2"/>
      </w:pPr>
      <w:r>
        <w:t>2. What we are proposing</w:t>
      </w:r>
    </w:p>
    <w:p>
      <w:pPr>
        <w:spacing w:after="120"/>
      </w:pPr>
      <w:r>
        <w:rPr>
          <w:b w:val="0"/>
          <w:i w:val="0"/>
          <w:color w:val="16222F"/>
          <w:sz w:val="21"/>
        </w:rPr>
        <w:t>Within 15 minutes of the stand-up ending, each person receives a short email containing only what concerns them. Not a summary of the meeting — a summary of their part in it.</w:t>
      </w:r>
    </w:p>
    <w:p>
      <w:pPr>
        <w:spacing w:after="200"/>
      </w:pPr>
      <w:r>
        <w:rPr>
          <w:b w:val="0"/>
          <w:i w:val="0"/>
          <w:color w:val="16222F"/>
          <w:sz w:val="21"/>
        </w:rPr>
        <w:t>Importantly, this is not a transcript of what each person said. People already know what they said. The useful content is mostly what OTHER people said about them, which is exactly what is impossible to find by skimming.</w:t>
      </w:r>
    </w:p>
    <w:p>
      <w:pPr>
        <w:pStyle w:val="Heading3"/>
      </w:pPr>
      <w:r>
        <w:t>What one person would receive</w:t>
      </w:r>
    </w:p>
    <w:tbl>
      <w:tblPr>
        <w:tblW w:type="auto" w:w="0"/>
        <w:tblLook w:firstColumn="1" w:firstRow="1" w:lastColumn="0" w:lastRow="0" w:noHBand="0" w:noVBand="1" w:val="04A0"/>
      </w:tblPr>
      <w:tblGrid>
        <w:gridCol w:w="9461"/>
      </w:tblGrid>
      <w:tr>
        <w:tc>
          <w:tcPr>
            <w:tcW w:type="dxa" w:w="9461"/>
            <w:shd w:val="clear" w:fill="FFFFFF"/>
          </w:tcPr>
          <w:p>
            <w:r/>
          </w:p>
          <w:p>
            <w:pPr>
              <w:spacing w:after="120"/>
              <w:ind w:left="0"/>
            </w:pPr>
            <w:r>
              <w:rPr>
                <w:b/>
                <w:i w:val="0"/>
                <w:color w:val="3E5062"/>
                <w:sz w:val="20"/>
              </w:rPr>
              <w:t>Subject:  Your notes — 28 Aug, 9:30 am</w:t>
            </w:r>
          </w:p>
          <w:p>
            <w:pPr>
              <w:spacing w:after="160"/>
              <w:ind w:left="0"/>
            </w:pPr>
            <w:r>
              <w:rPr>
                <w:b w:val="0"/>
                <w:i w:val="0"/>
                <w:color w:val="16222F"/>
                <w:sz w:val="20"/>
              </w:rPr>
              <w:t>You agreed to two things and Ravi is waiting on one answer from you.</w:t>
            </w:r>
          </w:p>
          <w:p>
            <w:pPr>
              <w:spacing w:after="60"/>
              <w:ind w:left="0"/>
            </w:pPr>
            <w:r>
              <w:rPr>
                <w:b/>
                <w:i w:val="0"/>
                <w:color w:val="B33224"/>
                <w:sz w:val="18"/>
              </w:rPr>
              <w:t>YOUR COMMITMENTS</w:t>
            </w:r>
          </w:p>
          <w:p>
            <w:pPr>
              <w:spacing w:after="20"/>
              <w:ind w:left="173"/>
            </w:pPr>
            <w:r>
              <w:rPr>
                <w:b w:val="0"/>
                <w:i w:val="0"/>
                <w:color w:val="16222F"/>
                <w:sz w:val="20"/>
              </w:rPr>
              <w:t>•  Send the revised pricing sheet — due 29 August</w:t>
            </w:r>
          </w:p>
          <w:p>
            <w:pPr>
              <w:spacing w:after="120"/>
              <w:ind w:left="360"/>
            </w:pPr>
            <w:r>
              <w:rPr>
                <w:b w:val="0"/>
                <w:i/>
                <w:color w:val="6F8296"/>
                <w:sz w:val="18"/>
              </w:rPr>
              <w:t>“I'll get you the revised pricing sheet by tomorrow.”</w:t>
            </w:r>
          </w:p>
          <w:p>
            <w:pPr>
              <w:spacing w:after="60"/>
              <w:ind w:left="0"/>
            </w:pPr>
            <w:r>
              <w:rPr>
                <w:b/>
                <w:i w:val="0"/>
                <w:color w:val="B33224"/>
                <w:sz w:val="18"/>
              </w:rPr>
              <w:t>QUESTIONS WAITING ON YOU</w:t>
            </w:r>
          </w:p>
          <w:p>
            <w:pPr>
              <w:spacing w:after="120"/>
              <w:ind w:left="173"/>
            </w:pPr>
            <w:r>
              <w:rPr>
                <w:b w:val="0"/>
                <w:i w:val="0"/>
                <w:color w:val="16222F"/>
                <w:sz w:val="20"/>
              </w:rPr>
              <w:t>•  Ravi asked whether the Chennai demo moves to Friday. You did not answer.</w:t>
            </w:r>
          </w:p>
          <w:p>
            <w:pPr>
              <w:spacing w:after="60"/>
              <w:ind w:left="0"/>
            </w:pPr>
            <w:r>
              <w:rPr>
                <w:b/>
                <w:i w:val="0"/>
                <w:color w:val="B33224"/>
                <w:sz w:val="18"/>
              </w:rPr>
              <w:t>YOU WERE MENTIONED</w:t>
            </w:r>
          </w:p>
          <w:p>
            <w:pPr>
              <w:spacing w:after="120"/>
              <w:ind w:left="173"/>
            </w:pPr>
            <w:r>
              <w:rPr>
                <w:b w:val="0"/>
                <w:i w:val="0"/>
                <w:color w:val="16222F"/>
                <w:sz w:val="20"/>
              </w:rPr>
              <w:t>•  Priya: “Kingshuk has the client history on this, he should be on the call.”</w:t>
            </w:r>
          </w:p>
          <w:p>
            <w:pPr>
              <w:spacing w:after="60"/>
              <w:ind w:left="0"/>
            </w:pPr>
            <w:r>
              <w:rPr>
                <w:b/>
                <w:i w:val="0"/>
                <w:color w:val="B33224"/>
                <w:sz w:val="18"/>
              </w:rPr>
              <w:t>DECISIONS AFFECTING YOUR WORK</w:t>
            </w:r>
          </w:p>
          <w:p>
            <w:pPr>
              <w:spacing w:after="40"/>
              <w:ind w:left="173"/>
            </w:pPr>
            <w:r>
              <w:rPr>
                <w:b w:val="0"/>
                <w:i w:val="0"/>
                <w:color w:val="16222F"/>
                <w:sz w:val="20"/>
              </w:rPr>
              <w:t>•  The onboarding rewrite is paused until the September numbers are in.</w:t>
            </w:r>
          </w:p>
        </w:tc>
      </w:tr>
    </w:tbl>
    <w:p>
      <w:pPr>
        <w:spacing w:after="240"/>
      </w:pPr>
      <w:r>
        <w:rPr>
          <w:b w:val="0"/>
          <w:i/>
          <w:color w:val="6F8296"/>
          <w:sz w:val="18"/>
        </w:rPr>
        <w:t>An illustration, not a real meeting. Sections with nothing in them are left out, and a person with nothing relevant that day gets no email at all.</w:t>
      </w:r>
    </w:p>
    <w:p>
      <w:r>
        <w:br w:type="page"/>
      </w:r>
    </w:p>
    <w:p>
      <w:pPr>
        <w:pStyle w:val="Heading2"/>
      </w:pPr>
      <w:r>
        <w:t>3. How it works</w:t>
      </w:r>
    </w:p>
    <w:p>
      <w:pPr>
        <w:spacing w:after="160"/>
      </w:pPr>
      <w:r>
        <w:rPr>
          <w:b w:val="0"/>
          <w:i w:val="0"/>
          <w:color w:val="16222F"/>
          <w:sz w:val="21"/>
        </w:rPr>
        <w:t>Four steps, all automatic. There is nothing for anyone to click, during the meeting or after.</w:t>
      </w:r>
    </w:p>
    <w:tbl>
      <w:tblPr>
        <w:tblStyle w:val="TableGrid"/>
        <w:tblW w:type="auto" w:w="0"/>
        <w:tblLayout w:type="fixed"/>
        <w:tblLook w:firstColumn="1" w:firstRow="1" w:lastColumn="0" w:lastRow="0" w:noHBand="0" w:noVBand="1" w:val="04A0"/>
      </w:tblPr>
      <w:tblGrid>
        <w:gridCol w:w="3154"/>
        <w:gridCol w:w="3154"/>
        <w:gridCol w:w="3154"/>
      </w:tblGrid>
      <w:tr>
        <w:tc>
          <w:tcPr>
            <w:tcW w:type="dxa" w:w="504"/>
            <w:shd w:val="clear" w:fill="3E5062"/>
            <w:vAlign w:val="center"/>
          </w:tcPr>
          <w:p>
            <w:pPr>
              <w:spacing w:after="40"/>
            </w:pPr>
            <w:r/>
            <w:r>
              <w:rPr>
                <w:b/>
                <w:color w:val="FFFFFF"/>
                <w:sz w:val="19"/>
              </w:rPr>
            </w:r>
          </w:p>
        </w:tc>
        <w:tc>
          <w:tcPr>
            <w:tcW w:type="dxa" w:w="6192"/>
            <w:shd w:val="clear" w:fill="3E5062"/>
            <w:vAlign w:val="center"/>
          </w:tcPr>
          <w:p>
            <w:pPr>
              <w:spacing w:after="40"/>
            </w:pPr>
            <w:r/>
            <w:r>
              <w:rPr>
                <w:b/>
                <w:color w:val="FFFFFF"/>
                <w:sz w:val="19"/>
              </w:rPr>
              <w:t>What happens</w:t>
            </w:r>
          </w:p>
        </w:tc>
        <w:tc>
          <w:tcPr>
            <w:tcW w:type="dxa" w:w="2765"/>
            <w:shd w:val="clear" w:fill="3E5062"/>
            <w:vAlign w:val="center"/>
          </w:tcPr>
          <w:p>
            <w:pPr>
              <w:spacing w:after="40"/>
            </w:pPr>
            <w:r/>
            <w:r>
              <w:rPr>
                <w:b/>
                <w:color w:val="FFFFFF"/>
                <w:sz w:val="19"/>
              </w:rPr>
              <w:t>Who does it</w:t>
            </w:r>
          </w:p>
        </w:tc>
      </w:tr>
      <w:tr>
        <w:tc>
          <w:tcPr>
            <w:tcW w:type="dxa" w:w="504"/>
            <w:vAlign w:val="top"/>
          </w:tcPr>
          <w:p>
            <w:pPr>
              <w:spacing w:after="40"/>
            </w:pPr>
            <w:r/>
            <w:r>
              <w:rPr>
                <w:b/>
                <w:color w:val="16222F"/>
                <w:sz w:val="19"/>
              </w:rPr>
              <w:t>1</w:t>
            </w:r>
          </w:p>
        </w:tc>
        <w:tc>
          <w:tcPr>
            <w:tcW w:type="dxa" w:w="6192"/>
            <w:vAlign w:val="top"/>
          </w:tcPr>
          <w:p>
            <w:pPr>
              <w:spacing w:after="40"/>
            </w:pPr>
            <w:r/>
            <w:r>
              <w:rPr>
                <w:color w:val="16222F"/>
                <w:sz w:val="19"/>
              </w:rPr>
              <w:t>The stand-up runs as normal. Google Meet writes its transcript, as it already does today.</w:t>
            </w:r>
          </w:p>
        </w:tc>
        <w:tc>
          <w:tcPr>
            <w:tcW w:type="dxa" w:w="2765"/>
            <w:vAlign w:val="top"/>
          </w:tcPr>
          <w:p>
            <w:pPr>
              <w:spacing w:after="40"/>
            </w:pPr>
            <w:r/>
            <w:r>
              <w:rPr>
                <w:color w:val="16222F"/>
                <w:sz w:val="19"/>
              </w:rPr>
              <w:t>Nobody — automatic</w:t>
            </w:r>
          </w:p>
        </w:tc>
      </w:tr>
      <w:tr>
        <w:tc>
          <w:tcPr>
            <w:tcW w:type="dxa" w:w="504"/>
            <w:vAlign w:val="top"/>
          </w:tcPr>
          <w:p>
            <w:pPr>
              <w:spacing w:after="40"/>
            </w:pPr>
            <w:r/>
            <w:r>
              <w:rPr>
                <w:b/>
                <w:color w:val="16222F"/>
                <w:sz w:val="19"/>
              </w:rPr>
              <w:t>2</w:t>
            </w:r>
          </w:p>
        </w:tc>
        <w:tc>
          <w:tcPr>
            <w:tcW w:type="dxa" w:w="6192"/>
            <w:vAlign w:val="top"/>
          </w:tcPr>
          <w:p>
            <w:pPr>
              <w:spacing w:after="40"/>
            </w:pPr>
            <w:r/>
            <w:r>
              <w:rPr>
                <w:color w:val="16222F"/>
                <w:sz w:val="19"/>
              </w:rPr>
              <w:t>A small program checks every 15 minutes whether a new stand-up has finished. It runs on Google's servers, not on anyone's laptop.</w:t>
            </w:r>
          </w:p>
        </w:tc>
        <w:tc>
          <w:tcPr>
            <w:tcW w:type="dxa" w:w="2765"/>
            <w:vAlign w:val="top"/>
          </w:tcPr>
          <w:p>
            <w:pPr>
              <w:spacing w:after="40"/>
            </w:pPr>
            <w:r/>
            <w:r>
              <w:rPr>
                <w:color w:val="16222F"/>
                <w:sz w:val="19"/>
              </w:rPr>
              <w:t>Nobody — automatic</w:t>
            </w:r>
          </w:p>
        </w:tc>
      </w:tr>
      <w:tr>
        <w:tc>
          <w:tcPr>
            <w:tcW w:type="dxa" w:w="504"/>
            <w:vAlign w:val="top"/>
          </w:tcPr>
          <w:p>
            <w:pPr>
              <w:spacing w:after="40"/>
            </w:pPr>
            <w:r/>
            <w:r>
              <w:rPr>
                <w:b/>
                <w:color w:val="16222F"/>
                <w:sz w:val="19"/>
              </w:rPr>
              <w:t>3</w:t>
            </w:r>
          </w:p>
        </w:tc>
        <w:tc>
          <w:tcPr>
            <w:tcW w:type="dxa" w:w="6192"/>
            <w:vAlign w:val="top"/>
          </w:tcPr>
          <w:p>
            <w:pPr>
              <w:spacing w:after="40"/>
            </w:pPr>
            <w:r/>
            <w:r>
              <w:rPr>
                <w:color w:val="16222F"/>
                <w:sz w:val="19"/>
              </w:rPr>
              <w:t>The transcript is read by Google's Gemini AI, which sorts the conversation into what matters for each named person.</w:t>
            </w:r>
          </w:p>
        </w:tc>
        <w:tc>
          <w:tcPr>
            <w:tcW w:type="dxa" w:w="2765"/>
            <w:vAlign w:val="top"/>
          </w:tcPr>
          <w:p>
            <w:pPr>
              <w:spacing w:after="40"/>
            </w:pPr>
            <w:r/>
            <w:r>
              <w:rPr>
                <w:color w:val="16222F"/>
                <w:sz w:val="19"/>
              </w:rPr>
              <w:t>Nobody — automatic</w:t>
            </w:r>
          </w:p>
        </w:tc>
      </w:tr>
      <w:tr>
        <w:tc>
          <w:tcPr>
            <w:tcW w:type="dxa" w:w="504"/>
            <w:vAlign w:val="top"/>
          </w:tcPr>
          <w:p>
            <w:pPr>
              <w:spacing w:after="40"/>
            </w:pPr>
            <w:r/>
            <w:r>
              <w:rPr>
                <w:b/>
                <w:color w:val="16222F"/>
                <w:sz w:val="19"/>
              </w:rPr>
              <w:t>4</w:t>
            </w:r>
          </w:p>
        </w:tc>
        <w:tc>
          <w:tcPr>
            <w:tcW w:type="dxa" w:w="6192"/>
            <w:vAlign w:val="top"/>
          </w:tcPr>
          <w:p>
            <w:pPr>
              <w:spacing w:after="40"/>
            </w:pPr>
            <w:r/>
            <w:r>
              <w:rPr>
                <w:color w:val="16222F"/>
                <w:sz w:val="19"/>
              </w:rPr>
              <w:t>Each person gets their own email, sent from our own Google account.</w:t>
            </w:r>
          </w:p>
        </w:tc>
        <w:tc>
          <w:tcPr>
            <w:tcW w:type="dxa" w:w="2765"/>
            <w:vAlign w:val="top"/>
          </w:tcPr>
          <w:p>
            <w:pPr>
              <w:spacing w:after="40"/>
            </w:pPr>
            <w:r/>
            <w:r>
              <w:rPr>
                <w:color w:val="16222F"/>
                <w:sz w:val="19"/>
              </w:rPr>
              <w:t>Nobody — automatic</w:t>
            </w:r>
          </w:p>
        </w:tc>
      </w:tr>
    </w:tbl>
    <w:p>
      <w:pPr>
        <w:spacing w:after="120"/>
      </w:pPr>
      <w:r>
        <w:rPr>
          <w:b w:val="0"/>
          <w:i w:val="0"/>
          <w:color w:val="16222F"/>
          <w:sz w:val="21"/>
        </w:rPr>
      </w:r>
    </w:p>
    <w:tbl>
      <w:tblPr>
        <w:tblW w:type="auto" w:w="0"/>
        <w:tblLayout w:type="fixed"/>
        <w:tblLook w:firstColumn="1" w:firstRow="1" w:lastColumn="0" w:lastRow="0" w:noHBand="0" w:noVBand="1" w:val="04A0"/>
      </w:tblPr>
      <w:tblGrid>
        <w:gridCol w:w="9461"/>
      </w:tblGrid>
      <w:tr>
        <w:tc>
          <w:tcPr>
            <w:tcW w:type="dxa" w:w="9461"/>
            <w:shd w:val="clear" w:fill="F2F4F7"/>
          </w:tcPr>
          <w:p>
            <w:pPr>
              <w:spacing w:after="60"/>
            </w:pPr>
            <w:r/>
            <w:r>
              <w:rPr>
                <w:b/>
                <w:color w:val="3E5062"/>
                <w:sz w:val="21"/>
              </w:rPr>
              <w:t>Nothing joins our meetings</w:t>
            </w:r>
          </w:p>
          <w:p>
            <w:pPr>
              <w:spacing w:after="40"/>
            </w:pPr>
            <w:r>
              <w:rPr>
                <w:color w:val="16222F"/>
                <w:sz w:val="21"/>
              </w:rPr>
              <w:t>This is the question most people ask first. No bot appears in the call, no recording assistant, no new app, and nobody sees anything different during the stand-up. The program simply reads the transcript Google has already written, afterwards.</w:t>
            </w:r>
          </w:p>
        </w:tc>
      </w:tr>
    </w:tbl>
    <w:p>
      <w:pPr>
        <w:spacing w:after="80"/>
      </w:pPr>
    </w:p>
    <w:p>
      <w:pPr>
        <w:pStyle w:val="Heading2"/>
      </w:pPr>
      <w:r>
        <w:t>4. What we need from you</w:t>
      </w:r>
    </w:p>
    <w:p>
      <w:pPr>
        <w:spacing w:after="160"/>
      </w:pPr>
      <w:r>
        <w:rPr>
          <w:b w:val="0"/>
          <w:i w:val="0"/>
          <w:color w:val="16222F"/>
          <w:sz w:val="21"/>
        </w:rPr>
        <w:t>Four decisions. The first two need someone with Google Workspace administrator access; we cannot proceed without them.</w:t>
      </w:r>
    </w:p>
    <w:tbl>
      <w:tblPr>
        <w:tblStyle w:val="TableGrid"/>
        <w:tblW w:type="auto" w:w="0"/>
        <w:tblLayout w:type="fixed"/>
        <w:tblLook w:firstColumn="1" w:firstRow="1" w:lastColumn="0" w:lastRow="0" w:noHBand="0" w:noVBand="1" w:val="04A0"/>
      </w:tblPr>
      <w:tblGrid>
        <w:gridCol w:w="3154"/>
        <w:gridCol w:w="3154"/>
        <w:gridCol w:w="3154"/>
      </w:tblGrid>
      <w:tr>
        <w:tc>
          <w:tcPr>
            <w:tcW w:type="dxa" w:w="2520"/>
            <w:shd w:val="clear" w:fill="3E5062"/>
            <w:vAlign w:val="center"/>
          </w:tcPr>
          <w:p>
            <w:pPr>
              <w:spacing w:after="40"/>
            </w:pPr>
            <w:r/>
            <w:r>
              <w:rPr>
                <w:b/>
                <w:color w:val="FFFFFF"/>
                <w:sz w:val="19"/>
              </w:rPr>
              <w:t>Decision</w:t>
            </w:r>
          </w:p>
        </w:tc>
        <w:tc>
          <w:tcPr>
            <w:tcW w:type="dxa" w:w="4968"/>
            <w:shd w:val="clear" w:fill="3E5062"/>
            <w:vAlign w:val="center"/>
          </w:tcPr>
          <w:p>
            <w:pPr>
              <w:spacing w:after="40"/>
            </w:pPr>
            <w:r/>
            <w:r>
              <w:rPr>
                <w:b/>
                <w:color w:val="FFFFFF"/>
                <w:sz w:val="19"/>
              </w:rPr>
              <w:t>Why it is needed</w:t>
            </w:r>
          </w:p>
        </w:tc>
        <w:tc>
          <w:tcPr>
            <w:tcW w:type="dxa" w:w="1973"/>
            <w:shd w:val="clear" w:fill="3E5062"/>
            <w:vAlign w:val="center"/>
          </w:tcPr>
          <w:p>
            <w:pPr>
              <w:spacing w:after="40"/>
            </w:pPr>
            <w:r/>
            <w:r>
              <w:rPr>
                <w:b/>
                <w:color w:val="FFFFFF"/>
                <w:sz w:val="19"/>
              </w:rPr>
              <w:t>Effort</w:t>
            </w:r>
          </w:p>
        </w:tc>
      </w:tr>
      <w:tr>
        <w:tc>
          <w:tcPr>
            <w:tcW w:type="dxa" w:w="2520"/>
            <w:vAlign w:val="top"/>
          </w:tcPr>
          <w:p>
            <w:pPr>
              <w:spacing w:after="40"/>
            </w:pPr>
            <w:r/>
            <w:r>
              <w:rPr>
                <w:b/>
                <w:color w:val="16222F"/>
                <w:sz w:val="19"/>
              </w:rPr>
              <w:t>Turn on automatic transcription</w:t>
              <w:br/>
              <w:t>for our organisation</w:t>
            </w:r>
          </w:p>
        </w:tc>
        <w:tc>
          <w:tcPr>
            <w:tcW w:type="dxa" w:w="4968"/>
            <w:vAlign w:val="top"/>
          </w:tcPr>
          <w:p>
            <w:pPr>
              <w:spacing w:after="40"/>
            </w:pPr>
            <w:r/>
            <w:r>
              <w:rPr>
                <w:color w:val="16222F"/>
                <w:sz w:val="19"/>
              </w:rPr>
              <w:t>Today someone has to remember to press “Start transcript” every morning. If they forget, there is no transcript and no emails that day. A setting in the Google admin console makes it start by itself.</w:t>
            </w:r>
          </w:p>
        </w:tc>
        <w:tc>
          <w:tcPr>
            <w:tcW w:type="dxa" w:w="1973"/>
            <w:vAlign w:val="top"/>
          </w:tcPr>
          <w:p>
            <w:pPr>
              <w:spacing w:after="40"/>
            </w:pPr>
            <w:r/>
            <w:r>
              <w:rPr>
                <w:color w:val="16222F"/>
                <w:sz w:val="19"/>
              </w:rPr>
              <w:t>5 minutes,</w:t>
              <w:br/>
              <w:t>administrator</w:t>
            </w:r>
          </w:p>
        </w:tc>
      </w:tr>
      <w:tr>
        <w:tc>
          <w:tcPr>
            <w:tcW w:type="dxa" w:w="2520"/>
            <w:vAlign w:val="top"/>
          </w:tcPr>
          <w:p>
            <w:pPr>
              <w:spacing w:after="40"/>
            </w:pPr>
            <w:r/>
            <w:r>
              <w:rPr>
                <w:b/>
                <w:color w:val="16222F"/>
                <w:sz w:val="19"/>
              </w:rPr>
              <w:t>Approve recreating the daily</w:t>
              <w:br/>
              <w:t>stand-up calendar invite</w:t>
            </w:r>
          </w:p>
        </w:tc>
        <w:tc>
          <w:tcPr>
            <w:tcW w:type="dxa" w:w="4968"/>
            <w:vAlign w:val="top"/>
          </w:tcPr>
          <w:p>
            <w:pPr>
              <w:spacing w:after="40"/>
            </w:pPr>
            <w:r/>
            <w:r>
              <w:rPr>
                <w:color w:val="16222F"/>
                <w:sz w:val="19"/>
              </w:rPr>
              <w:t>Google's automatic-transcription setting does not apply to recurring meetings created before it was switched on. Ours was. The invite has to be deleted and recreated once, or the setting silently does nothing.</w:t>
            </w:r>
          </w:p>
        </w:tc>
        <w:tc>
          <w:tcPr>
            <w:tcW w:type="dxa" w:w="1973"/>
            <w:vAlign w:val="top"/>
          </w:tcPr>
          <w:p>
            <w:pPr>
              <w:spacing w:after="40"/>
            </w:pPr>
            <w:r/>
            <w:r>
              <w:rPr>
                <w:color w:val="16222F"/>
                <w:sz w:val="19"/>
              </w:rPr>
              <w:t>5 minutes,</w:t>
              <w:br/>
              <w:t>meeting owner</w:t>
            </w:r>
          </w:p>
        </w:tc>
      </w:tr>
      <w:tr>
        <w:tc>
          <w:tcPr>
            <w:tcW w:type="dxa" w:w="2520"/>
            <w:vAlign w:val="top"/>
          </w:tcPr>
          <w:p>
            <w:pPr>
              <w:spacing w:after="40"/>
            </w:pPr>
            <w:r/>
            <w:r>
              <w:rPr>
                <w:b/>
                <w:color w:val="16222F"/>
                <w:sz w:val="19"/>
              </w:rPr>
              <w:t>Approve a small Google Cloud</w:t>
              <w:br/>
              <w:t>billing account</w:t>
            </w:r>
          </w:p>
        </w:tc>
        <w:tc>
          <w:tcPr>
            <w:tcW w:type="dxa" w:w="4968"/>
            <w:vAlign w:val="top"/>
          </w:tcPr>
          <w:p>
            <w:pPr>
              <w:spacing w:after="40"/>
            </w:pPr>
            <w:r/>
            <w:r>
              <w:rPr>
                <w:color w:val="16222F"/>
                <w:sz w:val="19"/>
              </w:rPr>
              <w:t>Roughly ₹100–200 per month. This is not about the cost — see section 6. It is what keeps our meeting content out of Google's model training.</w:t>
            </w:r>
          </w:p>
        </w:tc>
        <w:tc>
          <w:tcPr>
            <w:tcW w:type="dxa" w:w="1973"/>
            <w:vAlign w:val="top"/>
          </w:tcPr>
          <w:p>
            <w:pPr>
              <w:spacing w:after="40"/>
            </w:pPr>
            <w:r/>
            <w:r>
              <w:rPr>
                <w:color w:val="16222F"/>
                <w:sz w:val="19"/>
              </w:rPr>
              <w:t>15 minutes,</w:t>
              <w:br/>
              <w:t>finance approval</w:t>
            </w:r>
          </w:p>
        </w:tc>
      </w:tr>
      <w:tr>
        <w:tc>
          <w:tcPr>
            <w:tcW w:type="dxa" w:w="2520"/>
            <w:vAlign w:val="top"/>
          </w:tcPr>
          <w:p>
            <w:pPr>
              <w:spacing w:after="40"/>
            </w:pPr>
            <w:r/>
            <w:r>
              <w:rPr>
                <w:b/>
                <w:color w:val="16222F"/>
                <w:sz w:val="19"/>
              </w:rPr>
              <w:t>Approve telling the team,</w:t>
              <w:br/>
              <w:t>and a start date</w:t>
            </w:r>
          </w:p>
        </w:tc>
        <w:tc>
          <w:tcPr>
            <w:tcW w:type="dxa" w:w="4968"/>
            <w:vAlign w:val="top"/>
          </w:tcPr>
          <w:p>
            <w:pPr>
              <w:spacing w:after="40"/>
            </w:pPr>
            <w:r/>
            <w:r>
              <w:rPr>
                <w:color w:val="16222F"/>
                <w:sz w:val="19"/>
              </w:rPr>
              <w:t>Everyone should hear about this at a stand-up before the first email arrives. An email quoting a colleague, arriving unannounced, feels like monitoring even when it is helpful.</w:t>
            </w:r>
          </w:p>
        </w:tc>
        <w:tc>
          <w:tcPr>
            <w:tcW w:type="dxa" w:w="1973"/>
            <w:vAlign w:val="top"/>
          </w:tcPr>
          <w:p>
            <w:pPr>
              <w:spacing w:after="40"/>
            </w:pPr>
            <w:r/>
            <w:r>
              <w:rPr>
                <w:color w:val="16222F"/>
                <w:sz w:val="19"/>
              </w:rPr>
              <w:t>One stand-up</w:t>
            </w:r>
          </w:p>
        </w:tc>
      </w:tr>
    </w:tbl>
    <w:p>
      <w:r>
        <w:br w:type="page"/>
      </w:r>
    </w:p>
    <w:p>
      <w:pPr>
        <w:pStyle w:val="Heading2"/>
      </w:pPr>
      <w:r>
        <w:t>5. Step-by-step procedure</w:t>
      </w:r>
    </w:p>
    <w:p>
      <w:pPr>
        <w:spacing w:after="180"/>
      </w:pPr>
      <w:r>
        <w:rPr>
          <w:b w:val="0"/>
          <w:i w:val="0"/>
          <w:color w:val="16222F"/>
          <w:sz w:val="21"/>
        </w:rPr>
        <w:t>Twelve steps in four stages. Stage A is the part that needs you; the rest is technical setup and does not need management involvement beyond the go-live decision in stage D.</w:t>
      </w:r>
    </w:p>
    <w:p>
      <w:pPr>
        <w:pStyle w:val="Heading3"/>
      </w:pPr>
      <w:r>
        <w:t>Stage A — Permissions and settings  (day 1, about 30 minutes)</w:t>
      </w:r>
    </w:p>
    <w:tbl>
      <w:tblPr>
        <w:tblStyle w:val="TableGrid"/>
        <w:tblW w:type="auto" w:w="0"/>
        <w:tblLayout w:type="fixed"/>
        <w:tblLook w:firstColumn="1" w:firstRow="1" w:lastColumn="0" w:lastRow="0" w:noHBand="0" w:noVBand="1" w:val="04A0"/>
      </w:tblPr>
      <w:tblGrid>
        <w:gridCol w:w="2365"/>
        <w:gridCol w:w="2365"/>
        <w:gridCol w:w="2365"/>
        <w:gridCol w:w="2365"/>
      </w:tblGrid>
      <w:tr>
        <w:tc>
          <w:tcPr>
            <w:tcW w:type="dxa" w:w="605"/>
            <w:shd w:val="clear" w:fill="3E5062"/>
            <w:vAlign w:val="center"/>
          </w:tcPr>
          <w:p>
            <w:pPr>
              <w:spacing w:after="40"/>
            </w:pPr>
            <w:r/>
            <w:r>
              <w:rPr>
                <w:b/>
                <w:color w:val="FFFFFF"/>
                <w:sz w:val="19"/>
              </w:rPr>
              <w:t>Step</w:t>
            </w:r>
          </w:p>
        </w:tc>
        <w:tc>
          <w:tcPr>
            <w:tcW w:type="dxa" w:w="6120"/>
            <w:shd w:val="clear" w:fill="3E5062"/>
            <w:vAlign w:val="center"/>
          </w:tcPr>
          <w:p>
            <w:pPr>
              <w:spacing w:after="40"/>
            </w:pPr>
            <w:r/>
            <w:r>
              <w:rPr>
                <w:b/>
                <w:color w:val="FFFFFF"/>
                <w:sz w:val="19"/>
              </w:rPr>
              <w:t>What happens</w:t>
            </w:r>
          </w:p>
        </w:tc>
        <w:tc>
          <w:tcPr>
            <w:tcW w:type="dxa" w:w="1944"/>
            <w:shd w:val="clear" w:fill="3E5062"/>
            <w:vAlign w:val="center"/>
          </w:tcPr>
          <w:p>
            <w:pPr>
              <w:spacing w:after="40"/>
            </w:pPr>
            <w:r/>
            <w:r>
              <w:rPr>
                <w:b/>
                <w:color w:val="FFFFFF"/>
                <w:sz w:val="19"/>
              </w:rPr>
              <w:t>Who</w:t>
            </w:r>
          </w:p>
        </w:tc>
        <w:tc>
          <w:tcPr>
            <w:tcW w:type="dxa" w:w="792"/>
            <w:shd w:val="clear" w:fill="3E5062"/>
            <w:vAlign w:val="center"/>
          </w:tcPr>
          <w:p>
            <w:pPr>
              <w:spacing w:after="40"/>
            </w:pPr>
            <w:r/>
            <w:r>
              <w:rPr>
                <w:b/>
                <w:color w:val="FFFFFF"/>
                <w:sz w:val="19"/>
              </w:rPr>
              <w:t>Time</w:t>
            </w:r>
          </w:p>
        </w:tc>
      </w:tr>
      <w:tr>
        <w:tc>
          <w:tcPr>
            <w:tcW w:type="dxa" w:w="605"/>
            <w:vAlign w:val="top"/>
          </w:tcPr>
          <w:p>
            <w:pPr>
              <w:spacing w:after="40"/>
            </w:pPr>
            <w:r/>
            <w:r>
              <w:rPr>
                <w:b/>
                <w:color w:val="16222F"/>
                <w:sz w:val="18"/>
              </w:rPr>
              <w:t>1</w:t>
            </w:r>
          </w:p>
        </w:tc>
        <w:tc>
          <w:tcPr>
            <w:tcW w:type="dxa" w:w="6120"/>
            <w:vAlign w:val="top"/>
          </w:tcPr>
          <w:p>
            <w:pPr>
              <w:spacing w:after="40"/>
            </w:pPr>
            <w:r/>
            <w:r>
              <w:rPr>
                <w:color w:val="16222F"/>
                <w:sz w:val="18"/>
              </w:rPr>
              <w:t>Confirm our Google Workspace plan includes automatic transcription (Business Plus or higher). If we are on Business Standard, transcripts still work but someone must press the button each morning.</w:t>
            </w:r>
          </w:p>
        </w:tc>
        <w:tc>
          <w:tcPr>
            <w:tcW w:type="dxa" w:w="1944"/>
            <w:vAlign w:val="top"/>
          </w:tcPr>
          <w:p>
            <w:pPr>
              <w:spacing w:after="40"/>
            </w:pPr>
            <w:r/>
            <w:r>
              <w:rPr>
                <w:color w:val="16222F"/>
                <w:sz w:val="18"/>
              </w:rPr>
              <w:t>Administrator</w:t>
            </w:r>
          </w:p>
        </w:tc>
        <w:tc>
          <w:tcPr>
            <w:tcW w:type="dxa" w:w="792"/>
            <w:vAlign w:val="top"/>
          </w:tcPr>
          <w:p>
            <w:pPr>
              <w:spacing w:after="40"/>
            </w:pPr>
            <w:r/>
            <w:r>
              <w:rPr>
                <w:color w:val="16222F"/>
                <w:sz w:val="18"/>
              </w:rPr>
              <w:t>5 min</w:t>
            </w:r>
          </w:p>
        </w:tc>
      </w:tr>
      <w:tr>
        <w:tc>
          <w:tcPr>
            <w:tcW w:type="dxa" w:w="605"/>
            <w:vAlign w:val="top"/>
          </w:tcPr>
          <w:p>
            <w:pPr>
              <w:spacing w:after="40"/>
            </w:pPr>
            <w:r/>
            <w:r>
              <w:rPr>
                <w:b/>
                <w:color w:val="16222F"/>
                <w:sz w:val="18"/>
              </w:rPr>
              <w:t>2</w:t>
            </w:r>
          </w:p>
        </w:tc>
        <w:tc>
          <w:tcPr>
            <w:tcW w:type="dxa" w:w="6120"/>
            <w:vAlign w:val="top"/>
          </w:tcPr>
          <w:p>
            <w:pPr>
              <w:spacing w:after="40"/>
            </w:pPr>
            <w:r/>
            <w:r>
              <w:rPr>
                <w:color w:val="16222F"/>
                <w:sz w:val="18"/>
              </w:rPr>
              <w:t>Switch on automatic transcription in the Google admin console for our team.</w:t>
            </w:r>
          </w:p>
        </w:tc>
        <w:tc>
          <w:tcPr>
            <w:tcW w:type="dxa" w:w="1944"/>
            <w:vAlign w:val="top"/>
          </w:tcPr>
          <w:p>
            <w:pPr>
              <w:spacing w:after="40"/>
            </w:pPr>
            <w:r/>
            <w:r>
              <w:rPr>
                <w:color w:val="16222F"/>
                <w:sz w:val="18"/>
              </w:rPr>
              <w:t>Administrator</w:t>
            </w:r>
          </w:p>
        </w:tc>
        <w:tc>
          <w:tcPr>
            <w:tcW w:type="dxa" w:w="792"/>
            <w:vAlign w:val="top"/>
          </w:tcPr>
          <w:p>
            <w:pPr>
              <w:spacing w:after="40"/>
            </w:pPr>
            <w:r/>
            <w:r>
              <w:rPr>
                <w:color w:val="16222F"/>
                <w:sz w:val="18"/>
              </w:rPr>
              <w:t>5 min</w:t>
            </w:r>
          </w:p>
        </w:tc>
      </w:tr>
      <w:tr>
        <w:tc>
          <w:tcPr>
            <w:tcW w:type="dxa" w:w="605"/>
            <w:vAlign w:val="top"/>
          </w:tcPr>
          <w:p>
            <w:pPr>
              <w:spacing w:after="40"/>
            </w:pPr>
            <w:r/>
            <w:r>
              <w:rPr>
                <w:b/>
                <w:color w:val="16222F"/>
                <w:sz w:val="18"/>
              </w:rPr>
              <w:t>3</w:t>
            </w:r>
          </w:p>
        </w:tc>
        <w:tc>
          <w:tcPr>
            <w:tcW w:type="dxa" w:w="6120"/>
            <w:vAlign w:val="top"/>
          </w:tcPr>
          <w:p>
            <w:pPr>
              <w:spacing w:after="40"/>
            </w:pPr>
            <w:r/>
            <w:r>
              <w:rPr>
                <w:color w:val="16222F"/>
                <w:sz w:val="18"/>
              </w:rPr>
              <w:t>Delete and recreate the daily stand-up calendar invite, so the new setting applies to it. Same time, same people.</w:t>
            </w:r>
          </w:p>
        </w:tc>
        <w:tc>
          <w:tcPr>
            <w:tcW w:type="dxa" w:w="1944"/>
            <w:vAlign w:val="top"/>
          </w:tcPr>
          <w:p>
            <w:pPr>
              <w:spacing w:after="40"/>
            </w:pPr>
            <w:r/>
            <w:r>
              <w:rPr>
                <w:color w:val="16222F"/>
                <w:sz w:val="18"/>
              </w:rPr>
              <w:t>Meeting owner</w:t>
            </w:r>
          </w:p>
        </w:tc>
        <w:tc>
          <w:tcPr>
            <w:tcW w:type="dxa" w:w="792"/>
            <w:vAlign w:val="top"/>
          </w:tcPr>
          <w:p>
            <w:pPr>
              <w:spacing w:after="40"/>
            </w:pPr>
            <w:r/>
            <w:r>
              <w:rPr>
                <w:color w:val="16222F"/>
                <w:sz w:val="18"/>
              </w:rPr>
              <w:t>5 min</w:t>
            </w:r>
          </w:p>
        </w:tc>
      </w:tr>
      <w:tr>
        <w:tc>
          <w:tcPr>
            <w:tcW w:type="dxa" w:w="605"/>
            <w:vAlign w:val="top"/>
          </w:tcPr>
          <w:p>
            <w:pPr>
              <w:spacing w:after="40"/>
            </w:pPr>
            <w:r/>
            <w:r>
              <w:rPr>
                <w:b/>
                <w:color w:val="16222F"/>
                <w:sz w:val="18"/>
              </w:rPr>
              <w:t>4</w:t>
            </w:r>
          </w:p>
        </w:tc>
        <w:tc>
          <w:tcPr>
            <w:tcW w:type="dxa" w:w="6120"/>
            <w:vAlign w:val="top"/>
          </w:tcPr>
          <w:p>
            <w:pPr>
              <w:spacing w:after="40"/>
            </w:pPr>
            <w:r/>
            <w:r>
              <w:rPr>
                <w:color w:val="16222F"/>
                <w:sz w:val="18"/>
              </w:rPr>
              <w:t>Run one ordinary stand-up and confirm a transcript appears afterwards. Nothing else can be tested until this works.</w:t>
            </w:r>
          </w:p>
        </w:tc>
        <w:tc>
          <w:tcPr>
            <w:tcW w:type="dxa" w:w="1944"/>
            <w:vAlign w:val="top"/>
          </w:tcPr>
          <w:p>
            <w:pPr>
              <w:spacing w:after="40"/>
            </w:pPr>
            <w:r/>
            <w:r>
              <w:rPr>
                <w:color w:val="16222F"/>
                <w:sz w:val="18"/>
              </w:rPr>
              <w:t>Meeting owner</w:t>
            </w:r>
          </w:p>
        </w:tc>
        <w:tc>
          <w:tcPr>
            <w:tcW w:type="dxa" w:w="792"/>
            <w:vAlign w:val="top"/>
          </w:tcPr>
          <w:p>
            <w:pPr>
              <w:spacing w:after="40"/>
            </w:pPr>
            <w:r/>
            <w:r>
              <w:rPr>
                <w:color w:val="16222F"/>
                <w:sz w:val="18"/>
              </w:rPr>
              <w:t>1 day</w:t>
            </w:r>
          </w:p>
        </w:tc>
      </w:tr>
    </w:tbl>
    <w:p>
      <w:pPr>
        <w:pStyle w:val="Heading3"/>
      </w:pPr>
      <w:r>
        <w:t>Stage B — Technical setup  (day 2, about half a day)</w:t>
      </w:r>
    </w:p>
    <w:tbl>
      <w:tblPr>
        <w:tblStyle w:val="TableGrid"/>
        <w:tblW w:type="auto" w:w="0"/>
        <w:tblLayout w:type="fixed"/>
        <w:tblLook w:firstColumn="1" w:firstRow="1" w:lastColumn="0" w:lastRow="0" w:noHBand="0" w:noVBand="1" w:val="04A0"/>
      </w:tblPr>
      <w:tblGrid>
        <w:gridCol w:w="2365"/>
        <w:gridCol w:w="2365"/>
        <w:gridCol w:w="2365"/>
        <w:gridCol w:w="2365"/>
      </w:tblGrid>
      <w:tr>
        <w:tc>
          <w:tcPr>
            <w:tcW w:type="dxa" w:w="605"/>
            <w:shd w:val="clear" w:fill="3E5062"/>
            <w:vAlign w:val="center"/>
          </w:tcPr>
          <w:p>
            <w:pPr>
              <w:spacing w:after="40"/>
            </w:pPr>
            <w:r/>
            <w:r>
              <w:rPr>
                <w:b/>
                <w:color w:val="FFFFFF"/>
                <w:sz w:val="19"/>
              </w:rPr>
              <w:t>Step</w:t>
            </w:r>
          </w:p>
        </w:tc>
        <w:tc>
          <w:tcPr>
            <w:tcW w:type="dxa" w:w="6120"/>
            <w:shd w:val="clear" w:fill="3E5062"/>
            <w:vAlign w:val="center"/>
          </w:tcPr>
          <w:p>
            <w:pPr>
              <w:spacing w:after="40"/>
            </w:pPr>
            <w:r/>
            <w:r>
              <w:rPr>
                <w:b/>
                <w:color w:val="FFFFFF"/>
                <w:sz w:val="19"/>
              </w:rPr>
              <w:t>What happens</w:t>
            </w:r>
          </w:p>
        </w:tc>
        <w:tc>
          <w:tcPr>
            <w:tcW w:type="dxa" w:w="1944"/>
            <w:shd w:val="clear" w:fill="3E5062"/>
            <w:vAlign w:val="center"/>
          </w:tcPr>
          <w:p>
            <w:pPr>
              <w:spacing w:after="40"/>
            </w:pPr>
            <w:r/>
            <w:r>
              <w:rPr>
                <w:b/>
                <w:color w:val="FFFFFF"/>
                <w:sz w:val="19"/>
              </w:rPr>
              <w:t>Who</w:t>
            </w:r>
          </w:p>
        </w:tc>
        <w:tc>
          <w:tcPr>
            <w:tcW w:type="dxa" w:w="792"/>
            <w:shd w:val="clear" w:fill="3E5062"/>
            <w:vAlign w:val="center"/>
          </w:tcPr>
          <w:p>
            <w:pPr>
              <w:spacing w:after="40"/>
            </w:pPr>
            <w:r/>
            <w:r>
              <w:rPr>
                <w:b/>
                <w:color w:val="FFFFFF"/>
                <w:sz w:val="19"/>
              </w:rPr>
              <w:t>Time</w:t>
            </w:r>
          </w:p>
        </w:tc>
      </w:tr>
      <w:tr>
        <w:tc>
          <w:tcPr>
            <w:tcW w:type="dxa" w:w="605"/>
            <w:vAlign w:val="top"/>
          </w:tcPr>
          <w:p>
            <w:pPr>
              <w:spacing w:after="40"/>
            </w:pPr>
            <w:r/>
            <w:r>
              <w:rPr>
                <w:b/>
                <w:color w:val="16222F"/>
                <w:sz w:val="18"/>
              </w:rPr>
              <w:t>5</w:t>
            </w:r>
          </w:p>
        </w:tc>
        <w:tc>
          <w:tcPr>
            <w:tcW w:type="dxa" w:w="6120"/>
            <w:vAlign w:val="top"/>
          </w:tcPr>
          <w:p>
            <w:pPr>
              <w:spacing w:after="40"/>
            </w:pPr>
            <w:r/>
            <w:r>
              <w:rPr>
                <w:color w:val="16222F"/>
                <w:sz w:val="18"/>
              </w:rPr>
              <w:t>Create a Google Cloud project and switch on the Meet service, so the program is allowed to read our own transcripts.</w:t>
            </w:r>
          </w:p>
        </w:tc>
        <w:tc>
          <w:tcPr>
            <w:tcW w:type="dxa" w:w="1944"/>
            <w:vAlign w:val="top"/>
          </w:tcPr>
          <w:p>
            <w:pPr>
              <w:spacing w:after="40"/>
            </w:pPr>
            <w:r/>
            <w:r>
              <w:rPr>
                <w:color w:val="16222F"/>
                <w:sz w:val="18"/>
              </w:rPr>
              <w:t>Engineer</w:t>
            </w:r>
          </w:p>
        </w:tc>
        <w:tc>
          <w:tcPr>
            <w:tcW w:type="dxa" w:w="792"/>
            <w:vAlign w:val="top"/>
          </w:tcPr>
          <w:p>
            <w:pPr>
              <w:spacing w:after="40"/>
            </w:pPr>
            <w:r/>
            <w:r>
              <w:rPr>
                <w:color w:val="16222F"/>
                <w:sz w:val="18"/>
              </w:rPr>
              <w:t>20 min</w:t>
            </w:r>
          </w:p>
        </w:tc>
      </w:tr>
      <w:tr>
        <w:tc>
          <w:tcPr>
            <w:tcW w:type="dxa" w:w="605"/>
            <w:vAlign w:val="top"/>
          </w:tcPr>
          <w:p>
            <w:pPr>
              <w:spacing w:after="40"/>
            </w:pPr>
            <w:r/>
            <w:r>
              <w:rPr>
                <w:b/>
                <w:color w:val="16222F"/>
                <w:sz w:val="18"/>
              </w:rPr>
              <w:t>6</w:t>
            </w:r>
          </w:p>
        </w:tc>
        <w:tc>
          <w:tcPr>
            <w:tcW w:type="dxa" w:w="6120"/>
            <w:vAlign w:val="top"/>
          </w:tcPr>
          <w:p>
            <w:pPr>
              <w:spacing w:after="40"/>
            </w:pPr>
            <w:r/>
            <w:r>
              <w:rPr>
                <w:color w:val="16222F"/>
                <w:sz w:val="18"/>
              </w:rPr>
              <w:t>Create the Gemini AI access key and attach the billing account approved in stage A.</w:t>
            </w:r>
          </w:p>
        </w:tc>
        <w:tc>
          <w:tcPr>
            <w:tcW w:type="dxa" w:w="1944"/>
            <w:vAlign w:val="top"/>
          </w:tcPr>
          <w:p>
            <w:pPr>
              <w:spacing w:after="40"/>
            </w:pPr>
            <w:r/>
            <w:r>
              <w:rPr>
                <w:color w:val="16222F"/>
                <w:sz w:val="18"/>
              </w:rPr>
              <w:t>Engineer</w:t>
            </w:r>
          </w:p>
        </w:tc>
        <w:tc>
          <w:tcPr>
            <w:tcW w:type="dxa" w:w="792"/>
            <w:vAlign w:val="top"/>
          </w:tcPr>
          <w:p>
            <w:pPr>
              <w:spacing w:after="40"/>
            </w:pPr>
            <w:r/>
            <w:r>
              <w:rPr>
                <w:color w:val="16222F"/>
                <w:sz w:val="18"/>
              </w:rPr>
              <w:t>15 min</w:t>
            </w:r>
          </w:p>
        </w:tc>
      </w:tr>
      <w:tr>
        <w:tc>
          <w:tcPr>
            <w:tcW w:type="dxa" w:w="605"/>
            <w:vAlign w:val="top"/>
          </w:tcPr>
          <w:p>
            <w:pPr>
              <w:spacing w:after="40"/>
            </w:pPr>
            <w:r/>
            <w:r>
              <w:rPr>
                <w:b/>
                <w:color w:val="16222F"/>
                <w:sz w:val="18"/>
              </w:rPr>
              <w:t>7</w:t>
            </w:r>
          </w:p>
        </w:tc>
        <w:tc>
          <w:tcPr>
            <w:tcW w:type="dxa" w:w="6120"/>
            <w:vAlign w:val="top"/>
          </w:tcPr>
          <w:p>
            <w:pPr>
              <w:spacing w:after="40"/>
            </w:pPr>
            <w:r/>
            <w:r>
              <w:rPr>
                <w:color w:val="16222F"/>
                <w:sz w:val="18"/>
              </w:rPr>
              <w:t>Install the program. It is a script that lives inside our own Google account — there is no server to buy and no software to license.</w:t>
            </w:r>
          </w:p>
        </w:tc>
        <w:tc>
          <w:tcPr>
            <w:tcW w:type="dxa" w:w="1944"/>
            <w:vAlign w:val="top"/>
          </w:tcPr>
          <w:p>
            <w:pPr>
              <w:spacing w:after="40"/>
            </w:pPr>
            <w:r/>
            <w:r>
              <w:rPr>
                <w:color w:val="16222F"/>
                <w:sz w:val="18"/>
              </w:rPr>
              <w:t>Engineer</w:t>
            </w:r>
          </w:p>
        </w:tc>
        <w:tc>
          <w:tcPr>
            <w:tcW w:type="dxa" w:w="792"/>
            <w:vAlign w:val="top"/>
          </w:tcPr>
          <w:p>
            <w:pPr>
              <w:spacing w:after="40"/>
            </w:pPr>
            <w:r/>
            <w:r>
              <w:rPr>
                <w:color w:val="16222F"/>
                <w:sz w:val="18"/>
              </w:rPr>
              <w:t>30 min</w:t>
            </w:r>
          </w:p>
        </w:tc>
      </w:tr>
      <w:tr>
        <w:tc>
          <w:tcPr>
            <w:tcW w:type="dxa" w:w="605"/>
            <w:vAlign w:val="top"/>
          </w:tcPr>
          <w:p>
            <w:pPr>
              <w:spacing w:after="40"/>
            </w:pPr>
            <w:r/>
            <w:r>
              <w:rPr>
                <w:b/>
                <w:color w:val="16222F"/>
                <w:sz w:val="18"/>
              </w:rPr>
              <w:t>8</w:t>
            </w:r>
          </w:p>
        </w:tc>
        <w:tc>
          <w:tcPr>
            <w:tcW w:type="dxa" w:w="6120"/>
            <w:vAlign w:val="top"/>
          </w:tcPr>
          <w:p>
            <w:pPr>
              <w:spacing w:after="40"/>
            </w:pPr>
            <w:r/>
            <w:r>
              <w:rPr>
                <w:color w:val="16222F"/>
                <w:sz w:val="18"/>
              </w:rPr>
              <w:t>Enter the settings: our stand-up's meeting code, and the list of team members and their email addresses.</w:t>
            </w:r>
          </w:p>
        </w:tc>
        <w:tc>
          <w:tcPr>
            <w:tcW w:type="dxa" w:w="1944"/>
            <w:vAlign w:val="top"/>
          </w:tcPr>
          <w:p>
            <w:pPr>
              <w:spacing w:after="40"/>
            </w:pPr>
            <w:r/>
            <w:r>
              <w:rPr>
                <w:color w:val="16222F"/>
                <w:sz w:val="18"/>
              </w:rPr>
              <w:t>Engineer</w:t>
            </w:r>
          </w:p>
        </w:tc>
        <w:tc>
          <w:tcPr>
            <w:tcW w:type="dxa" w:w="792"/>
            <w:vAlign w:val="top"/>
          </w:tcPr>
          <w:p>
            <w:pPr>
              <w:spacing w:after="40"/>
            </w:pPr>
            <w:r/>
            <w:r>
              <w:rPr>
                <w:color w:val="16222F"/>
                <w:sz w:val="18"/>
              </w:rPr>
              <w:t>10 min</w:t>
            </w:r>
          </w:p>
        </w:tc>
      </w:tr>
      <w:tr>
        <w:tc>
          <w:tcPr>
            <w:tcW w:type="dxa" w:w="605"/>
            <w:vAlign w:val="top"/>
          </w:tcPr>
          <w:p>
            <w:pPr>
              <w:spacing w:after="40"/>
            </w:pPr>
            <w:r/>
            <w:r>
              <w:rPr>
                <w:b/>
                <w:color w:val="16222F"/>
                <w:sz w:val="18"/>
              </w:rPr>
              <w:t>9</w:t>
            </w:r>
          </w:p>
        </w:tc>
        <w:tc>
          <w:tcPr>
            <w:tcW w:type="dxa" w:w="6120"/>
            <w:vAlign w:val="top"/>
          </w:tcPr>
          <w:p>
            <w:pPr>
              <w:spacing w:after="40"/>
            </w:pPr>
            <w:r/>
            <w:r>
              <w:rPr>
                <w:color w:val="16222F"/>
                <w:sz w:val="18"/>
              </w:rPr>
              <w:t>Run the built-in health check, which confirms every part is connected and prints who it recognised. Nothing is sent.</w:t>
            </w:r>
          </w:p>
        </w:tc>
        <w:tc>
          <w:tcPr>
            <w:tcW w:type="dxa" w:w="1944"/>
            <w:vAlign w:val="top"/>
          </w:tcPr>
          <w:p>
            <w:pPr>
              <w:spacing w:after="40"/>
            </w:pPr>
            <w:r/>
            <w:r>
              <w:rPr>
                <w:color w:val="16222F"/>
                <w:sz w:val="18"/>
              </w:rPr>
              <w:t>Engineer</w:t>
            </w:r>
          </w:p>
        </w:tc>
        <w:tc>
          <w:tcPr>
            <w:tcW w:type="dxa" w:w="792"/>
            <w:vAlign w:val="top"/>
          </w:tcPr>
          <w:p>
            <w:pPr>
              <w:spacing w:after="40"/>
            </w:pPr>
            <w:r/>
            <w:r>
              <w:rPr>
                <w:color w:val="16222F"/>
                <w:sz w:val="18"/>
              </w:rPr>
              <w:t>10 min</w:t>
            </w:r>
          </w:p>
        </w:tc>
      </w:tr>
    </w:tbl>
    <w:p>
      <w:pPr>
        <w:pStyle w:val="Heading3"/>
      </w:pPr>
      <w:r>
        <w:t>Stage C — Trial with nothing sent to the team  (week 1)</w:t>
      </w:r>
    </w:p>
    <w:tbl>
      <w:tblPr>
        <w:tblStyle w:val="TableGrid"/>
        <w:tblW w:type="auto" w:w="0"/>
        <w:tblLayout w:type="fixed"/>
        <w:tblLook w:firstColumn="1" w:firstRow="1" w:lastColumn="0" w:lastRow="0" w:noHBand="0" w:noVBand="1" w:val="04A0"/>
      </w:tblPr>
      <w:tblGrid>
        <w:gridCol w:w="2365"/>
        <w:gridCol w:w="2365"/>
        <w:gridCol w:w="2365"/>
        <w:gridCol w:w="2365"/>
      </w:tblGrid>
      <w:tr>
        <w:tc>
          <w:tcPr>
            <w:tcW w:type="dxa" w:w="605"/>
            <w:shd w:val="clear" w:fill="3E5062"/>
            <w:vAlign w:val="center"/>
          </w:tcPr>
          <w:p>
            <w:pPr>
              <w:spacing w:after="40"/>
            </w:pPr>
            <w:r/>
            <w:r>
              <w:rPr>
                <w:b/>
                <w:color w:val="FFFFFF"/>
                <w:sz w:val="19"/>
              </w:rPr>
              <w:t>Step</w:t>
            </w:r>
          </w:p>
        </w:tc>
        <w:tc>
          <w:tcPr>
            <w:tcW w:type="dxa" w:w="6120"/>
            <w:shd w:val="clear" w:fill="3E5062"/>
            <w:vAlign w:val="center"/>
          </w:tcPr>
          <w:p>
            <w:pPr>
              <w:spacing w:after="40"/>
            </w:pPr>
            <w:r/>
            <w:r>
              <w:rPr>
                <w:b/>
                <w:color w:val="FFFFFF"/>
                <w:sz w:val="19"/>
              </w:rPr>
              <w:t>What happens</w:t>
            </w:r>
          </w:p>
        </w:tc>
        <w:tc>
          <w:tcPr>
            <w:tcW w:type="dxa" w:w="1944"/>
            <w:shd w:val="clear" w:fill="3E5062"/>
            <w:vAlign w:val="center"/>
          </w:tcPr>
          <w:p>
            <w:pPr>
              <w:spacing w:after="40"/>
            </w:pPr>
            <w:r/>
            <w:r>
              <w:rPr>
                <w:b/>
                <w:color w:val="FFFFFF"/>
                <w:sz w:val="19"/>
              </w:rPr>
              <w:t>Who</w:t>
            </w:r>
          </w:p>
        </w:tc>
        <w:tc>
          <w:tcPr>
            <w:tcW w:type="dxa" w:w="792"/>
            <w:shd w:val="clear" w:fill="3E5062"/>
            <w:vAlign w:val="center"/>
          </w:tcPr>
          <w:p>
            <w:pPr>
              <w:spacing w:after="40"/>
            </w:pPr>
            <w:r/>
            <w:r>
              <w:rPr>
                <w:b/>
                <w:color w:val="FFFFFF"/>
                <w:sz w:val="19"/>
              </w:rPr>
              <w:t>Time</w:t>
            </w:r>
          </w:p>
        </w:tc>
      </w:tr>
      <w:tr>
        <w:tc>
          <w:tcPr>
            <w:tcW w:type="dxa" w:w="605"/>
            <w:vAlign w:val="top"/>
          </w:tcPr>
          <w:p>
            <w:pPr>
              <w:spacing w:after="40"/>
            </w:pPr>
            <w:r/>
            <w:r>
              <w:rPr>
                <w:b/>
                <w:color w:val="16222F"/>
                <w:sz w:val="18"/>
              </w:rPr>
              <w:t>10</w:t>
            </w:r>
          </w:p>
        </w:tc>
        <w:tc>
          <w:tcPr>
            <w:tcW w:type="dxa" w:w="6120"/>
            <w:vAlign w:val="top"/>
          </w:tcPr>
          <w:p>
            <w:pPr>
              <w:spacing w:after="40"/>
            </w:pPr>
            <w:r/>
            <w:r>
              <w:rPr>
                <w:color w:val="16222F"/>
                <w:sz w:val="18"/>
              </w:rPr>
              <w:t>Switch the automation on, with every email redirected to one person instead of the team. It runs by itself from this point.</w:t>
            </w:r>
          </w:p>
        </w:tc>
        <w:tc>
          <w:tcPr>
            <w:tcW w:type="dxa" w:w="1944"/>
            <w:vAlign w:val="top"/>
          </w:tcPr>
          <w:p>
            <w:pPr>
              <w:spacing w:after="40"/>
            </w:pPr>
            <w:r/>
            <w:r>
              <w:rPr>
                <w:color w:val="16222F"/>
                <w:sz w:val="18"/>
              </w:rPr>
              <w:t>Engineer</w:t>
            </w:r>
          </w:p>
        </w:tc>
        <w:tc>
          <w:tcPr>
            <w:tcW w:type="dxa" w:w="792"/>
            <w:vAlign w:val="top"/>
          </w:tcPr>
          <w:p>
            <w:pPr>
              <w:spacing w:after="40"/>
            </w:pPr>
            <w:r/>
            <w:r>
              <w:rPr>
                <w:color w:val="16222F"/>
                <w:sz w:val="18"/>
              </w:rPr>
              <w:t>5 min</w:t>
            </w:r>
          </w:p>
        </w:tc>
      </w:tr>
      <w:tr>
        <w:tc>
          <w:tcPr>
            <w:tcW w:type="dxa" w:w="605"/>
            <w:vAlign w:val="top"/>
          </w:tcPr>
          <w:p>
            <w:pPr>
              <w:spacing w:after="40"/>
            </w:pPr>
            <w:r/>
            <w:r>
              <w:rPr>
                <w:b/>
                <w:color w:val="16222F"/>
                <w:sz w:val="18"/>
              </w:rPr>
              <w:t>11</w:t>
            </w:r>
          </w:p>
        </w:tc>
        <w:tc>
          <w:tcPr>
            <w:tcW w:type="dxa" w:w="6120"/>
            <w:vAlign w:val="top"/>
          </w:tcPr>
          <w:p>
            <w:pPr>
              <w:spacing w:after="40"/>
            </w:pPr>
            <w:r/>
            <w:r>
              <w:rPr>
                <w:color w:val="16222F"/>
                <w:sz w:val="18"/>
              </w:rPr>
              <w:t>For one week, that person reads all the emails the team would have received and reports whether they are accurate and useful. Wording is adjusted based on what they find.</w:t>
            </w:r>
          </w:p>
        </w:tc>
        <w:tc>
          <w:tcPr>
            <w:tcW w:type="dxa" w:w="1944"/>
            <w:vAlign w:val="top"/>
          </w:tcPr>
          <w:p>
            <w:pPr>
              <w:spacing w:after="40"/>
            </w:pPr>
            <w:r/>
            <w:r>
              <w:rPr>
                <w:color w:val="16222F"/>
                <w:sz w:val="18"/>
              </w:rPr>
              <w:t>Reviewer</w:t>
            </w:r>
          </w:p>
        </w:tc>
        <w:tc>
          <w:tcPr>
            <w:tcW w:type="dxa" w:w="792"/>
            <w:vAlign w:val="top"/>
          </w:tcPr>
          <w:p>
            <w:pPr>
              <w:spacing w:after="40"/>
            </w:pPr>
            <w:r/>
            <w:r>
              <w:rPr>
                <w:color w:val="16222F"/>
                <w:sz w:val="18"/>
              </w:rPr>
              <w:t>1 week</w:t>
            </w:r>
          </w:p>
        </w:tc>
      </w:tr>
    </w:tbl>
    <w:p>
      <w:pPr>
        <w:pStyle w:val="Heading3"/>
      </w:pPr>
      <w:r>
        <w:t>Stage D — Go live  (week 2 onwards)</w:t>
      </w:r>
    </w:p>
    <w:tbl>
      <w:tblPr>
        <w:tblStyle w:val="TableGrid"/>
        <w:tblW w:type="auto" w:w="0"/>
        <w:tblLayout w:type="fixed"/>
        <w:tblLook w:firstColumn="1" w:firstRow="1" w:lastColumn="0" w:lastRow="0" w:noHBand="0" w:noVBand="1" w:val="04A0"/>
      </w:tblPr>
      <w:tblGrid>
        <w:gridCol w:w="2365"/>
        <w:gridCol w:w="2365"/>
        <w:gridCol w:w="2365"/>
        <w:gridCol w:w="2365"/>
      </w:tblGrid>
      <w:tr>
        <w:tc>
          <w:tcPr>
            <w:tcW w:type="dxa" w:w="605"/>
            <w:shd w:val="clear" w:fill="3E5062"/>
            <w:vAlign w:val="center"/>
          </w:tcPr>
          <w:p>
            <w:pPr>
              <w:spacing w:after="40"/>
            </w:pPr>
            <w:r/>
            <w:r>
              <w:rPr>
                <w:b/>
                <w:color w:val="FFFFFF"/>
                <w:sz w:val="19"/>
              </w:rPr>
              <w:t>Step</w:t>
            </w:r>
          </w:p>
        </w:tc>
        <w:tc>
          <w:tcPr>
            <w:tcW w:type="dxa" w:w="6120"/>
            <w:shd w:val="clear" w:fill="3E5062"/>
            <w:vAlign w:val="center"/>
          </w:tcPr>
          <w:p>
            <w:pPr>
              <w:spacing w:after="40"/>
            </w:pPr>
            <w:r/>
            <w:r>
              <w:rPr>
                <w:b/>
                <w:color w:val="FFFFFF"/>
                <w:sz w:val="19"/>
              </w:rPr>
              <w:t>What happens</w:t>
            </w:r>
          </w:p>
        </w:tc>
        <w:tc>
          <w:tcPr>
            <w:tcW w:type="dxa" w:w="1944"/>
            <w:shd w:val="clear" w:fill="3E5062"/>
            <w:vAlign w:val="center"/>
          </w:tcPr>
          <w:p>
            <w:pPr>
              <w:spacing w:after="40"/>
            </w:pPr>
            <w:r/>
            <w:r>
              <w:rPr>
                <w:b/>
                <w:color w:val="FFFFFF"/>
                <w:sz w:val="19"/>
              </w:rPr>
              <w:t>Who</w:t>
            </w:r>
          </w:p>
        </w:tc>
        <w:tc>
          <w:tcPr>
            <w:tcW w:type="dxa" w:w="792"/>
            <w:shd w:val="clear" w:fill="3E5062"/>
            <w:vAlign w:val="center"/>
          </w:tcPr>
          <w:p>
            <w:pPr>
              <w:spacing w:after="40"/>
            </w:pPr>
            <w:r/>
            <w:r>
              <w:rPr>
                <w:b/>
                <w:color w:val="FFFFFF"/>
                <w:sz w:val="19"/>
              </w:rPr>
              <w:t>Time</w:t>
            </w:r>
          </w:p>
        </w:tc>
      </w:tr>
      <w:tr>
        <w:tc>
          <w:tcPr>
            <w:tcW w:type="dxa" w:w="605"/>
            <w:vAlign w:val="top"/>
          </w:tcPr>
          <w:p>
            <w:pPr>
              <w:spacing w:after="40"/>
            </w:pPr>
            <w:r/>
            <w:r>
              <w:rPr>
                <w:b/>
                <w:color w:val="16222F"/>
                <w:sz w:val="18"/>
              </w:rPr>
              <w:t>12</w:t>
            </w:r>
          </w:p>
        </w:tc>
        <w:tc>
          <w:tcPr>
            <w:tcW w:type="dxa" w:w="6120"/>
            <w:vAlign w:val="top"/>
          </w:tcPr>
          <w:p>
            <w:pPr>
              <w:spacing w:after="40"/>
            </w:pPr>
            <w:r/>
            <w:r>
              <w:rPr>
                <w:color w:val="16222F"/>
                <w:sz w:val="18"/>
              </w:rPr>
              <w:t>Announce it at a stand-up, then switch the emails through to the team. From here it needs no attention.</w:t>
            </w:r>
          </w:p>
        </w:tc>
        <w:tc>
          <w:tcPr>
            <w:tcW w:type="dxa" w:w="1944"/>
            <w:vAlign w:val="top"/>
          </w:tcPr>
          <w:p>
            <w:pPr>
              <w:spacing w:after="40"/>
            </w:pPr>
            <w:r/>
            <w:r>
              <w:rPr>
                <w:color w:val="16222F"/>
                <w:sz w:val="18"/>
              </w:rPr>
              <w:t>Manager</w:t>
            </w:r>
          </w:p>
        </w:tc>
        <w:tc>
          <w:tcPr>
            <w:tcW w:type="dxa" w:w="792"/>
            <w:vAlign w:val="top"/>
          </w:tcPr>
          <w:p>
            <w:pPr>
              <w:spacing w:after="40"/>
            </w:pPr>
            <w:r/>
            <w:r>
              <w:rPr>
                <w:color w:val="16222F"/>
                <w:sz w:val="18"/>
              </w:rPr>
              <w:t>1 stand-up</w:t>
            </w:r>
          </w:p>
        </w:tc>
      </w:tr>
    </w:tbl>
    <w:p>
      <w:pPr>
        <w:spacing w:after="80"/>
      </w:pPr>
      <w:r>
        <w:rPr>
          <w:b w:val="0"/>
          <w:i w:val="0"/>
          <w:color w:val="16222F"/>
          <w:sz w:val="21"/>
        </w:rPr>
      </w:r>
    </w:p>
    <w:tbl>
      <w:tblPr>
        <w:tblW w:type="auto" w:w="0"/>
        <w:tblLayout w:type="fixed"/>
        <w:tblLook w:firstColumn="1" w:firstRow="1" w:lastColumn="0" w:lastRow="0" w:noHBand="0" w:noVBand="1" w:val="04A0"/>
      </w:tblPr>
      <w:tblGrid>
        <w:gridCol w:w="9461"/>
      </w:tblGrid>
      <w:tr>
        <w:tc>
          <w:tcPr>
            <w:tcW w:type="dxa" w:w="9461"/>
            <w:shd w:val="clear" w:fill="F2F4F7"/>
          </w:tcPr>
          <w:p>
            <w:pPr>
              <w:spacing w:after="60"/>
            </w:pPr>
            <w:r/>
            <w:r>
              <w:rPr>
                <w:b/>
                <w:color w:val="3E5062"/>
                <w:sz w:val="21"/>
              </w:rPr>
              <w:t>Recommended: one extra month before step 12</w:t>
            </w:r>
          </w:p>
          <w:p>
            <w:pPr>
              <w:spacing w:after="40"/>
            </w:pPr>
            <w:r>
              <w:rPr>
                <w:color w:val="16222F"/>
                <w:sz w:val="21"/>
              </w:rPr>
              <w:t>Rather than going straight to the team, keep all the emails going to one reviewer for a month and have them forward the good ones by hand. It is slower, but nothing reaches the team unreviewed while we are still learning what the AI gets wrong on our meetings.</w:t>
            </w:r>
          </w:p>
        </w:tc>
      </w:tr>
    </w:tbl>
    <w:p>
      <w:pPr>
        <w:spacing w:after="80"/>
      </w:pPr>
    </w:p>
    <w:p>
      <w:r>
        <w:br w:type="page"/>
      </w:r>
    </w:p>
    <w:p>
      <w:pPr>
        <w:pStyle w:val="Heading2"/>
      </w:pPr>
      <w:r>
        <w:t>6. What it costs</w:t>
      </w:r>
    </w:p>
    <w:tbl>
      <w:tblPr>
        <w:tblStyle w:val="TableGrid"/>
        <w:tblW w:type="auto" w:w="0"/>
        <w:tblLayout w:type="fixed"/>
        <w:tblLook w:firstColumn="1" w:firstRow="1" w:lastColumn="0" w:lastRow="0" w:noHBand="0" w:noVBand="1" w:val="04A0"/>
      </w:tblPr>
      <w:tblGrid>
        <w:gridCol w:w="3154"/>
        <w:gridCol w:w="3154"/>
        <w:gridCol w:w="3154"/>
      </w:tblGrid>
      <w:tr>
        <w:tc>
          <w:tcPr>
            <w:tcW w:type="dxa" w:w="2664"/>
            <w:shd w:val="clear" w:fill="3E5062"/>
            <w:vAlign w:val="center"/>
          </w:tcPr>
          <w:p>
            <w:pPr>
              <w:spacing w:after="40"/>
            </w:pPr>
            <w:r/>
            <w:r>
              <w:rPr>
                <w:b/>
                <w:color w:val="FFFFFF"/>
                <w:sz w:val="19"/>
              </w:rPr>
              <w:t>Item</w:t>
            </w:r>
          </w:p>
        </w:tc>
        <w:tc>
          <w:tcPr>
            <w:tcW w:type="dxa" w:w="1944"/>
            <w:shd w:val="clear" w:fill="3E5062"/>
            <w:vAlign w:val="center"/>
          </w:tcPr>
          <w:p>
            <w:pPr>
              <w:spacing w:after="40"/>
            </w:pPr>
            <w:r/>
            <w:r>
              <w:rPr>
                <w:b/>
                <w:color w:val="FFFFFF"/>
                <w:sz w:val="19"/>
              </w:rPr>
              <w:t>Cost</w:t>
            </w:r>
          </w:p>
        </w:tc>
        <w:tc>
          <w:tcPr>
            <w:tcW w:type="dxa" w:w="4853"/>
            <w:shd w:val="clear" w:fill="3E5062"/>
            <w:vAlign w:val="center"/>
          </w:tcPr>
          <w:p>
            <w:pPr>
              <w:spacing w:after="40"/>
            </w:pPr>
            <w:r/>
            <w:r>
              <w:rPr>
                <w:b/>
                <w:color w:val="FFFFFF"/>
                <w:sz w:val="19"/>
              </w:rPr>
              <w:t>Note</w:t>
            </w:r>
          </w:p>
        </w:tc>
      </w:tr>
      <w:tr>
        <w:tc>
          <w:tcPr>
            <w:tcW w:type="dxa" w:w="2664"/>
            <w:vAlign w:val="top"/>
          </w:tcPr>
          <w:p>
            <w:pPr>
              <w:spacing w:after="40"/>
            </w:pPr>
            <w:r/>
            <w:r>
              <w:rPr>
                <w:b/>
                <w:color w:val="16222F"/>
                <w:sz w:val="19"/>
              </w:rPr>
              <w:t>Google Meet transcripts</w:t>
            </w:r>
          </w:p>
        </w:tc>
        <w:tc>
          <w:tcPr>
            <w:tcW w:type="dxa" w:w="1944"/>
            <w:vAlign w:val="top"/>
          </w:tcPr>
          <w:p>
            <w:pPr>
              <w:spacing w:after="40"/>
            </w:pPr>
            <w:r/>
            <w:r>
              <w:rPr>
                <w:color w:val="16222F"/>
                <w:sz w:val="19"/>
              </w:rPr>
              <w:t>₹0</w:t>
            </w:r>
          </w:p>
        </w:tc>
        <w:tc>
          <w:tcPr>
            <w:tcW w:type="dxa" w:w="4853"/>
            <w:vAlign w:val="top"/>
          </w:tcPr>
          <w:p>
            <w:pPr>
              <w:spacing w:after="40"/>
            </w:pPr>
            <w:r/>
            <w:r>
              <w:rPr>
                <w:color w:val="16222F"/>
                <w:sz w:val="19"/>
              </w:rPr>
              <w:t>Already included in our Workspace plan</w:t>
            </w:r>
          </w:p>
        </w:tc>
      </w:tr>
      <w:tr>
        <w:tc>
          <w:tcPr>
            <w:tcW w:type="dxa" w:w="2664"/>
            <w:vAlign w:val="top"/>
          </w:tcPr>
          <w:p>
            <w:pPr>
              <w:spacing w:after="40"/>
            </w:pPr>
            <w:r/>
            <w:r>
              <w:rPr>
                <w:b/>
                <w:color w:val="16222F"/>
                <w:sz w:val="19"/>
              </w:rPr>
              <w:t>The program itself</w:t>
            </w:r>
          </w:p>
        </w:tc>
        <w:tc>
          <w:tcPr>
            <w:tcW w:type="dxa" w:w="1944"/>
            <w:vAlign w:val="top"/>
          </w:tcPr>
          <w:p>
            <w:pPr>
              <w:spacing w:after="40"/>
            </w:pPr>
            <w:r/>
            <w:r>
              <w:rPr>
                <w:color w:val="16222F"/>
                <w:sz w:val="19"/>
              </w:rPr>
              <w:t>₹0</w:t>
            </w:r>
          </w:p>
        </w:tc>
        <w:tc>
          <w:tcPr>
            <w:tcW w:type="dxa" w:w="4853"/>
            <w:vAlign w:val="top"/>
          </w:tcPr>
          <w:p>
            <w:pPr>
              <w:spacing w:after="40"/>
            </w:pPr>
            <w:r/>
            <w:r>
              <w:rPr>
                <w:color w:val="16222F"/>
                <w:sz w:val="19"/>
              </w:rPr>
              <w:t>Google Apps Script — included with Workspace, no server needed</w:t>
            </w:r>
          </w:p>
        </w:tc>
      </w:tr>
      <w:tr>
        <w:tc>
          <w:tcPr>
            <w:tcW w:type="dxa" w:w="2664"/>
            <w:vAlign w:val="top"/>
          </w:tcPr>
          <w:p>
            <w:pPr>
              <w:spacing w:after="40"/>
            </w:pPr>
            <w:r/>
            <w:r>
              <w:rPr>
                <w:b/>
                <w:color w:val="16222F"/>
                <w:sz w:val="19"/>
              </w:rPr>
              <w:t>Sending the emails</w:t>
            </w:r>
          </w:p>
        </w:tc>
        <w:tc>
          <w:tcPr>
            <w:tcW w:type="dxa" w:w="1944"/>
            <w:vAlign w:val="top"/>
          </w:tcPr>
          <w:p>
            <w:pPr>
              <w:spacing w:after="40"/>
            </w:pPr>
            <w:r/>
            <w:r>
              <w:rPr>
                <w:color w:val="16222F"/>
                <w:sz w:val="19"/>
              </w:rPr>
              <w:t>₹0</w:t>
            </w:r>
          </w:p>
        </w:tc>
        <w:tc>
          <w:tcPr>
            <w:tcW w:type="dxa" w:w="4853"/>
            <w:vAlign w:val="top"/>
          </w:tcPr>
          <w:p>
            <w:pPr>
              <w:spacing w:after="40"/>
            </w:pPr>
            <w:r/>
            <w:r>
              <w:rPr>
                <w:color w:val="16222F"/>
                <w:sz w:val="19"/>
              </w:rPr>
              <w:t>Sent from our own Google account, no mail service</w:t>
            </w:r>
          </w:p>
        </w:tc>
      </w:tr>
      <w:tr>
        <w:tc>
          <w:tcPr>
            <w:tcW w:type="dxa" w:w="2664"/>
            <w:vAlign w:val="top"/>
          </w:tcPr>
          <w:p>
            <w:pPr>
              <w:spacing w:after="40"/>
            </w:pPr>
            <w:r/>
            <w:r>
              <w:rPr>
                <w:b/>
                <w:color w:val="16222F"/>
                <w:sz w:val="19"/>
              </w:rPr>
              <w:t>Gemini AI</w:t>
            </w:r>
          </w:p>
        </w:tc>
        <w:tc>
          <w:tcPr>
            <w:tcW w:type="dxa" w:w="1944"/>
            <w:vAlign w:val="top"/>
          </w:tcPr>
          <w:p>
            <w:pPr>
              <w:spacing w:after="40"/>
            </w:pPr>
            <w:r/>
            <w:r>
              <w:rPr>
                <w:color w:val="16222F"/>
                <w:sz w:val="19"/>
              </w:rPr>
              <w:t>about ₹100–200</w:t>
              <w:br/>
              <w:t>per month</w:t>
            </w:r>
          </w:p>
        </w:tc>
        <w:tc>
          <w:tcPr>
            <w:tcW w:type="dxa" w:w="4853"/>
            <w:vAlign w:val="top"/>
          </w:tcPr>
          <w:p>
            <w:pPr>
              <w:spacing w:after="40"/>
            </w:pPr>
            <w:r/>
            <w:r>
              <w:rPr>
                <w:color w:val="16222F"/>
                <w:sz w:val="19"/>
              </w:rPr>
              <w:t>One stand-up a day. There is a free tier, but we should not use it — see below</w:t>
            </w:r>
          </w:p>
        </w:tc>
      </w:tr>
      <w:tr>
        <w:tc>
          <w:tcPr>
            <w:tcW w:type="dxa" w:w="2664"/>
            <w:vAlign w:val="top"/>
          </w:tcPr>
          <w:p>
            <w:pPr>
              <w:spacing w:after="40"/>
            </w:pPr>
            <w:r/>
            <w:r>
              <w:rPr>
                <w:b/>
                <w:color w:val="16222F"/>
                <w:sz w:val="19"/>
              </w:rPr>
              <w:t>Software licences</w:t>
            </w:r>
          </w:p>
        </w:tc>
        <w:tc>
          <w:tcPr>
            <w:tcW w:type="dxa" w:w="1944"/>
            <w:vAlign w:val="top"/>
          </w:tcPr>
          <w:p>
            <w:pPr>
              <w:spacing w:after="40"/>
            </w:pPr>
            <w:r/>
            <w:r>
              <w:rPr>
                <w:color w:val="16222F"/>
                <w:sz w:val="19"/>
              </w:rPr>
              <w:t>₹0</w:t>
            </w:r>
          </w:p>
        </w:tc>
        <w:tc>
          <w:tcPr>
            <w:tcW w:type="dxa" w:w="4853"/>
            <w:vAlign w:val="top"/>
          </w:tcPr>
          <w:p>
            <w:pPr>
              <w:spacing w:after="40"/>
            </w:pPr>
            <w:r/>
            <w:r>
              <w:rPr>
                <w:color w:val="16222F"/>
                <w:sz w:val="19"/>
              </w:rPr>
              <w:t>No vendor, no subscription, no per-seat fee</w:t>
            </w:r>
          </w:p>
        </w:tc>
      </w:tr>
      <w:tr>
        <w:tc>
          <w:tcPr>
            <w:tcW w:type="dxa" w:w="2664"/>
            <w:vAlign w:val="top"/>
          </w:tcPr>
          <w:p>
            <w:pPr>
              <w:spacing w:after="40"/>
            </w:pPr>
            <w:r/>
            <w:r>
              <w:rPr>
                <w:b/>
                <w:color w:val="16222F"/>
                <w:sz w:val="19"/>
              </w:rPr>
              <w:t>Setup</w:t>
            </w:r>
          </w:p>
        </w:tc>
        <w:tc>
          <w:tcPr>
            <w:tcW w:type="dxa" w:w="1944"/>
            <w:vAlign w:val="top"/>
          </w:tcPr>
          <w:p>
            <w:pPr>
              <w:spacing w:after="40"/>
            </w:pPr>
            <w:r/>
            <w:r>
              <w:rPr>
                <w:color w:val="16222F"/>
                <w:sz w:val="19"/>
              </w:rPr>
              <w:t>about half a day</w:t>
              <w:br/>
              <w:t>of one person</w:t>
            </w:r>
          </w:p>
        </w:tc>
        <w:tc>
          <w:tcPr>
            <w:tcW w:type="dxa" w:w="4853"/>
            <w:vAlign w:val="top"/>
          </w:tcPr>
          <w:p>
            <w:pPr>
              <w:spacing w:after="40"/>
            </w:pPr>
            <w:r/>
            <w:r>
              <w:rPr>
                <w:color w:val="16222F"/>
                <w:sz w:val="19"/>
              </w:rPr>
              <w:t>One time</w:t>
            </w:r>
          </w:p>
        </w:tc>
      </w:tr>
    </w:tbl>
    <w:p>
      <w:pPr>
        <w:spacing w:after="80"/>
      </w:pPr>
      <w:r>
        <w:rPr>
          <w:b w:val="0"/>
          <w:i w:val="0"/>
          <w:color w:val="16222F"/>
          <w:sz w:val="21"/>
        </w:rPr>
      </w:r>
    </w:p>
    <w:tbl>
      <w:tblPr>
        <w:tblW w:type="auto" w:w="0"/>
        <w:tblLayout w:type="fixed"/>
        <w:tblLook w:firstColumn="1" w:firstRow="1" w:lastColumn="0" w:lastRow="0" w:noHBand="0" w:noVBand="1" w:val="04A0"/>
      </w:tblPr>
      <w:tblGrid>
        <w:gridCol w:w="9461"/>
      </w:tblGrid>
      <w:tr>
        <w:tc>
          <w:tcPr>
            <w:tcW w:type="dxa" w:w="9461"/>
            <w:shd w:val="clear" w:fill="F2F4F7"/>
          </w:tcPr>
          <w:p>
            <w:pPr>
              <w:spacing w:after="60"/>
            </w:pPr>
            <w:r/>
            <w:r>
              <w:rPr>
                <w:b/>
                <w:color w:val="B33224"/>
                <w:sz w:val="21"/>
              </w:rPr>
              <w:t>Why we should pay rather than use the free option</w:t>
            </w:r>
          </w:p>
          <w:p>
            <w:pPr>
              <w:spacing w:after="40"/>
            </w:pPr>
            <w:r>
              <w:rPr>
                <w:color w:val="16222F"/>
                <w:sz w:val="21"/>
              </w:rPr>
              <w:t>Google's free AI tier is genuinely free and would cover our usage. But on the free tier Google's terms allow it to use submitted content to improve its products, and allow human reviewers to read it. Our stand-up transcripts would fall under that. On the paid tier, Google commits not to train on our content. For roughly ₹150 a month, that is not a close call — it is the single most important line in this document.</w:t>
            </w:r>
          </w:p>
        </w:tc>
      </w:tr>
    </w:tbl>
    <w:p>
      <w:pPr>
        <w:spacing w:after="80"/>
      </w:pPr>
    </w:p>
    <w:p>
      <w:pPr>
        <w:pStyle w:val="Heading2"/>
      </w:pPr>
      <w:r>
        <w:t>7. Risks, and how each is handled</w:t>
      </w:r>
    </w:p>
    <w:tbl>
      <w:tblPr>
        <w:tblStyle w:val="TableGrid"/>
        <w:tblW w:type="auto" w:w="0"/>
        <w:tblLayout w:type="fixed"/>
        <w:tblLook w:firstColumn="1" w:firstRow="1" w:lastColumn="0" w:lastRow="0" w:noHBand="0" w:noVBand="1" w:val="04A0"/>
      </w:tblPr>
      <w:tblGrid>
        <w:gridCol w:w="4730"/>
        <w:gridCol w:w="4730"/>
      </w:tblGrid>
      <w:tr>
        <w:tc>
          <w:tcPr>
            <w:tcW w:type="dxa" w:w="3384"/>
            <w:shd w:val="clear" w:fill="3E5062"/>
            <w:vAlign w:val="center"/>
          </w:tcPr>
          <w:p>
            <w:pPr>
              <w:spacing w:after="40"/>
            </w:pPr>
            <w:r/>
            <w:r>
              <w:rPr>
                <w:b/>
                <w:color w:val="FFFFFF"/>
                <w:sz w:val="19"/>
              </w:rPr>
              <w:t>What could go wrong</w:t>
            </w:r>
          </w:p>
        </w:tc>
        <w:tc>
          <w:tcPr>
            <w:tcW w:type="dxa" w:w="6077"/>
            <w:shd w:val="clear" w:fill="3E5062"/>
            <w:vAlign w:val="center"/>
          </w:tcPr>
          <w:p>
            <w:pPr>
              <w:spacing w:after="40"/>
            </w:pPr>
            <w:r/>
            <w:r>
              <w:rPr>
                <w:b/>
                <w:color w:val="FFFFFF"/>
                <w:sz w:val="19"/>
              </w:rPr>
              <w:t>How it is handled</w:t>
            </w:r>
          </w:p>
        </w:tc>
      </w:tr>
      <w:tr>
        <w:tc>
          <w:tcPr>
            <w:tcW w:type="dxa" w:w="3384"/>
            <w:vAlign w:val="top"/>
          </w:tcPr>
          <w:p>
            <w:pPr>
              <w:spacing w:after="40"/>
            </w:pPr>
            <w:r/>
            <w:r>
              <w:rPr>
                <w:color w:val="16222F"/>
                <w:sz w:val="19"/>
              </w:rPr>
              <w:t>Someone's private or sensitive comment gets emailed around.</w:t>
            </w:r>
          </w:p>
        </w:tc>
        <w:tc>
          <w:tcPr>
            <w:tcW w:type="dxa" w:w="6077"/>
            <w:vAlign w:val="top"/>
          </w:tcPr>
          <w:p>
            <w:pPr>
              <w:spacing w:after="40"/>
            </w:pPr>
            <w:r/>
            <w:r>
              <w:rPr>
                <w:color w:val="16222F"/>
                <w:sz w:val="19"/>
              </w:rPr>
              <w:t>Anyone can say “off the record” in the meeting. The program recognises the phrase and sends nothing at all for that meeting — the whole day is dropped, not just that line.</w:t>
            </w:r>
          </w:p>
        </w:tc>
      </w:tr>
      <w:tr>
        <w:tc>
          <w:tcPr>
            <w:tcW w:type="dxa" w:w="3384"/>
            <w:vAlign w:val="top"/>
          </w:tcPr>
          <w:p>
            <w:pPr>
              <w:spacing w:after="40"/>
            </w:pPr>
            <w:r/>
            <w:r>
              <w:rPr>
                <w:color w:val="16222F"/>
                <w:sz w:val="19"/>
              </w:rPr>
              <w:t>The wrong person receives someone else's notes.</w:t>
            </w:r>
          </w:p>
        </w:tc>
        <w:tc>
          <w:tcPr>
            <w:tcW w:type="dxa" w:w="6077"/>
            <w:vAlign w:val="top"/>
          </w:tcPr>
          <w:p>
            <w:pPr>
              <w:spacing w:after="40"/>
            </w:pPr>
            <w:r/>
            <w:r>
              <w:rPr>
                <w:color w:val="16222F"/>
                <w:sz w:val="19"/>
              </w:rPr>
              <w:t>The program only emails people on a list we type in by hand. If it cannot match a name with certainty — two people called Ravi, for instance — it refuses to guess and sends to neither, then reports it.</w:t>
            </w:r>
          </w:p>
        </w:tc>
      </w:tr>
      <w:tr>
        <w:tc>
          <w:tcPr>
            <w:tcW w:type="dxa" w:w="3384"/>
            <w:vAlign w:val="top"/>
          </w:tcPr>
          <w:p>
            <w:pPr>
              <w:spacing w:after="40"/>
            </w:pPr>
            <w:r/>
            <w:r>
              <w:rPr>
                <w:color w:val="16222F"/>
                <w:sz w:val="19"/>
              </w:rPr>
              <w:t>The AI misunderstands something and puts a wrong commitment in writing.</w:t>
            </w:r>
          </w:p>
        </w:tc>
        <w:tc>
          <w:tcPr>
            <w:tcW w:type="dxa" w:w="6077"/>
            <w:vAlign w:val="top"/>
          </w:tcPr>
          <w:p>
            <w:pPr>
              <w:spacing w:after="40"/>
            </w:pPr>
            <w:r/>
            <w:r>
              <w:rPr>
                <w:color w:val="16222F"/>
                <w:sz w:val="19"/>
              </w:rPr>
              <w:t>Every item quotes the exact words it came from, so the reader can judge for themselves. Stage C exists to measure how often this happens before anyone else sees an email.</w:t>
            </w:r>
          </w:p>
        </w:tc>
      </w:tr>
      <w:tr>
        <w:tc>
          <w:tcPr>
            <w:tcW w:type="dxa" w:w="3384"/>
            <w:vAlign w:val="top"/>
          </w:tcPr>
          <w:p>
            <w:pPr>
              <w:spacing w:after="40"/>
            </w:pPr>
            <w:r/>
            <w:r>
              <w:rPr>
                <w:color w:val="16222F"/>
                <w:sz w:val="19"/>
              </w:rPr>
              <w:t>Nobody starts the transcript, so nothing is sent.</w:t>
            </w:r>
          </w:p>
        </w:tc>
        <w:tc>
          <w:tcPr>
            <w:tcW w:type="dxa" w:w="6077"/>
            <w:vAlign w:val="top"/>
          </w:tcPr>
          <w:p>
            <w:pPr>
              <w:spacing w:after="40"/>
            </w:pPr>
            <w:r/>
            <w:r>
              <w:rPr>
                <w:color w:val="16222F"/>
                <w:sz w:val="19"/>
              </w:rPr>
              <w:t>This is what stage A step 2 prevents. If it still happens, the daily log records it and no incorrect email goes out.</w:t>
            </w:r>
          </w:p>
        </w:tc>
      </w:tr>
      <w:tr>
        <w:tc>
          <w:tcPr>
            <w:tcW w:type="dxa" w:w="3384"/>
            <w:vAlign w:val="top"/>
          </w:tcPr>
          <w:p>
            <w:pPr>
              <w:spacing w:after="40"/>
            </w:pPr>
            <w:r/>
            <w:r>
              <w:rPr>
                <w:color w:val="16222F"/>
                <w:sz w:val="19"/>
              </w:rPr>
              <w:t>People feel monitored.</w:t>
            </w:r>
          </w:p>
        </w:tc>
        <w:tc>
          <w:tcPr>
            <w:tcW w:type="dxa" w:w="6077"/>
            <w:vAlign w:val="top"/>
          </w:tcPr>
          <w:p>
            <w:pPr>
              <w:spacing w:after="40"/>
            </w:pPr>
            <w:r/>
            <w:r>
              <w:rPr>
                <w:color w:val="16222F"/>
                <w:sz w:val="19"/>
              </w:rPr>
              <w:t>It is announced before it starts; anyone can be removed from the list on request; and the emails contain nothing that was not said openly in a meeting everyone attended.</w:t>
            </w:r>
          </w:p>
        </w:tc>
      </w:tr>
      <w:tr>
        <w:tc>
          <w:tcPr>
            <w:tcW w:type="dxa" w:w="3384"/>
            <w:vAlign w:val="top"/>
          </w:tcPr>
          <w:p>
            <w:pPr>
              <w:spacing w:after="40"/>
            </w:pPr>
            <w:r/>
            <w:r>
              <w:rPr>
                <w:color w:val="16222F"/>
                <w:sz w:val="19"/>
              </w:rPr>
              <w:t>The person who set it up leaves.</w:t>
            </w:r>
          </w:p>
        </w:tc>
        <w:tc>
          <w:tcPr>
            <w:tcW w:type="dxa" w:w="6077"/>
            <w:vAlign w:val="top"/>
          </w:tcPr>
          <w:p>
            <w:pPr>
              <w:spacing w:after="40"/>
            </w:pPr>
            <w:r/>
            <w:r>
              <w:rPr>
                <w:color w:val="16222F"/>
                <w:sz w:val="19"/>
              </w:rPr>
              <w:t>There is nothing to maintain day to day. The setup is documented step by step, and the whole thing can be switched off by one person in under a minute.</w:t>
            </w:r>
          </w:p>
        </w:tc>
      </w:tr>
    </w:tbl>
    <w:p>
      <w:r>
        <w:br w:type="page"/>
      </w:r>
    </w:p>
    <w:p>
      <w:pPr>
        <w:pStyle w:val="Heading2"/>
      </w:pPr>
      <w:r>
        <w:t>8. Timeline</w:t>
      </w:r>
    </w:p>
    <w:tbl>
      <w:tblPr>
        <w:tblStyle w:val="TableGrid"/>
        <w:tblW w:type="auto" w:w="0"/>
        <w:tblLayout w:type="fixed"/>
        <w:tblLook w:firstColumn="1" w:firstRow="1" w:lastColumn="0" w:lastRow="0" w:noHBand="0" w:noVBand="1" w:val="04A0"/>
      </w:tblPr>
      <w:tblGrid>
        <w:gridCol w:w="3154"/>
        <w:gridCol w:w="3154"/>
        <w:gridCol w:w="3154"/>
      </w:tblGrid>
      <w:tr>
        <w:tc>
          <w:tcPr>
            <w:tcW w:type="dxa" w:w="1656"/>
            <w:shd w:val="clear" w:fill="3E5062"/>
            <w:vAlign w:val="center"/>
          </w:tcPr>
          <w:p>
            <w:pPr>
              <w:spacing w:after="40"/>
            </w:pPr>
            <w:r/>
            <w:r>
              <w:rPr>
                <w:b/>
                <w:color w:val="FFFFFF"/>
                <w:sz w:val="19"/>
              </w:rPr>
              <w:t>When</w:t>
            </w:r>
          </w:p>
        </w:tc>
        <w:tc>
          <w:tcPr>
            <w:tcW w:type="dxa" w:w="5400"/>
            <w:shd w:val="clear" w:fill="3E5062"/>
            <w:vAlign w:val="center"/>
          </w:tcPr>
          <w:p>
            <w:pPr>
              <w:spacing w:after="40"/>
            </w:pPr>
            <w:r/>
            <w:r>
              <w:rPr>
                <w:b/>
                <w:color w:val="FFFFFF"/>
                <w:sz w:val="19"/>
              </w:rPr>
              <w:t>What</w:t>
            </w:r>
          </w:p>
        </w:tc>
        <w:tc>
          <w:tcPr>
            <w:tcW w:type="dxa" w:w="2405"/>
            <w:shd w:val="clear" w:fill="3E5062"/>
            <w:vAlign w:val="center"/>
          </w:tcPr>
          <w:p>
            <w:pPr>
              <w:spacing w:after="40"/>
            </w:pPr>
            <w:r/>
            <w:r>
              <w:rPr>
                <w:b/>
                <w:color w:val="FFFFFF"/>
                <w:sz w:val="19"/>
              </w:rPr>
              <w:t>Decision point</w:t>
            </w:r>
          </w:p>
        </w:tc>
      </w:tr>
      <w:tr>
        <w:tc>
          <w:tcPr>
            <w:tcW w:type="dxa" w:w="1656"/>
            <w:vAlign w:val="top"/>
          </w:tcPr>
          <w:p>
            <w:pPr>
              <w:spacing w:after="40"/>
            </w:pPr>
            <w:r/>
            <w:r>
              <w:rPr>
                <w:b/>
                <w:color w:val="16222F"/>
                <w:sz w:val="19"/>
              </w:rPr>
              <w:t>Day 1</w:t>
            </w:r>
          </w:p>
        </w:tc>
        <w:tc>
          <w:tcPr>
            <w:tcW w:type="dxa" w:w="5400"/>
            <w:vAlign w:val="top"/>
          </w:tcPr>
          <w:p>
            <w:pPr>
              <w:spacing w:after="40"/>
            </w:pPr>
            <w:r/>
            <w:r>
              <w:rPr>
                <w:color w:val="16222F"/>
                <w:sz w:val="19"/>
              </w:rPr>
              <w:t>Admin settings; recreate the stand-up invite</w:t>
            </w:r>
          </w:p>
        </w:tc>
        <w:tc>
          <w:tcPr>
            <w:tcW w:type="dxa" w:w="2405"/>
            <w:vAlign w:val="top"/>
          </w:tcPr>
          <w:p>
            <w:pPr>
              <w:spacing w:after="40"/>
            </w:pPr>
            <w:r/>
            <w:r>
              <w:rPr>
                <w:color w:val="16222F"/>
                <w:sz w:val="19"/>
              </w:rPr>
              <w:t>Your approval to begin</w:t>
            </w:r>
          </w:p>
        </w:tc>
      </w:tr>
      <w:tr>
        <w:tc>
          <w:tcPr>
            <w:tcW w:type="dxa" w:w="1656"/>
            <w:vAlign w:val="top"/>
          </w:tcPr>
          <w:p>
            <w:pPr>
              <w:spacing w:after="40"/>
            </w:pPr>
            <w:r/>
            <w:r>
              <w:rPr>
                <w:b/>
                <w:color w:val="16222F"/>
                <w:sz w:val="19"/>
              </w:rPr>
              <w:t>Day 2</w:t>
            </w:r>
          </w:p>
        </w:tc>
        <w:tc>
          <w:tcPr>
            <w:tcW w:type="dxa" w:w="5400"/>
            <w:vAlign w:val="top"/>
          </w:tcPr>
          <w:p>
            <w:pPr>
              <w:spacing w:after="40"/>
            </w:pPr>
            <w:r/>
            <w:r>
              <w:rPr>
                <w:color w:val="16222F"/>
                <w:sz w:val="19"/>
              </w:rPr>
              <w:t>Confirm a transcript appears after a real stand-up</w:t>
            </w:r>
          </w:p>
        </w:tc>
        <w:tc>
          <w:tcPr>
            <w:tcW w:type="dxa" w:w="2405"/>
            <w:vAlign w:val="top"/>
          </w:tcPr>
          <w:p>
            <w:pPr>
              <w:spacing w:after="40"/>
            </w:pPr>
            <w:r/>
            <w:r>
              <w:rPr>
                <w:color w:val="16222F"/>
                <w:sz w:val="19"/>
              </w:rPr>
              <w:t>—</w:t>
            </w:r>
          </w:p>
        </w:tc>
      </w:tr>
      <w:tr>
        <w:tc>
          <w:tcPr>
            <w:tcW w:type="dxa" w:w="1656"/>
            <w:vAlign w:val="top"/>
          </w:tcPr>
          <w:p>
            <w:pPr>
              <w:spacing w:after="40"/>
            </w:pPr>
            <w:r/>
            <w:r>
              <w:rPr>
                <w:b/>
                <w:color w:val="16222F"/>
                <w:sz w:val="19"/>
              </w:rPr>
              <w:t>Day 3</w:t>
            </w:r>
          </w:p>
        </w:tc>
        <w:tc>
          <w:tcPr>
            <w:tcW w:type="dxa" w:w="5400"/>
            <w:vAlign w:val="top"/>
          </w:tcPr>
          <w:p>
            <w:pPr>
              <w:spacing w:after="40"/>
            </w:pPr>
            <w:r/>
            <w:r>
              <w:rPr>
                <w:color w:val="16222F"/>
                <w:sz w:val="19"/>
              </w:rPr>
              <w:t>Technical setup and health check</w:t>
            </w:r>
          </w:p>
        </w:tc>
        <w:tc>
          <w:tcPr>
            <w:tcW w:type="dxa" w:w="2405"/>
            <w:vAlign w:val="top"/>
          </w:tcPr>
          <w:p>
            <w:pPr>
              <w:spacing w:after="40"/>
            </w:pPr>
            <w:r/>
            <w:r>
              <w:rPr>
                <w:color w:val="16222F"/>
                <w:sz w:val="19"/>
              </w:rPr>
              <w:t>—</w:t>
            </w:r>
          </w:p>
        </w:tc>
      </w:tr>
      <w:tr>
        <w:tc>
          <w:tcPr>
            <w:tcW w:type="dxa" w:w="1656"/>
            <w:vAlign w:val="top"/>
          </w:tcPr>
          <w:p>
            <w:pPr>
              <w:spacing w:after="40"/>
            </w:pPr>
            <w:r/>
            <w:r>
              <w:rPr>
                <w:b/>
                <w:color w:val="16222F"/>
                <w:sz w:val="19"/>
              </w:rPr>
              <w:t>Week 1</w:t>
            </w:r>
          </w:p>
        </w:tc>
        <w:tc>
          <w:tcPr>
            <w:tcW w:type="dxa" w:w="5400"/>
            <w:vAlign w:val="top"/>
          </w:tcPr>
          <w:p>
            <w:pPr>
              <w:spacing w:after="40"/>
            </w:pPr>
            <w:r/>
            <w:r>
              <w:rPr>
                <w:color w:val="16222F"/>
                <w:sz w:val="19"/>
              </w:rPr>
              <w:t>Runs automatically; all emails go to one reviewer</w:t>
            </w:r>
          </w:p>
        </w:tc>
        <w:tc>
          <w:tcPr>
            <w:tcW w:type="dxa" w:w="2405"/>
            <w:vAlign w:val="top"/>
          </w:tcPr>
          <w:p>
            <w:pPr>
              <w:spacing w:after="40"/>
            </w:pPr>
            <w:r/>
            <w:r>
              <w:rPr>
                <w:color w:val="16222F"/>
                <w:sz w:val="19"/>
              </w:rPr>
              <w:t>—</w:t>
            </w:r>
          </w:p>
        </w:tc>
      </w:tr>
      <w:tr>
        <w:tc>
          <w:tcPr>
            <w:tcW w:type="dxa" w:w="1656"/>
            <w:vAlign w:val="top"/>
          </w:tcPr>
          <w:p>
            <w:pPr>
              <w:spacing w:after="40"/>
            </w:pPr>
            <w:r/>
            <w:r>
              <w:rPr>
                <w:b/>
                <w:color w:val="16222F"/>
                <w:sz w:val="19"/>
              </w:rPr>
              <w:t>End of week 1</w:t>
            </w:r>
          </w:p>
        </w:tc>
        <w:tc>
          <w:tcPr>
            <w:tcW w:type="dxa" w:w="5400"/>
            <w:vAlign w:val="top"/>
          </w:tcPr>
          <w:p>
            <w:pPr>
              <w:spacing w:after="40"/>
            </w:pPr>
            <w:r/>
            <w:r>
              <w:rPr>
                <w:color w:val="16222F"/>
                <w:sz w:val="19"/>
              </w:rPr>
              <w:t>Review of accuracy and usefulness</w:t>
            </w:r>
          </w:p>
        </w:tc>
        <w:tc>
          <w:tcPr>
            <w:tcW w:type="dxa" w:w="2405"/>
            <w:vAlign w:val="top"/>
          </w:tcPr>
          <w:p>
            <w:pPr>
              <w:spacing w:after="40"/>
            </w:pPr>
            <w:r/>
            <w:r>
              <w:rPr>
                <w:color w:val="16222F"/>
                <w:sz w:val="19"/>
              </w:rPr>
              <w:t>Continue, adjust, or stop</w:t>
            </w:r>
          </w:p>
        </w:tc>
      </w:tr>
      <w:tr>
        <w:tc>
          <w:tcPr>
            <w:tcW w:type="dxa" w:w="1656"/>
            <w:vAlign w:val="top"/>
          </w:tcPr>
          <w:p>
            <w:pPr>
              <w:spacing w:after="40"/>
            </w:pPr>
            <w:r/>
            <w:r>
              <w:rPr>
                <w:b/>
                <w:color w:val="16222F"/>
                <w:sz w:val="19"/>
              </w:rPr>
              <w:t>Weeks 2–5</w:t>
            </w:r>
          </w:p>
        </w:tc>
        <w:tc>
          <w:tcPr>
            <w:tcW w:type="dxa" w:w="5400"/>
            <w:vAlign w:val="top"/>
          </w:tcPr>
          <w:p>
            <w:pPr>
              <w:spacing w:after="40"/>
            </w:pPr>
            <w:r/>
            <w:r>
              <w:rPr>
                <w:color w:val="16222F"/>
                <w:sz w:val="19"/>
              </w:rPr>
              <w:t>Reviewer forwards the good ones by hand (recommended)</w:t>
            </w:r>
          </w:p>
        </w:tc>
        <w:tc>
          <w:tcPr>
            <w:tcW w:type="dxa" w:w="2405"/>
            <w:vAlign w:val="top"/>
          </w:tcPr>
          <w:p>
            <w:pPr>
              <w:spacing w:after="40"/>
            </w:pPr>
            <w:r/>
            <w:r>
              <w:rPr>
                <w:color w:val="16222F"/>
                <w:sz w:val="19"/>
              </w:rPr>
              <w:t>—</w:t>
            </w:r>
          </w:p>
        </w:tc>
      </w:tr>
      <w:tr>
        <w:tc>
          <w:tcPr>
            <w:tcW w:type="dxa" w:w="1656"/>
            <w:vAlign w:val="top"/>
          </w:tcPr>
          <w:p>
            <w:pPr>
              <w:spacing w:after="40"/>
            </w:pPr>
            <w:r/>
            <w:r>
              <w:rPr>
                <w:b/>
                <w:color w:val="16222F"/>
                <w:sz w:val="19"/>
              </w:rPr>
              <w:t>Week 6</w:t>
            </w:r>
          </w:p>
        </w:tc>
        <w:tc>
          <w:tcPr>
            <w:tcW w:type="dxa" w:w="5400"/>
            <w:vAlign w:val="top"/>
          </w:tcPr>
          <w:p>
            <w:pPr>
              <w:spacing w:after="40"/>
            </w:pPr>
            <w:r/>
            <w:r>
              <w:rPr>
                <w:color w:val="16222F"/>
                <w:sz w:val="19"/>
              </w:rPr>
              <w:t>Announce at stand-up; emails go directly to the team</w:t>
            </w:r>
          </w:p>
        </w:tc>
        <w:tc>
          <w:tcPr>
            <w:tcW w:type="dxa" w:w="2405"/>
            <w:vAlign w:val="top"/>
          </w:tcPr>
          <w:p>
            <w:pPr>
              <w:spacing w:after="40"/>
            </w:pPr>
            <w:r/>
            <w:r>
              <w:rPr>
                <w:color w:val="16222F"/>
                <w:sz w:val="19"/>
              </w:rPr>
              <w:t>Your go-live approval</w:t>
            </w:r>
          </w:p>
        </w:tc>
      </w:tr>
    </w:tbl>
    <w:p>
      <w:pPr>
        <w:spacing w:after="240"/>
      </w:pPr>
      <w:r>
        <w:rPr>
          <w:b w:val="0"/>
          <w:i/>
          <w:color w:val="6F8296"/>
          <w:sz w:val="20"/>
        </w:rPr>
        <w:t>At any point up to the final step, stopping costs nothing — no contract, no licence, and nothing has reached the team.</w:t>
      </w:r>
    </w:p>
    <w:p>
      <w:pPr>
        <w:pStyle w:val="Heading2"/>
      </w:pPr>
      <w:r>
        <w:t>9. Questions you are likely to be asked</w:t>
      </w:r>
    </w:p>
    <w:p>
      <w:pPr>
        <w:spacing w:after="40"/>
      </w:pPr>
      <w:r>
        <w:rPr>
          <w:b/>
          <w:i w:val="0"/>
          <w:color w:val="3E5062"/>
          <w:sz w:val="21"/>
        </w:rPr>
        <w:t>Will something join or record our meetings?</w:t>
      </w:r>
    </w:p>
    <w:p>
      <w:pPr>
        <w:spacing w:after="180"/>
      </w:pPr>
      <w:r>
        <w:rPr>
          <w:b w:val="0"/>
          <w:i w:val="0"/>
          <w:color w:val="16222F"/>
          <w:sz w:val="21"/>
        </w:rPr>
        <w:t>No. Nothing joins the call and no new recording is made. Google Meet already writes a transcript; this only reads it afterwards.</w:t>
      </w:r>
    </w:p>
    <w:p>
      <w:pPr>
        <w:spacing w:after="40"/>
      </w:pPr>
      <w:r>
        <w:rPr>
          <w:b/>
          <w:i w:val="0"/>
          <w:color w:val="3E5062"/>
          <w:sz w:val="21"/>
        </w:rPr>
        <w:t>Does our meeting content leave the company?</w:t>
      </w:r>
    </w:p>
    <w:p>
      <w:pPr>
        <w:spacing w:after="180"/>
      </w:pPr>
      <w:r>
        <w:rPr>
          <w:b w:val="0"/>
          <w:i w:val="0"/>
          <w:color w:val="16222F"/>
          <w:sz w:val="21"/>
        </w:rPr>
        <w:t>The transcript text is sent to Google's Gemini service to be sorted, and comes straight back. It already sits in Google Workspace, so it does not move to a new company — but it does move to a different Google service, which is why the paid tier in section 6 matters.</w:t>
      </w:r>
    </w:p>
    <w:p>
      <w:pPr>
        <w:spacing w:after="40"/>
      </w:pPr>
      <w:r>
        <w:rPr>
          <w:b/>
          <w:i w:val="0"/>
          <w:color w:val="3E5062"/>
          <w:sz w:val="21"/>
        </w:rPr>
        <w:t>Can someone opt out?</w:t>
      </w:r>
    </w:p>
    <w:p>
      <w:pPr>
        <w:spacing w:after="180"/>
      </w:pPr>
      <w:r>
        <w:rPr>
          <w:b w:val="0"/>
          <w:i w:val="0"/>
          <w:color w:val="16222F"/>
          <w:sz w:val="21"/>
        </w:rPr>
        <w:t>Yes. Removing a name from the list takes seconds and stops their emails. They still appear in the transcript, as they do today.</w:t>
      </w:r>
    </w:p>
    <w:p>
      <w:pPr>
        <w:spacing w:after="40"/>
      </w:pPr>
      <w:r>
        <w:rPr>
          <w:b/>
          <w:i w:val="0"/>
          <w:color w:val="3E5062"/>
          <w:sz w:val="21"/>
        </w:rPr>
        <w:t>What if the AI writes something wrong?</w:t>
      </w:r>
    </w:p>
    <w:p>
      <w:pPr>
        <w:spacing w:after="180"/>
      </w:pPr>
      <w:r>
        <w:rPr>
          <w:b w:val="0"/>
          <w:i w:val="0"/>
          <w:color w:val="16222F"/>
          <w:sz w:val="21"/>
        </w:rPr>
        <w:t>Every point quotes the words it came from, so it can be checked at a glance. Stage C is designed to find out how often this happens before the team is involved.</w:t>
      </w:r>
    </w:p>
    <w:p>
      <w:pPr>
        <w:spacing w:after="40"/>
      </w:pPr>
      <w:r>
        <w:rPr>
          <w:b/>
          <w:i w:val="0"/>
          <w:color w:val="3E5062"/>
          <w:sz w:val="21"/>
        </w:rPr>
        <w:t>Is anyone tied to maintaining this?</w:t>
      </w:r>
    </w:p>
    <w:p>
      <w:pPr>
        <w:spacing w:after="180"/>
      </w:pPr>
      <w:r>
        <w:rPr>
          <w:b w:val="0"/>
          <w:i w:val="0"/>
          <w:color w:val="16222F"/>
          <w:sz w:val="21"/>
        </w:rPr>
        <w:t>No. Once running, it needs no daily attention. The most likely thing to go wrong is a transcript not starting, which the log reports.</w:t>
      </w:r>
    </w:p>
    <w:p>
      <w:pPr>
        <w:spacing w:after="40"/>
      </w:pPr>
      <w:r>
        <w:rPr>
          <w:b/>
          <w:i w:val="0"/>
          <w:color w:val="3E5062"/>
          <w:sz w:val="21"/>
        </w:rPr>
        <w:t>Can we stop it?</w:t>
      </w:r>
    </w:p>
    <w:p>
      <w:pPr>
        <w:spacing w:after="180"/>
      </w:pPr>
      <w:r>
        <w:rPr>
          <w:b w:val="0"/>
          <w:i w:val="0"/>
          <w:color w:val="16222F"/>
          <w:sz w:val="21"/>
        </w:rPr>
        <w:t>Yes, immediately, by one person, in under a minute. There is no contract or licence.</w:t>
      </w:r>
    </w:p>
    <w:p>
      <w:pPr>
        <w:spacing w:after="40"/>
      </w:pPr>
      <w:r>
        <w:rPr>
          <w:b/>
          <w:i w:val="0"/>
          <w:color w:val="3E5062"/>
          <w:sz w:val="21"/>
        </w:rPr>
        <w:t>Why not just use one of the meeting-notes products on the market?</w:t>
      </w:r>
    </w:p>
    <w:p>
      <w:pPr>
        <w:spacing w:after="180"/>
      </w:pPr>
      <w:r>
        <w:rPr>
          <w:b w:val="0"/>
          <w:i w:val="0"/>
          <w:color w:val="16222F"/>
          <w:sz w:val="21"/>
        </w:rPr>
        <w:t>Those work, but each sends a bot into the call, which every external guest can see, and they charge per person. This uses what we already have and stays within our own Google account.</w:t>
      </w:r>
    </w:p>
    <w:p>
      <w:pPr>
        <w:spacing w:after="40"/>
      </w:pPr>
      <w:r>
        <w:rPr>
          <w:b w:val="0"/>
          <w:i w:val="0"/>
          <w:color w:val="16222F"/>
          <w:sz w:val="21"/>
        </w:rPr>
      </w:r>
    </w:p>
    <w:p>
      <w:pPr>
        <w:pBdr>
          <w:top w:val="single" w:sz="6" w:color="D9DEE4"/>
        </w:pBdr>
        <w:spacing w:before="120"/>
      </w:pPr>
    </w:p>
    <w:p>
      <w:pPr>
        <w:spacing w:after="40"/>
      </w:pPr>
      <w:r>
        <w:rPr>
          <w:b w:val="0"/>
          <w:i/>
          <w:color w:val="6F8296"/>
          <w:sz w:val="19"/>
        </w:rPr>
        <w:t>The technical setup guide, written for whoever performs stages B and C, is a separate document. It does not need to be read to make the decisions in section 4.</w:t>
      </w:r>
    </w:p>
    <w:sectPr w:rsidR="00FC693F" w:rsidRPr="0006063C" w:rsidSect="00034616">
      <w:pgSz w:w="11909" w:h="16834"/>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B33224"/>
      <w:sz w:val="44"/>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16222F"/>
      <w:sz w:val="29"/>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3E50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