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Comprehensive Project Presentation and Future Recommendations</w:t>
      </w:r>
    </w:p>
    <w:p>
      <w:pPr>
        <w:spacing w:after="400"/>
        <w:jc w:val="center"/>
      </w:pPr>
      <w:r>
        <w:rPr>
          <w:i/>
          <w:iCs/>
          <w:sz w:val="24"/>
          <w:szCs w:val="24"/>
        </w:rPr>
        <w:t xml:space="preserve">Customer Churn Prediction — Full Project Lifecycle Summary</w:t>
      </w:r>
    </w:p>
    <w:p>
      <w:pPr>
        <w:spacing w:after="400"/>
        <w:jc w:val="center"/>
      </w:pPr>
      <w:r>
        <w:rPr>
          <w:color w:val="555555"/>
          <w:sz w:val="20"/>
          <w:szCs w:val="20"/>
        </w:rPr>
        <w:t xml:space="preserve">Prepared by: Kirubavathi   |   Internship: Virtual Data Science Explorer (Yuva Intern – NSDC)   |   Week 6 Final Task   |   Date: 05 September 2026</w:t>
      </w:r>
    </w:p>
    <w:p>
      <w:pPr>
        <w:pStyle w:val="Heading1"/>
        <w:spacing w:after="150" w:before="300"/>
      </w:pPr>
      <w:r>
        <w:t xml:space="preserve">1. Project Background</w:t>
      </w:r>
    </w:p>
    <w:p>
      <w:pPr>
        <w:spacing w:after="150" w:line="300"/>
        <w:jc w:val="both"/>
      </w:pPr>
      <w:r>
        <w:t xml:space="preserve">This project addressed a common, high-impact business problem for subscription-based companies: predicting which customers are likely to churn, and understanding why. Over six weeks, the project moved from initial planning through data cleaning, exploratory analysis, predictive modeling, visualization and storytelling, and model optimization — mirroring a genuine end-to-end data science workflow using Python. This report synthesises all five prior stages into a single narrative and closes with actionable future recommendations.</w:t>
      </w:r>
    </w:p>
    <w:p>
      <w:pPr>
        <w:pStyle w:val="Heading1"/>
        <w:spacing w:after="150" w:before="300"/>
      </w:pPr>
      <w:r>
        <w:t xml:space="preserve">2. Methodology — Full Project Lifecycle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200"/>
        <w:gridCol w:w="2200"/>
      </w:tblGrid>
      <w:tr>
        <w:trPr>
          <w:tblHeader/>
        </w:trPr>
        <w:tc>
          <w:tcPr>
            <w:tcW w:type="dxa" w:w="2400"/>
            <w:shd w:fill="1F4E3D" w:val="clear"/>
          </w:tcPr>
          <w:p>
            <w:r>
              <w:rPr>
                <w:b/>
                <w:bCs/>
                <w:color w:val="FFFFFF"/>
                <w:sz w:val="20"/>
                <w:szCs w:val="20"/>
              </w:rPr>
              <w:t xml:space="preserve">Phase</w:t>
            </w:r>
          </w:p>
        </w:tc>
        <w:tc>
          <w:tcPr>
            <w:tcW w:type="dxa" w:w="900"/>
            <w:shd w:fill="1F4E3D" w:val="clear"/>
          </w:tcPr>
          <w:p>
            <w:r>
              <w:rPr>
                <w:b/>
                <w:bCs/>
                <w:color w:val="FFFFFF"/>
                <w:sz w:val="20"/>
                <w:szCs w:val="20"/>
              </w:rPr>
              <w:t xml:space="preserve">Week</w:t>
            </w:r>
          </w:p>
        </w:tc>
        <w:tc>
          <w:tcPr>
            <w:tcW w:type="dxa" w:w="4200"/>
            <w:shd w:fill="1F4E3D" w:val="clear"/>
          </w:tcPr>
          <w:p>
            <w:r>
              <w:rPr>
                <w:b/>
                <w:bCs/>
                <w:color w:val="FFFFFF"/>
                <w:sz w:val="20"/>
                <w:szCs w:val="20"/>
              </w:rPr>
              <w:t xml:space="preserve">Key Activities</w:t>
            </w:r>
          </w:p>
        </w:tc>
        <w:tc>
          <w:tcPr>
            <w:tcW w:type="dxa" w:w="2200"/>
            <w:shd w:fill="1F4E3D" w:val="clear"/>
          </w:tcPr>
          <w:p>
            <w:r>
              <w:rPr>
                <w:b/>
                <w:bCs/>
                <w:color w:val="FFFFFF"/>
                <w:sz w:val="20"/>
                <w:szCs w:val="20"/>
              </w:rPr>
              <w:t xml:space="preserve">Key Output</w:t>
            </w:r>
          </w:p>
        </w:tc>
      </w:tr>
      <w:tr>
        <w:tc>
          <w:tcPr>
            <w:tcW w:type="dxa" w:w="2400"/>
          </w:tcPr>
          <w:p>
            <w:r>
              <w:rPr>
                <w:b w:val="false"/>
                <w:bCs w:val="false"/>
                <w:color w:val="000000"/>
                <w:sz w:val="20"/>
                <w:szCs w:val="20"/>
              </w:rPr>
              <w:t xml:space="preserve">Planning</w:t>
            </w:r>
          </w:p>
        </w:tc>
        <w:tc>
          <w:tcPr>
            <w:tcW w:type="dxa" w:w="900"/>
          </w:tcPr>
          <w:p>
            <w:r>
              <w:rPr>
                <w:b w:val="false"/>
                <w:bCs w:val="false"/>
                <w:color w:val="000000"/>
                <w:sz w:val="20"/>
                <w:szCs w:val="20"/>
              </w:rPr>
              <w:t xml:space="preserve">1</w:t>
            </w:r>
          </w:p>
        </w:tc>
        <w:tc>
          <w:tcPr>
            <w:tcW w:type="dxa" w:w="4200"/>
          </w:tcPr>
          <w:p>
            <w:r>
              <w:rPr>
                <w:b w:val="false"/>
                <w:bCs w:val="false"/>
                <w:color w:val="000000"/>
                <w:sz w:val="20"/>
                <w:szCs w:val="20"/>
              </w:rPr>
              <w:t xml:space="preserve">Defined problem statement, scope, objectives, methodology, timeline, and risk assessment</w:t>
            </w:r>
          </w:p>
        </w:tc>
        <w:tc>
          <w:tcPr>
            <w:tcW w:type="dxa" w:w="2200"/>
          </w:tcPr>
          <w:p>
            <w:r>
              <w:rPr>
                <w:b w:val="false"/>
                <w:bCs w:val="false"/>
                <w:color w:val="000000"/>
                <w:sz w:val="20"/>
                <w:szCs w:val="20"/>
              </w:rPr>
              <w:t xml:space="preserve">Project plan document</w:t>
            </w:r>
          </w:p>
        </w:tc>
      </w:tr>
      <w:tr>
        <w:tc>
          <w:tcPr>
            <w:tcW w:type="dxa" w:w="2400"/>
          </w:tcPr>
          <w:p>
            <w:r>
              <w:rPr>
                <w:b w:val="false"/>
                <w:bCs w:val="false"/>
                <w:color w:val="000000"/>
                <w:sz w:val="20"/>
                <w:szCs w:val="20"/>
              </w:rPr>
              <w:t xml:space="preserve">Data Preparation &amp; EDA</w:t>
            </w:r>
          </w:p>
        </w:tc>
        <w:tc>
          <w:tcPr>
            <w:tcW w:type="dxa" w:w="900"/>
          </w:tcPr>
          <w:p>
            <w:r>
              <w:rPr>
                <w:b w:val="false"/>
                <w:bCs w:val="false"/>
                <w:color w:val="000000"/>
                <w:sz w:val="20"/>
                <w:szCs w:val="20"/>
              </w:rPr>
              <w:t xml:space="preserve">2</w:t>
            </w:r>
          </w:p>
        </w:tc>
        <w:tc>
          <w:tcPr>
            <w:tcW w:type="dxa" w:w="4200"/>
          </w:tcPr>
          <w:p>
            <w:r>
              <w:rPr>
                <w:b w:val="false"/>
                <w:bCs w:val="false"/>
                <w:color w:val="000000"/>
                <w:sz w:val="20"/>
                <w:szCs w:val="20"/>
              </w:rPr>
              <w:t xml:space="preserve">Cleaned a 2,000-record customer dataset (duplicates, missing values, outliers); explored patterns via histograms and scatter plots</w:t>
            </w:r>
          </w:p>
        </w:tc>
        <w:tc>
          <w:tcPr>
            <w:tcW w:type="dxa" w:w="2200"/>
          </w:tcPr>
          <w:p>
            <w:r>
              <w:rPr>
                <w:b w:val="false"/>
                <w:bCs w:val="false"/>
                <w:color w:val="000000"/>
                <w:sz w:val="20"/>
                <w:szCs w:val="20"/>
              </w:rPr>
              <w:t xml:space="preserve">Cleaned dataset + EDA report</w:t>
            </w:r>
          </w:p>
        </w:tc>
      </w:tr>
      <w:tr>
        <w:tc>
          <w:tcPr>
            <w:tcW w:type="dxa" w:w="2400"/>
          </w:tcPr>
          <w:p>
            <w:r>
              <w:rPr>
                <w:b w:val="false"/>
                <w:bCs w:val="false"/>
                <w:color w:val="000000"/>
                <w:sz w:val="20"/>
                <w:szCs w:val="20"/>
              </w:rPr>
              <w:t xml:space="preserve">Predictive Modeling</w:t>
            </w:r>
          </w:p>
        </w:tc>
        <w:tc>
          <w:tcPr>
            <w:tcW w:type="dxa" w:w="900"/>
          </w:tcPr>
          <w:p>
            <w:r>
              <w:rPr>
                <w:b w:val="false"/>
                <w:bCs w:val="false"/>
                <w:color w:val="000000"/>
                <w:sz w:val="20"/>
                <w:szCs w:val="20"/>
              </w:rPr>
              <w:t xml:space="preserve">3</w:t>
            </w:r>
          </w:p>
        </w:tc>
        <w:tc>
          <w:tcPr>
            <w:tcW w:type="dxa" w:w="4200"/>
          </w:tcPr>
          <w:p>
            <w:r>
              <w:rPr>
                <w:b w:val="false"/>
                <w:bCs w:val="false"/>
                <w:color w:val="000000"/>
                <w:sz w:val="20"/>
                <w:szCs w:val="20"/>
              </w:rPr>
              <w:t xml:space="preserve">Trained and compared Logistic Regression, Decision Tree, and Random Forest classifiers with cross-validation</w:t>
            </w:r>
          </w:p>
        </w:tc>
        <w:tc>
          <w:tcPr>
            <w:tcW w:type="dxa" w:w="2200"/>
          </w:tcPr>
          <w:p>
            <w:r>
              <w:rPr>
                <w:b w:val="false"/>
                <w:bCs w:val="false"/>
                <w:color w:val="000000"/>
                <w:sz w:val="20"/>
                <w:szCs w:val="20"/>
              </w:rPr>
              <w:t xml:space="preserve">Selected model + evaluation report</w:t>
            </w:r>
          </w:p>
        </w:tc>
      </w:tr>
      <w:tr>
        <w:tc>
          <w:tcPr>
            <w:tcW w:type="dxa" w:w="2400"/>
          </w:tcPr>
          <w:p>
            <w:r>
              <w:rPr>
                <w:b w:val="false"/>
                <w:bCs w:val="false"/>
                <w:color w:val="000000"/>
                <w:sz w:val="20"/>
                <w:szCs w:val="20"/>
              </w:rPr>
              <w:t xml:space="preserve">Visualization &amp; Storytelling</w:t>
            </w:r>
          </w:p>
        </w:tc>
        <w:tc>
          <w:tcPr>
            <w:tcW w:type="dxa" w:w="900"/>
          </w:tcPr>
          <w:p>
            <w:r>
              <w:rPr>
                <w:b w:val="false"/>
                <w:bCs w:val="false"/>
                <w:color w:val="000000"/>
                <w:sz w:val="20"/>
                <w:szCs w:val="20"/>
              </w:rPr>
              <w:t xml:space="preserve">4</w:t>
            </w:r>
          </w:p>
        </w:tc>
        <w:tc>
          <w:tcPr>
            <w:tcW w:type="dxa" w:w="4200"/>
          </w:tcPr>
          <w:p>
            <w:r>
              <w:rPr>
                <w:b w:val="false"/>
                <w:bCs w:val="false"/>
                <w:color w:val="000000"/>
                <w:sz w:val="20"/>
                <w:szCs w:val="20"/>
              </w:rPr>
              <w:t xml:space="preserve">Built a line plot, bar chart, and heat map to translate findings into a business-ready narrative</w:t>
            </w:r>
          </w:p>
        </w:tc>
        <w:tc>
          <w:tcPr>
            <w:tcW w:type="dxa" w:w="2200"/>
          </w:tcPr>
          <w:p>
            <w:r>
              <w:rPr>
                <w:b w:val="false"/>
                <w:bCs w:val="false"/>
                <w:color w:val="000000"/>
                <w:sz w:val="20"/>
                <w:szCs w:val="20"/>
              </w:rPr>
              <w:t xml:space="preserve">Visual report + retention recommendation</w:t>
            </w:r>
          </w:p>
        </w:tc>
      </w:tr>
      <w:tr>
        <w:tc>
          <w:tcPr>
            <w:tcW w:type="dxa" w:w="2400"/>
          </w:tcPr>
          <w:p>
            <w:r>
              <w:rPr>
                <w:b w:val="false"/>
                <w:bCs w:val="false"/>
                <w:color w:val="000000"/>
                <w:sz w:val="20"/>
                <w:szCs w:val="20"/>
              </w:rPr>
              <w:t xml:space="preserve">Model Evaluation &amp; Optimization</w:t>
            </w:r>
          </w:p>
        </w:tc>
        <w:tc>
          <w:tcPr>
            <w:tcW w:type="dxa" w:w="900"/>
          </w:tcPr>
          <w:p>
            <w:r>
              <w:rPr>
                <w:b w:val="false"/>
                <w:bCs w:val="false"/>
                <w:color w:val="000000"/>
                <w:sz w:val="20"/>
                <w:szCs w:val="20"/>
              </w:rPr>
              <w:t xml:space="preserve">5</w:t>
            </w:r>
          </w:p>
        </w:tc>
        <w:tc>
          <w:tcPr>
            <w:tcW w:type="dxa" w:w="4200"/>
          </w:tcPr>
          <w:p>
            <w:r>
              <w:rPr>
                <w:b w:val="false"/>
                <w:bCs w:val="false"/>
                <w:color w:val="000000"/>
                <w:sz w:val="20"/>
                <w:szCs w:val="20"/>
              </w:rPr>
              <w:t xml:space="preserve">Diagnosed low recall as the key bottleneck; applied GridSearchCV, class-weighting, and threshold tuning</w:t>
            </w:r>
          </w:p>
        </w:tc>
        <w:tc>
          <w:tcPr>
            <w:tcW w:type="dxa" w:w="2200"/>
          </w:tcPr>
          <w:p>
            <w:r>
              <w:rPr>
                <w:b w:val="false"/>
                <w:bCs w:val="false"/>
                <w:color w:val="000000"/>
                <w:sz w:val="20"/>
                <w:szCs w:val="20"/>
              </w:rPr>
              <w:t xml:space="preserve">Optimized model + before/after comparison</w:t>
            </w:r>
          </w:p>
        </w:tc>
      </w:tr>
    </w:tbl>
    <w:p>
      <w:r>
        <w:br w:type="page"/>
      </w:r>
    </w:p>
    <w:p>
      <w:pPr>
        <w:pStyle w:val="Heading1"/>
        <w:spacing w:after="150" w:before="300"/>
      </w:pPr>
      <w:r>
        <w:t xml:space="preserve">3. Key Findings Across the Project</w:t>
      </w:r>
    </w:p>
    <w:p>
      <w:pPr>
        <w:pStyle w:val="ListParagraph"/>
        <w:numPr>
          <w:ilvl w:val="0"/>
          <w:numId w:val="1"/>
        </w:numPr>
        <w:spacing w:after="80" w:line="300"/>
      </w:pPr>
      <w:r>
        <w:t xml:space="preserve">Contract type is the single strongest driver of churn: month-to-month customers churn at roughly 48%, compared to 24% for one-year and 16% for two-year contracts (Weeks 2–4).</w:t>
      </w:r>
    </w:p>
    <w:p>
      <w:pPr>
        <w:pStyle w:val="ListParagraph"/>
        <w:numPr>
          <w:ilvl w:val="0"/>
          <w:numId w:val="1"/>
        </w:numPr>
        <w:spacing w:after="80" w:line="300"/>
      </w:pPr>
      <w:r>
        <w:t xml:space="preserve">The first six months of a customer's tenure is the highest-risk period, with churn rates near 49% before declining and stabilising in later tenure bands (Week 4).</w:t>
      </w:r>
    </w:p>
    <w:p>
      <w:pPr>
        <w:pStyle w:val="ListParagraph"/>
        <w:numPr>
          <w:ilvl w:val="0"/>
          <w:numId w:val="1"/>
        </w:numPr>
        <w:spacing w:after="80" w:line="300"/>
      </w:pPr>
      <w:r>
        <w:t xml:space="preserve">A simple, interpretable Logistic Regression model outperformed more complex tree-based ensembles on this dataset, achieving the best ROC AUC (0.678) among the three algorithms tested (Week 3).</w:t>
      </w:r>
    </w:p>
    <w:p>
      <w:pPr>
        <w:pStyle w:val="ListParagraph"/>
        <w:numPr>
          <w:ilvl w:val="0"/>
          <w:numId w:val="1"/>
        </w:numPr>
        <w:spacing w:after="80" w:line="300"/>
      </w:pPr>
      <w:r>
        <w:t xml:space="preserve">The baseline model's main weakness was low recall (0.376) — missing most actual churners; targeted optimization (class-weighting and threshold tuning) raised recall to 0.792, roughly doubling the model's ability to catch at-risk customers, with an acceptable trade-off in precision (Week 5).</w:t>
      </w:r>
    </w:p>
    <w:p>
      <w:pPr>
        <w:pStyle w:val="ListParagraph"/>
        <w:numPr>
          <w:ilvl w:val="0"/>
          <w:numId w:val="1"/>
        </w:numPr>
        <w:spacing w:after="80" w:line="300"/>
      </w:pPr>
      <w:r>
        <w:t xml:space="preserve">Combining contract type and internet service in a single view (heat map) revealed that month-to-month customers churn at similarly high rates regardless of internet service type, while a secondary risk group — long-contract customers without internet service — would be missed by a simpler, single-variable analysis (Week 4).</w:t>
      </w:r>
    </w:p>
    <w:p>
      <w:pPr>
        <w:pStyle w:val="Heading1"/>
        <w:spacing w:after="150" w:before="300"/>
      </w:pPr>
      <w:r>
        <w:t xml:space="preserve">4. Business / Research Value of the Project</w:t>
      </w:r>
    </w:p>
    <w:p>
      <w:pPr>
        <w:spacing w:after="150" w:line="300"/>
        <w:jc w:val="both"/>
      </w:pPr>
      <w:r>
        <w:t xml:space="preserve">Beyond the technical exercise, this project demonstrates a realistic decision-support workflow: rather than recommending a generic, evenly-spread retention campaign, the analysis identifies exactly which customer segments deserve priority (new, month-to-month customers, and long-contract customers without internet add-ons) and provides a working predictive model — refined specifically to catch more true churners — that could flag at-risk customers for proactive outreach in a real deployment.</w:t>
      </w:r>
    </w:p>
    <w:p>
      <w:pPr>
        <w:pStyle w:val="Heading1"/>
        <w:spacing w:after="150" w:before="300"/>
      </w:pPr>
      <w:r>
        <w:t xml:space="preserve">5. Challenges Faced</w:t>
      </w:r>
    </w:p>
    <w:p>
      <w:pPr>
        <w:pStyle w:val="ListParagraph"/>
        <w:numPr>
          <w:ilvl w:val="0"/>
          <w:numId w:val="1"/>
        </w:numPr>
        <w:spacing w:after="80" w:line="300"/>
      </w:pPr>
      <w:r>
        <w:t xml:space="preserve">Class imbalance: With churners making up only about a third of customers, the initial model favoured overall accuracy at the expense of correctly identifying churners, requiring deliberate optimization (class-weighting, threshold tuning) rather than default settings.</w:t>
      </w:r>
    </w:p>
    <w:p>
      <w:pPr>
        <w:pStyle w:val="ListParagraph"/>
        <w:numPr>
          <w:ilvl w:val="0"/>
          <w:numId w:val="1"/>
        </w:numPr>
        <w:spacing w:after="80" w:line="300"/>
      </w:pPr>
      <w:r>
        <w:t xml:space="preserve">Precision-recall trade-off: Improving recall inevitably reduced precision and accuracy; deciding how far to push this trade-off is ultimately a business decision, not a purely technical one, and was flagged as an open question for stakeholders.</w:t>
      </w:r>
    </w:p>
    <w:p>
      <w:pPr>
        <w:pStyle w:val="ListParagraph"/>
        <w:numPr>
          <w:ilvl w:val="0"/>
          <w:numId w:val="1"/>
        </w:numPr>
        <w:spacing w:after="80" w:line="300"/>
      </w:pPr>
      <w:r>
        <w:t xml:space="preserve">Simulated dataset realism: Because a live company dataset was not available, a carefully constructed representative dataset was used; real deployment would require re-validating all findings and model performance on the business's actual data.</w:t>
      </w:r>
    </w:p>
    <w:p>
      <w:pPr>
        <w:pStyle w:val="ListParagraph"/>
        <w:numPr>
          <w:ilvl w:val="0"/>
          <w:numId w:val="1"/>
        </w:numPr>
        <w:spacing w:after="80" w:line="300"/>
      </w:pPr>
      <w:r>
        <w:t xml:space="preserve">Feature-set ceiling: All three modeling algorithms plateaued at broadly similar accuracy, suggesting the available features (tenure, charges, contract, service type) may be missing additional predictive signals such as customer support interactions or usage frequency.</w:t>
      </w:r>
    </w:p>
    <w:p>
      <w:pPr>
        <w:pStyle w:val="Heading1"/>
        <w:spacing w:after="150" w:before="300"/>
      </w:pPr>
      <w:r>
        <w:t xml:space="preserve">6. Future Recommendations</w:t>
      </w:r>
    </w:p>
    <w:p>
      <w:pPr>
        <w:pStyle w:val="ListParagraph"/>
        <w:numPr>
          <w:ilvl w:val="0"/>
          <w:numId w:val="1"/>
        </w:numPr>
        <w:spacing w:after="80" w:line="300"/>
      </w:pPr>
      <w:r>
        <w:t xml:space="preserve">Acquire and incorporate richer behavioural features (support-ticket history, usage frequency, app/website engagement) to try to raise the current performance ceiling beyond an F1 score of roughly 0.60.</w:t>
      </w:r>
    </w:p>
    <w:p>
      <w:pPr>
        <w:pStyle w:val="ListParagraph"/>
        <w:numPr>
          <w:ilvl w:val="0"/>
          <w:numId w:val="1"/>
        </w:numPr>
        <w:spacing w:after="80" w:line="300"/>
      </w:pPr>
      <w:r>
        <w:t xml:space="preserve">Test SMOTE (synthetic oversampling) and cost-sensitive learning as alternatives to class-weighting, potentially achieving a better precision-recall balance than threshold tuning alone.</w:t>
      </w:r>
    </w:p>
    <w:p>
      <w:pPr>
        <w:pStyle w:val="ListParagraph"/>
        <w:numPr>
          <w:ilvl w:val="0"/>
          <w:numId w:val="1"/>
        </w:numPr>
        <w:spacing w:after="80" w:line="300"/>
      </w:pPr>
      <w:r>
        <w:t xml:space="preserve">Deploy the optimized model as a scheduled monthly scoring job that flags high-risk customers for the retention team, prioritising the two segments identified in Week 4 (early-tenure month-to-month customers; long-contract customers without internet service).</w:t>
      </w:r>
    </w:p>
    <w:p>
      <w:pPr>
        <w:pStyle w:val="ListParagraph"/>
        <w:numPr>
          <w:ilvl w:val="0"/>
          <w:numId w:val="1"/>
        </w:numPr>
        <w:spacing w:after="80" w:line="300"/>
      </w:pPr>
      <w:r>
        <w:t xml:space="preserve">Run a controlled A/B test of retention offers on model-flagged customers versus a random control group, to measure the model's real business impact rather than relying on offline metrics alone.</w:t>
      </w:r>
    </w:p>
    <w:p>
      <w:pPr>
        <w:pStyle w:val="ListParagraph"/>
        <w:numPr>
          <w:ilvl w:val="0"/>
          <w:numId w:val="1"/>
        </w:numPr>
        <w:spacing w:after="80" w:line="300"/>
      </w:pPr>
      <w:r>
        <w:t xml:space="preserve">Revisit the model quarterly as new customer data accumulates, since churn drivers and customer behaviour can shift over time.</w:t>
      </w:r>
    </w:p>
    <w:p>
      <w:pPr>
        <w:pStyle w:val="Heading1"/>
        <w:spacing w:after="150" w:before="300"/>
      </w:pPr>
      <w:r>
        <w:t xml:space="preserve">7. Reflection on Learning Outcomes</w:t>
      </w:r>
    </w:p>
    <w:p>
      <w:pPr>
        <w:spacing w:after="150" w:line="300"/>
        <w:jc w:val="both"/>
      </w:pPr>
      <w:r>
        <w:t xml:space="preserve">This project provided hands-on practice across the full data science lifecycle in Python: cleaning and preparing imperfect real-world-style data, applying and comparing multiple classification algorithms with proper cross-validation, translating technical findings into a business-facing visual narrative, and diagnosing and fixing a specific model weakness rather than accepting default performance. A key learning was that model 'accuracy' alone is often the wrong metric to optimise — the low-recall bottleneck in Week 5 would have gone unnoticed if only accuracy had been tracked, reinforcing the importance of selecting evaluation metrics that match the actual business goal. Another key takeaway was that the highest-value data science work often lies not in the most complex model, but in correctly identifying the bottleneck and business context that determines which trade-offs actually matter.</w:t>
      </w:r>
    </w:p>
    <w:p>
      <w:pPr>
        <w:pStyle w:val="Heading2"/>
        <w:spacing w:after="100" w:before="200"/>
      </w:pPr>
      <w:r>
        <w:t xml:space="preserve">Areas for Improvement in Future Projects</w:t>
      </w:r>
    </w:p>
    <w:p>
      <w:pPr>
        <w:pStyle w:val="ListParagraph"/>
        <w:numPr>
          <w:ilvl w:val="0"/>
          <w:numId w:val="1"/>
        </w:numPr>
        <w:spacing w:after="80" w:line="300"/>
      </w:pPr>
      <w:r>
        <w:t xml:space="preserve">Earlier and more systematic hyperparameter tuning, rather than treating optimization as a separate late-stage step.</w:t>
      </w:r>
    </w:p>
    <w:p>
      <w:pPr>
        <w:pStyle w:val="ListParagraph"/>
        <w:numPr>
          <w:ilvl w:val="0"/>
          <w:numId w:val="1"/>
        </w:numPr>
        <w:spacing w:after="80" w:line="300"/>
      </w:pPr>
      <w:r>
        <w:t xml:space="preserve">Greater use of business-cost-based thresholds from the start, rather than defaulting to F1-optimised thresholds and adjusting afterward.</w:t>
      </w:r>
    </w:p>
    <w:p>
      <w:pPr>
        <w:pStyle w:val="ListParagraph"/>
        <w:numPr>
          <w:ilvl w:val="0"/>
          <w:numId w:val="1"/>
        </w:numPr>
        <w:spacing w:after="80" w:line="300"/>
      </w:pPr>
      <w:r>
        <w:t xml:space="preserve">Testing feature engineering ideas (e.g., interaction terms between tenure and contract type) earlier in the modeling process, before finalising algorithm selection.</w:t>
      </w:r>
    </w:p>
    <w:p>
      <w:pPr>
        <w:pStyle w:val="Heading1"/>
        <w:spacing w:after="150" w:before="300"/>
      </w:pPr>
      <w:r>
        <w:t xml:space="preserve">8. Conclusion</w:t>
      </w:r>
    </w:p>
    <w:p>
      <w:pPr>
        <w:spacing w:after="150" w:line="300"/>
        <w:jc w:val="both"/>
      </w:pPr>
      <w:r>
        <w:t xml:space="preserve">This six-week project took a customer churn prediction problem through a complete, realistic data science lifecycle — from initial planning to a working, optimized predictive model with clear, actionable business recommendations. The final model catches roughly 79% of at-risk customers (up from 38% at baseline), and the accompanying analysis identifies precisely which customer segments a retention program should prioritise. The recommendations and reflections above provide a clear, prioritised path for extending this work into a production-ready churn-management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2026-09-05T09:55:15.566Z</dcterms:created>
  <dcterms:modified xsi:type="dcterms:W3CDTF">2026-09-05T09:55:15.576Z</dcterms:modified>
</cp:coreProperties>
</file>

<file path=docProps/custom.xml><?xml version="1.0" encoding="utf-8"?>
<Properties xmlns="http://schemas.openxmlformats.org/officeDocument/2006/custom-properties" xmlns:vt="http://schemas.openxmlformats.org/officeDocument/2006/docPropsVTypes"/>
</file>