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144" w:tblpY="568"/>
        <w:tblW w:w="9747" w:type="dxa"/>
        <w:tblLayout w:type="fixed"/>
        <w:tblLook w:val="01E0"/>
      </w:tblPr>
      <w:tblGrid>
        <w:gridCol w:w="3227"/>
        <w:gridCol w:w="6520"/>
      </w:tblGrid>
      <w:tr w:rsidR="006A516E" w:rsidRPr="00CA1D4A" w:rsidTr="00B661E4">
        <w:trPr>
          <w:trHeight w:val="1079"/>
        </w:trPr>
        <w:tc>
          <w:tcPr>
            <w:tcW w:w="3227" w:type="dxa"/>
          </w:tcPr>
          <w:p w:rsidR="006A516E" w:rsidRPr="00CA1D4A" w:rsidRDefault="006A516E" w:rsidP="00B661E4">
            <w:pPr>
              <w:spacing w:line="264" w:lineRule="auto"/>
              <w:rPr>
                <w:b/>
                <w:i/>
                <w:noProof/>
                <w:sz w:val="28"/>
                <w:szCs w:val="28"/>
              </w:rPr>
            </w:pPr>
          </w:p>
        </w:tc>
        <w:tc>
          <w:tcPr>
            <w:tcW w:w="6520" w:type="dxa"/>
          </w:tcPr>
          <w:p w:rsidR="006A516E" w:rsidRPr="002B48E8" w:rsidRDefault="006A516E" w:rsidP="00B661E4">
            <w:pPr>
              <w:ind w:right="-5"/>
              <w:rPr>
                <w:rFonts w:ascii="Impact" w:hAnsi="Impact"/>
                <w:b/>
                <w:sz w:val="40"/>
                <w:szCs w:val="40"/>
              </w:rPr>
            </w:pPr>
            <w:r w:rsidRPr="002B48E8">
              <w:rPr>
                <w:rFonts w:ascii="Impact" w:hAnsi="Impact"/>
                <w:b/>
                <w:sz w:val="40"/>
                <w:szCs w:val="40"/>
              </w:rPr>
              <w:t>ООО «</w:t>
            </w:r>
            <w:proofErr w:type="spellStart"/>
            <w:r w:rsidRPr="002B48E8">
              <w:rPr>
                <w:rFonts w:ascii="Impact" w:hAnsi="Impact" w:cs="Arial"/>
                <w:b/>
                <w:sz w:val="40"/>
                <w:szCs w:val="40"/>
              </w:rPr>
              <w:t>КотлоЭнергоСнаб</w:t>
            </w:r>
            <w:proofErr w:type="spellEnd"/>
            <w:r w:rsidRPr="002B48E8">
              <w:rPr>
                <w:rFonts w:ascii="Impact" w:hAnsi="Impact"/>
                <w:b/>
                <w:sz w:val="40"/>
                <w:szCs w:val="40"/>
              </w:rPr>
              <w:t>»</w:t>
            </w:r>
          </w:p>
          <w:p w:rsidR="006A516E" w:rsidRPr="00800E15" w:rsidRDefault="006A516E" w:rsidP="00B661E4">
            <w:pPr>
              <w:ind w:left="34" w:right="-5"/>
              <w:rPr>
                <w:b/>
              </w:rPr>
            </w:pPr>
            <w:r w:rsidRPr="00800E15">
              <w:rPr>
                <w:b/>
              </w:rPr>
              <w:t xml:space="preserve">656023, Алтайский край </w:t>
            </w:r>
            <w:proofErr w:type="gramStart"/>
            <w:r w:rsidRPr="00800E15">
              <w:rPr>
                <w:b/>
              </w:rPr>
              <w:t>г</w:t>
            </w:r>
            <w:proofErr w:type="gramEnd"/>
            <w:r w:rsidRPr="00800E15">
              <w:rPr>
                <w:b/>
              </w:rPr>
              <w:t>. Б</w:t>
            </w:r>
            <w:r>
              <w:rPr>
                <w:b/>
              </w:rPr>
              <w:t>арнаул, ул. Малахова, д.1-В</w:t>
            </w:r>
          </w:p>
          <w:p w:rsidR="006A516E" w:rsidRPr="00800E15" w:rsidRDefault="006A516E" w:rsidP="00B661E4">
            <w:pPr>
              <w:ind w:left="-720" w:right="-5" w:firstLine="720"/>
              <w:rPr>
                <w:b/>
              </w:rPr>
            </w:pPr>
            <w:r w:rsidRPr="00800E15">
              <w:rPr>
                <w:b/>
              </w:rPr>
              <w:t>ИНН2223969441 КПП 222301001</w:t>
            </w:r>
          </w:p>
          <w:p w:rsidR="006A516E" w:rsidRPr="00800E15" w:rsidRDefault="006A516E" w:rsidP="00B661E4">
            <w:pPr>
              <w:ind w:left="-720" w:right="-5" w:firstLine="720"/>
              <w:rPr>
                <w:b/>
              </w:rPr>
            </w:pPr>
            <w:r w:rsidRPr="00800E15">
              <w:rPr>
                <w:b/>
              </w:rPr>
              <w:t>Тел/факс: (385-2) 226-337,  226-338.</w:t>
            </w:r>
          </w:p>
          <w:p w:rsidR="006A516E" w:rsidRPr="00800E15" w:rsidRDefault="006A516E" w:rsidP="00B661E4">
            <w:pPr>
              <w:ind w:left="-720" w:right="-5" w:firstLine="720"/>
              <w:rPr>
                <w:b/>
              </w:rPr>
            </w:pPr>
            <w:r w:rsidRPr="00800E15">
              <w:rPr>
                <w:b/>
                <w:lang w:val="en-US"/>
              </w:rPr>
              <w:t>E</w:t>
            </w:r>
            <w:r w:rsidRPr="00800E15">
              <w:rPr>
                <w:b/>
              </w:rPr>
              <w:t>-</w:t>
            </w:r>
            <w:r w:rsidRPr="00800E15">
              <w:rPr>
                <w:b/>
                <w:lang w:val="en-US"/>
              </w:rPr>
              <w:t>mail</w:t>
            </w:r>
            <w:r w:rsidRPr="00800E15">
              <w:rPr>
                <w:b/>
              </w:rPr>
              <w:t xml:space="preserve">: </w:t>
            </w:r>
            <w:proofErr w:type="spellStart"/>
            <w:r w:rsidRPr="00800E15">
              <w:rPr>
                <w:b/>
                <w:lang w:val="en-US"/>
              </w:rPr>
              <w:t>kes</w:t>
            </w:r>
            <w:proofErr w:type="spellEnd"/>
            <w:r w:rsidRPr="00800E15">
              <w:rPr>
                <w:b/>
              </w:rPr>
              <w:t>-</w:t>
            </w:r>
            <w:proofErr w:type="spellStart"/>
            <w:r w:rsidRPr="00800E15">
              <w:rPr>
                <w:b/>
                <w:lang w:val="en-US"/>
              </w:rPr>
              <w:t>altai</w:t>
            </w:r>
            <w:proofErr w:type="spellEnd"/>
            <w:r w:rsidRPr="00800E15">
              <w:rPr>
                <w:b/>
              </w:rPr>
              <w:t>@</w:t>
            </w:r>
            <w:r w:rsidRPr="00800E15">
              <w:rPr>
                <w:b/>
                <w:lang w:val="en-US"/>
              </w:rPr>
              <w:t>mail</w:t>
            </w:r>
            <w:r w:rsidRPr="00800E15">
              <w:rPr>
                <w:b/>
              </w:rPr>
              <w:t>.</w:t>
            </w:r>
            <w:proofErr w:type="spellStart"/>
            <w:r w:rsidRPr="00800E15">
              <w:rPr>
                <w:b/>
                <w:lang w:val="en-US"/>
              </w:rPr>
              <w:t>ru</w:t>
            </w:r>
            <w:proofErr w:type="spellEnd"/>
          </w:p>
          <w:p w:rsidR="006A516E" w:rsidRPr="00CA1D4A" w:rsidRDefault="006A516E" w:rsidP="00B661E4">
            <w:pPr>
              <w:spacing w:line="264" w:lineRule="auto"/>
              <w:jc w:val="center"/>
              <w:rPr>
                <w:b/>
                <w:noProof/>
                <w:sz w:val="18"/>
                <w:szCs w:val="20"/>
              </w:rPr>
            </w:pPr>
          </w:p>
        </w:tc>
      </w:tr>
    </w:tbl>
    <w:p w:rsidR="002378DA" w:rsidRPr="006A516E" w:rsidRDefault="006A516E" w:rsidP="006A516E">
      <w:pPr>
        <w:pStyle w:val="a4"/>
        <w:rPr>
          <w:sz w:val="24"/>
        </w:rPr>
      </w:pPr>
      <w:r>
        <w:rPr>
          <w:bCs w:val="0"/>
          <w:i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-455930</wp:posOffset>
            </wp:positionV>
            <wp:extent cx="818515" cy="1347470"/>
            <wp:effectExtent l="19050" t="0" r="635" b="0"/>
            <wp:wrapSquare wrapText="bothSides"/>
            <wp:docPr id="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660" t="2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4290" w:rsidRPr="006A516E">
        <w:rPr>
          <w:sz w:val="24"/>
        </w:rPr>
        <w:t>ОПРОСНЫЙ ЛИСТ НА ТЯГОДУТЬЕВЫЕ МАШИНЫ</w:t>
      </w:r>
    </w:p>
    <w:p w:rsidR="00254290" w:rsidRDefault="00254290"/>
    <w:p w:rsidR="00254290" w:rsidRDefault="00254290">
      <w:r>
        <w:t>Наименование организации</w:t>
      </w:r>
      <w:r w:rsidR="00AB7850">
        <w:t>,</w:t>
      </w:r>
    </w:p>
    <w:p w:rsidR="00254290" w:rsidRPr="00AB7850" w:rsidRDefault="00254290">
      <w:pPr>
        <w:rPr>
          <w:u w:val="single"/>
        </w:rPr>
      </w:pPr>
      <w:proofErr w:type="gramStart"/>
      <w:r>
        <w:t>заполнившей</w:t>
      </w:r>
      <w:proofErr w:type="gramEnd"/>
      <w:r>
        <w:t xml:space="preserve"> опросный лист</w:t>
      </w:r>
      <w:r w:rsidR="00AB7850">
        <w:t xml:space="preserve"> </w:t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</w:p>
    <w:p w:rsidR="00254290" w:rsidRPr="00AB7850" w:rsidRDefault="00254290" w:rsidP="00254290">
      <w:pPr>
        <w:spacing w:line="360" w:lineRule="auto"/>
        <w:rPr>
          <w:u w:val="single"/>
        </w:rPr>
      </w:pPr>
      <w:r>
        <w:t>Почтовый адрес организации:</w:t>
      </w:r>
      <w:r w:rsidR="00AB7850">
        <w:t xml:space="preserve"> </w:t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</w:p>
    <w:p w:rsidR="00254290" w:rsidRPr="00AB7850" w:rsidRDefault="00254290" w:rsidP="00254290">
      <w:pPr>
        <w:spacing w:line="360" w:lineRule="auto"/>
        <w:rPr>
          <w:u w:val="single"/>
          <w:lang w:val="en-US"/>
        </w:rPr>
      </w:pPr>
      <w:r>
        <w:tab/>
      </w:r>
      <w:r>
        <w:tab/>
      </w:r>
      <w:r>
        <w:tab/>
        <w:t xml:space="preserve">      Факс:</w:t>
      </w:r>
      <w:r w:rsidR="00AB7850">
        <w:t xml:space="preserve"> </w:t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</w:p>
    <w:p w:rsidR="00254290" w:rsidRPr="00AB7850" w:rsidRDefault="00254290" w:rsidP="00254290">
      <w:pPr>
        <w:spacing w:line="360" w:lineRule="auto"/>
        <w:rPr>
          <w:u w:val="single"/>
        </w:rPr>
      </w:pPr>
      <w:r>
        <w:tab/>
      </w:r>
      <w:r>
        <w:tab/>
      </w:r>
      <w:r>
        <w:tab/>
        <w:t xml:space="preserve">     </w:t>
      </w:r>
      <w:proofErr w:type="gramStart"/>
      <w:r>
        <w:rPr>
          <w:lang w:val="en-US"/>
        </w:rPr>
        <w:t>e-mail</w:t>
      </w:r>
      <w:proofErr w:type="gramEnd"/>
      <w:r>
        <w:rPr>
          <w:lang w:val="en-US"/>
        </w:rPr>
        <w:t>:</w:t>
      </w:r>
      <w:r w:rsidR="00AB7850">
        <w:t xml:space="preserve"> </w:t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</w:p>
    <w:p w:rsidR="00254290" w:rsidRPr="00AB7850" w:rsidRDefault="00254290" w:rsidP="00254290">
      <w:pPr>
        <w:spacing w:line="360" w:lineRule="auto"/>
        <w:ind w:left="1416" w:firstLine="708"/>
        <w:rPr>
          <w:u w:val="single"/>
        </w:rPr>
      </w:pPr>
      <w:r>
        <w:t>Телефон:</w:t>
      </w:r>
      <w:r w:rsidR="00AB7850">
        <w:t xml:space="preserve"> </w:t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</w:p>
    <w:tbl>
      <w:tblPr>
        <w:tblStyle w:val="a3"/>
        <w:tblW w:w="9807" w:type="dxa"/>
        <w:tblLook w:val="01E0"/>
      </w:tblPr>
      <w:tblGrid>
        <w:gridCol w:w="648"/>
        <w:gridCol w:w="6176"/>
        <w:gridCol w:w="2983"/>
      </w:tblGrid>
      <w:tr w:rsidR="00254290">
        <w:tc>
          <w:tcPr>
            <w:tcW w:w="648" w:type="dxa"/>
          </w:tcPr>
          <w:p w:rsidR="00254290" w:rsidRPr="00254290" w:rsidRDefault="00254290"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6176" w:type="dxa"/>
            <w:vAlign w:val="center"/>
          </w:tcPr>
          <w:p w:rsidR="00254290" w:rsidRDefault="00254290" w:rsidP="00254290">
            <w:pPr>
              <w:jc w:val="center"/>
            </w:pPr>
            <w:r>
              <w:t>ВОПРОСЫ</w:t>
            </w:r>
          </w:p>
        </w:tc>
        <w:tc>
          <w:tcPr>
            <w:tcW w:w="2983" w:type="dxa"/>
            <w:vAlign w:val="center"/>
          </w:tcPr>
          <w:p w:rsidR="00254290" w:rsidRDefault="00254290" w:rsidP="00254290">
            <w:pPr>
              <w:jc w:val="center"/>
            </w:pPr>
            <w:r>
              <w:t>ОТВЕТЫ</w:t>
            </w:r>
          </w:p>
        </w:tc>
      </w:tr>
      <w:tr w:rsidR="00254290">
        <w:tc>
          <w:tcPr>
            <w:tcW w:w="648" w:type="dxa"/>
          </w:tcPr>
          <w:p w:rsidR="00254290" w:rsidRDefault="00254290">
            <w:r>
              <w:t>1</w:t>
            </w:r>
          </w:p>
        </w:tc>
        <w:tc>
          <w:tcPr>
            <w:tcW w:w="6176" w:type="dxa"/>
          </w:tcPr>
          <w:p w:rsidR="00254290" w:rsidRDefault="004E2FDB">
            <w:r>
              <w:t>Н</w:t>
            </w:r>
            <w:r w:rsidR="00C257F4">
              <w:t>аименование и назначение машины (вентилятор, дым</w:t>
            </w:r>
            <w:r w:rsidR="00C257F4">
              <w:t>о</w:t>
            </w:r>
            <w:r w:rsidR="00C257F4">
              <w:t>сос) и наименование агрегата, для которого она примен</w:t>
            </w:r>
            <w:r w:rsidR="00C257F4">
              <w:t>я</w:t>
            </w:r>
            <w:r w:rsidR="00C257F4">
              <w:t>ется</w:t>
            </w:r>
          </w:p>
        </w:tc>
        <w:tc>
          <w:tcPr>
            <w:tcW w:w="2983" w:type="dxa"/>
          </w:tcPr>
          <w:p w:rsidR="00254290" w:rsidRDefault="00254290"/>
        </w:tc>
      </w:tr>
      <w:tr w:rsidR="00254290">
        <w:tc>
          <w:tcPr>
            <w:tcW w:w="648" w:type="dxa"/>
          </w:tcPr>
          <w:p w:rsidR="00254290" w:rsidRDefault="00254290">
            <w:r>
              <w:t>2</w:t>
            </w:r>
          </w:p>
        </w:tc>
        <w:tc>
          <w:tcPr>
            <w:tcW w:w="6176" w:type="dxa"/>
          </w:tcPr>
          <w:p w:rsidR="00254290" w:rsidRDefault="00C257F4">
            <w:r>
              <w:t>Вид климатического исполнения по ГОСТ 15150</w:t>
            </w:r>
          </w:p>
        </w:tc>
        <w:tc>
          <w:tcPr>
            <w:tcW w:w="2983" w:type="dxa"/>
          </w:tcPr>
          <w:p w:rsidR="00254290" w:rsidRDefault="00254290"/>
        </w:tc>
      </w:tr>
      <w:tr w:rsidR="00C257F4">
        <w:tc>
          <w:tcPr>
            <w:tcW w:w="648" w:type="dxa"/>
          </w:tcPr>
          <w:p w:rsidR="00C257F4" w:rsidRDefault="00C257F4">
            <w:r>
              <w:t>3</w:t>
            </w:r>
          </w:p>
        </w:tc>
        <w:tc>
          <w:tcPr>
            <w:tcW w:w="6176" w:type="dxa"/>
          </w:tcPr>
          <w:p w:rsidR="00C257F4" w:rsidRPr="00E3606F" w:rsidRDefault="00C257F4" w:rsidP="00C257F4">
            <w:r>
              <w:t>Производительность, м</w:t>
            </w:r>
            <w:r>
              <w:rPr>
                <w:vertAlign w:val="superscript"/>
              </w:rPr>
              <w:t>3</w:t>
            </w:r>
            <w:r>
              <w:t>/ч</w:t>
            </w:r>
          </w:p>
        </w:tc>
        <w:tc>
          <w:tcPr>
            <w:tcW w:w="2983" w:type="dxa"/>
          </w:tcPr>
          <w:p w:rsidR="00C257F4" w:rsidRDefault="00C257F4"/>
        </w:tc>
      </w:tr>
      <w:tr w:rsidR="00C257F4">
        <w:tc>
          <w:tcPr>
            <w:tcW w:w="648" w:type="dxa"/>
          </w:tcPr>
          <w:p w:rsidR="00C257F4" w:rsidRDefault="00C257F4">
            <w:r>
              <w:t>4</w:t>
            </w:r>
          </w:p>
        </w:tc>
        <w:tc>
          <w:tcPr>
            <w:tcW w:w="6176" w:type="dxa"/>
          </w:tcPr>
          <w:p w:rsidR="00C257F4" w:rsidRDefault="00C257F4" w:rsidP="00C257F4">
            <w:r>
              <w:t>Полное давление, даПа</w:t>
            </w:r>
          </w:p>
        </w:tc>
        <w:tc>
          <w:tcPr>
            <w:tcW w:w="2983" w:type="dxa"/>
          </w:tcPr>
          <w:p w:rsidR="00C257F4" w:rsidRDefault="00C257F4"/>
        </w:tc>
      </w:tr>
      <w:tr w:rsidR="00C257F4">
        <w:tc>
          <w:tcPr>
            <w:tcW w:w="648" w:type="dxa"/>
          </w:tcPr>
          <w:p w:rsidR="00C257F4" w:rsidRDefault="00C257F4" w:rsidP="00C257F4">
            <w:r>
              <w:t>5</w:t>
            </w:r>
          </w:p>
        </w:tc>
        <w:tc>
          <w:tcPr>
            <w:tcW w:w="6176" w:type="dxa"/>
          </w:tcPr>
          <w:p w:rsidR="00C257F4" w:rsidRDefault="00C257F4" w:rsidP="00C257F4">
            <w:r>
              <w:t>Машина с посадкой рабочего колеса на вал двигателя или промежуточной ходовой части</w:t>
            </w:r>
          </w:p>
        </w:tc>
        <w:tc>
          <w:tcPr>
            <w:tcW w:w="2983" w:type="dxa"/>
          </w:tcPr>
          <w:p w:rsidR="00C257F4" w:rsidRDefault="00C257F4"/>
        </w:tc>
      </w:tr>
      <w:tr w:rsidR="00C257F4">
        <w:tc>
          <w:tcPr>
            <w:tcW w:w="648" w:type="dxa"/>
          </w:tcPr>
          <w:p w:rsidR="00C257F4" w:rsidRDefault="00C257F4" w:rsidP="00C257F4">
            <w:r>
              <w:t>6</w:t>
            </w:r>
          </w:p>
        </w:tc>
        <w:tc>
          <w:tcPr>
            <w:tcW w:w="6176" w:type="dxa"/>
          </w:tcPr>
          <w:p w:rsidR="00C257F4" w:rsidRDefault="00C257F4" w:rsidP="00C257F4">
            <w:r>
              <w:t>Направление вращение рабочего колеса (правое вращ</w:t>
            </w:r>
            <w:r>
              <w:t>е</w:t>
            </w:r>
            <w:r>
              <w:t xml:space="preserve">ние рабочего колеса – вращение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gramStart"/>
            <w:r>
              <w:t>часовой</w:t>
            </w:r>
            <w:proofErr w:type="gramEnd"/>
            <w:r>
              <w:t xml:space="preserve"> стрелке, л</w:t>
            </w:r>
            <w:r>
              <w:t>е</w:t>
            </w:r>
            <w:r>
              <w:t>вое – против, если смотреть со стороны привода)</w:t>
            </w:r>
          </w:p>
        </w:tc>
        <w:tc>
          <w:tcPr>
            <w:tcW w:w="2983" w:type="dxa"/>
          </w:tcPr>
          <w:p w:rsidR="00C257F4" w:rsidRDefault="00C257F4"/>
        </w:tc>
      </w:tr>
      <w:tr w:rsidR="00603DA6">
        <w:tc>
          <w:tcPr>
            <w:tcW w:w="648" w:type="dxa"/>
          </w:tcPr>
          <w:p w:rsidR="00603DA6" w:rsidRDefault="00603DA6" w:rsidP="00C542B5">
            <w:r>
              <w:t>7</w:t>
            </w:r>
          </w:p>
        </w:tc>
        <w:tc>
          <w:tcPr>
            <w:tcW w:w="6176" w:type="dxa"/>
          </w:tcPr>
          <w:p w:rsidR="00603DA6" w:rsidRDefault="00603DA6" w:rsidP="00C257F4">
            <w:r>
              <w:t>Угол разворота спирального корпуса (угол отсчитывается от горизонтальной плоскости в сторону вращения раб</w:t>
            </w:r>
            <w:r>
              <w:t>о</w:t>
            </w:r>
            <w:r>
              <w:t>чего колеса, если смотреть со стороны привода)</w:t>
            </w:r>
          </w:p>
        </w:tc>
        <w:tc>
          <w:tcPr>
            <w:tcW w:w="2983" w:type="dxa"/>
          </w:tcPr>
          <w:p w:rsidR="00603DA6" w:rsidRDefault="00603DA6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8</w:t>
            </w:r>
          </w:p>
        </w:tc>
        <w:tc>
          <w:tcPr>
            <w:tcW w:w="6176" w:type="dxa"/>
          </w:tcPr>
          <w:p w:rsidR="005B7434" w:rsidRDefault="005B7434" w:rsidP="00C257F4">
            <w:r>
              <w:t xml:space="preserve">Частота вращения рабочего колеса, </w:t>
            </w:r>
            <w:proofErr w:type="gramStart"/>
            <w:r>
              <w:t>об</w:t>
            </w:r>
            <w:proofErr w:type="gramEnd"/>
            <w:r>
              <w:t>/мин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9</w:t>
            </w:r>
          </w:p>
        </w:tc>
        <w:tc>
          <w:tcPr>
            <w:tcW w:w="6176" w:type="dxa"/>
          </w:tcPr>
          <w:p w:rsidR="005B7434" w:rsidRDefault="005B7434" w:rsidP="00C257F4">
            <w:r>
              <w:t>Наличие всасывающего кармана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C257F4">
            <w:r>
              <w:t>10</w:t>
            </w:r>
          </w:p>
        </w:tc>
        <w:tc>
          <w:tcPr>
            <w:tcW w:w="6176" w:type="dxa"/>
          </w:tcPr>
          <w:p w:rsidR="005B7434" w:rsidRPr="00C257F4" w:rsidRDefault="005B7434">
            <w:pPr>
              <w:rPr>
                <w:lang w:val="en-US"/>
              </w:rPr>
            </w:pPr>
            <w:r>
              <w:t>Количество машин</w:t>
            </w:r>
            <w:r>
              <w:rPr>
                <w:lang w:val="en-US"/>
              </w:rPr>
              <w:t>: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C257F4"/>
        </w:tc>
        <w:tc>
          <w:tcPr>
            <w:tcW w:w="6176" w:type="dxa"/>
          </w:tcPr>
          <w:p w:rsidR="005B7434" w:rsidRDefault="005B7434" w:rsidP="00C257F4">
            <w:pPr>
              <w:ind w:left="612"/>
            </w:pPr>
            <w:r>
              <w:t>из них левых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C257F4"/>
        </w:tc>
        <w:tc>
          <w:tcPr>
            <w:tcW w:w="6176" w:type="dxa"/>
          </w:tcPr>
          <w:p w:rsidR="005B7434" w:rsidRDefault="005B7434" w:rsidP="00C257F4">
            <w:pPr>
              <w:ind w:left="612"/>
            </w:pPr>
            <w:r>
              <w:t>из них правых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rPr>
          <w:trHeight w:val="327"/>
        </w:trPr>
        <w:tc>
          <w:tcPr>
            <w:tcW w:w="648" w:type="dxa"/>
          </w:tcPr>
          <w:p w:rsidR="005B7434" w:rsidRDefault="005B7434" w:rsidP="00C257F4">
            <w:r>
              <w:t>11</w:t>
            </w:r>
          </w:p>
        </w:tc>
        <w:tc>
          <w:tcPr>
            <w:tcW w:w="6176" w:type="dxa"/>
          </w:tcPr>
          <w:p w:rsidR="005B7434" w:rsidRDefault="005B7434" w:rsidP="00C257F4">
            <w:r>
              <w:t>Перемещаемая среда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Pr="00C257F4" w:rsidRDefault="005B7434" w:rsidP="00C257F4">
            <w:pPr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.1</w:t>
            </w:r>
          </w:p>
        </w:tc>
        <w:tc>
          <w:tcPr>
            <w:tcW w:w="6176" w:type="dxa"/>
          </w:tcPr>
          <w:p w:rsidR="005B7434" w:rsidRDefault="005B7434" w:rsidP="00C257F4">
            <w:r>
              <w:t>Температура перемещаемой среды: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Pr="00C257F4" w:rsidRDefault="005B7434" w:rsidP="00C257F4">
            <w:pPr>
              <w:rPr>
                <w:lang w:val="en-US"/>
              </w:rPr>
            </w:pPr>
          </w:p>
        </w:tc>
        <w:tc>
          <w:tcPr>
            <w:tcW w:w="6176" w:type="dxa"/>
          </w:tcPr>
          <w:p w:rsidR="005B7434" w:rsidRDefault="005B7434" w:rsidP="00C257F4">
            <w:pPr>
              <w:ind w:left="2232"/>
            </w:pPr>
            <w:r>
              <w:t xml:space="preserve">минимальная 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C257F4"/>
        </w:tc>
        <w:tc>
          <w:tcPr>
            <w:tcW w:w="6176" w:type="dxa"/>
          </w:tcPr>
          <w:p w:rsidR="005B7434" w:rsidRDefault="005B7434" w:rsidP="00C257F4">
            <w:pPr>
              <w:ind w:left="2232"/>
            </w:pPr>
            <w:r>
              <w:t>максимальная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Pr="00C257F4" w:rsidRDefault="005B7434" w:rsidP="00C542B5">
            <w:pPr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.2</w:t>
            </w:r>
          </w:p>
        </w:tc>
        <w:tc>
          <w:tcPr>
            <w:tcW w:w="6176" w:type="dxa"/>
          </w:tcPr>
          <w:p w:rsidR="005B7434" w:rsidRPr="00346F51" w:rsidRDefault="005B7434" w:rsidP="00C542B5">
            <w:pPr>
              <w:rPr>
                <w:vertAlign w:val="superscript"/>
              </w:rPr>
            </w:pPr>
            <w:r>
              <w:t>Предельная запыленность (примесь) перемещаемой ср</w:t>
            </w:r>
            <w:r>
              <w:t>е</w:t>
            </w:r>
            <w:r>
              <w:t xml:space="preserve">ды при нормальных условиях, </w:t>
            </w:r>
            <w:proofErr w:type="gramStart"/>
            <w:r>
              <w:t>г</w:t>
            </w:r>
            <w:proofErr w:type="gramEnd"/>
            <w:r>
              <w:t>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Pr="00C257F4" w:rsidRDefault="005B7434" w:rsidP="00C542B5">
            <w:pPr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.3</w:t>
            </w:r>
          </w:p>
        </w:tc>
        <w:tc>
          <w:tcPr>
            <w:tcW w:w="6176" w:type="dxa"/>
          </w:tcPr>
          <w:p w:rsidR="005B7434" w:rsidRDefault="005B7434" w:rsidP="00C542B5">
            <w:r>
              <w:t>Склонность к отложению на лопатках рабочего колеса примесей, содержащихся в перемещаемой среде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Pr="00C257F4" w:rsidRDefault="005B7434" w:rsidP="00C542B5">
            <w:pPr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.4</w:t>
            </w:r>
          </w:p>
        </w:tc>
        <w:tc>
          <w:tcPr>
            <w:tcW w:w="6176" w:type="dxa"/>
          </w:tcPr>
          <w:p w:rsidR="005B7434" w:rsidRDefault="005B7434" w:rsidP="00C542B5">
            <w:r>
              <w:t>Содержание агрессивных компонентов в перемещаемой среде в процентах и рекомендуемая марка материала р</w:t>
            </w:r>
            <w:r>
              <w:t>а</w:t>
            </w:r>
            <w:r>
              <w:t>бочего колеса и корпуса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C542B5">
            <w:r>
              <w:t>12</w:t>
            </w:r>
          </w:p>
        </w:tc>
        <w:tc>
          <w:tcPr>
            <w:tcW w:w="6176" w:type="dxa"/>
          </w:tcPr>
          <w:p w:rsidR="005B7434" w:rsidRDefault="005B7434" w:rsidP="005B7434">
            <w:r>
              <w:t>Требования к двигателю: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12.1</w:t>
            </w:r>
          </w:p>
        </w:tc>
        <w:tc>
          <w:tcPr>
            <w:tcW w:w="6176" w:type="dxa"/>
          </w:tcPr>
          <w:p w:rsidR="005B7434" w:rsidRDefault="005B7434" w:rsidP="005B7434">
            <w:r>
              <w:t>Мощность, кВт</w:t>
            </w:r>
          </w:p>
        </w:tc>
        <w:tc>
          <w:tcPr>
            <w:tcW w:w="2983" w:type="dxa"/>
          </w:tcPr>
          <w:p w:rsidR="005B7434" w:rsidRDefault="005B7434" w:rsidP="00AB7850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12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6176" w:type="dxa"/>
          </w:tcPr>
          <w:p w:rsidR="005B7434" w:rsidRDefault="005B7434" w:rsidP="005B7434">
            <w:r>
              <w:t>Климат</w:t>
            </w:r>
            <w:r w:rsidR="006A516E">
              <w:t xml:space="preserve">ическое исполнение </w:t>
            </w:r>
            <w:proofErr w:type="gramStart"/>
            <w:r w:rsidR="006A516E">
              <w:t>по</w:t>
            </w:r>
            <w:proofErr w:type="gramEnd"/>
          </w:p>
        </w:tc>
        <w:tc>
          <w:tcPr>
            <w:tcW w:w="2983" w:type="dxa"/>
          </w:tcPr>
          <w:p w:rsidR="005B7434" w:rsidRDefault="005B7434" w:rsidP="00AB7850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12</w:t>
            </w:r>
            <w:r>
              <w:rPr>
                <w:lang w:val="en-US"/>
              </w:rPr>
              <w:t>.</w:t>
            </w:r>
            <w:r>
              <w:t>3</w:t>
            </w:r>
          </w:p>
        </w:tc>
        <w:tc>
          <w:tcPr>
            <w:tcW w:w="6176" w:type="dxa"/>
          </w:tcPr>
          <w:p w:rsidR="005B7434" w:rsidRDefault="005B7434" w:rsidP="005B7434">
            <w:r>
              <w:t>Степень защиты по ГОСТ 17494 или исполнение двиг</w:t>
            </w:r>
            <w:r>
              <w:t>а</w:t>
            </w:r>
            <w:r>
              <w:t>теля – открытое, закрытое и т.д.</w:t>
            </w:r>
          </w:p>
        </w:tc>
        <w:tc>
          <w:tcPr>
            <w:tcW w:w="2983" w:type="dxa"/>
          </w:tcPr>
          <w:p w:rsidR="005B7434" w:rsidRDefault="005B7434" w:rsidP="00AB7850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12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6176" w:type="dxa"/>
          </w:tcPr>
          <w:p w:rsidR="005B7434" w:rsidRDefault="005B7434" w:rsidP="005B7434">
            <w:r>
              <w:t xml:space="preserve">Напряжение сети, </w:t>
            </w:r>
            <w:proofErr w:type="gramStart"/>
            <w:r>
              <w:t>В</w:t>
            </w:r>
            <w:proofErr w:type="gramEnd"/>
          </w:p>
        </w:tc>
        <w:tc>
          <w:tcPr>
            <w:tcW w:w="2983" w:type="dxa"/>
          </w:tcPr>
          <w:p w:rsidR="005B7434" w:rsidRDefault="005B7434" w:rsidP="00AB7850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12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6176" w:type="dxa"/>
          </w:tcPr>
          <w:p w:rsidR="005B7434" w:rsidRDefault="005B7434" w:rsidP="005B7434">
            <w:r>
              <w:t xml:space="preserve">Частота тока, </w:t>
            </w:r>
            <w:proofErr w:type="gramStart"/>
            <w:r>
              <w:t>Гц</w:t>
            </w:r>
            <w:proofErr w:type="gramEnd"/>
          </w:p>
        </w:tc>
        <w:tc>
          <w:tcPr>
            <w:tcW w:w="2983" w:type="dxa"/>
          </w:tcPr>
          <w:p w:rsidR="005B7434" w:rsidRDefault="005B7434"/>
        </w:tc>
      </w:tr>
    </w:tbl>
    <w:p w:rsidR="00254290" w:rsidRDefault="00254290"/>
    <w:sectPr w:rsidR="00254290" w:rsidSect="002D7CBB">
      <w:pgSz w:w="11906" w:h="16838"/>
      <w:pgMar w:top="1021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stylePaneFormatFilter w:val="3F01"/>
  <w:defaultTabStop w:val="708"/>
  <w:autoHyphenation/>
  <w:hyphenationZone w:val="113"/>
  <w:noPunctuationKerning/>
  <w:characterSpacingControl w:val="doNotCompress"/>
  <w:compat/>
  <w:rsids>
    <w:rsidRoot w:val="00442BEA"/>
    <w:rsid w:val="000009C4"/>
    <w:rsid w:val="000B3385"/>
    <w:rsid w:val="00175DB9"/>
    <w:rsid w:val="00197E7F"/>
    <w:rsid w:val="001F5FD2"/>
    <w:rsid w:val="002378DA"/>
    <w:rsid w:val="00254290"/>
    <w:rsid w:val="002D7CBB"/>
    <w:rsid w:val="00346F51"/>
    <w:rsid w:val="00442BEA"/>
    <w:rsid w:val="004649A4"/>
    <w:rsid w:val="004A7DED"/>
    <w:rsid w:val="004E2FDB"/>
    <w:rsid w:val="00515CCE"/>
    <w:rsid w:val="00553367"/>
    <w:rsid w:val="00595EB3"/>
    <w:rsid w:val="005B7434"/>
    <w:rsid w:val="00603DA6"/>
    <w:rsid w:val="006A516E"/>
    <w:rsid w:val="008A0802"/>
    <w:rsid w:val="00AB7850"/>
    <w:rsid w:val="00C257F4"/>
    <w:rsid w:val="00C542B5"/>
    <w:rsid w:val="00CE3AD0"/>
    <w:rsid w:val="00E3606F"/>
    <w:rsid w:val="00F23C49"/>
    <w:rsid w:val="00FC6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E0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4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6A516E"/>
    <w:pPr>
      <w:jc w:val="center"/>
    </w:pPr>
    <w:rPr>
      <w:rFonts w:ascii="Georgia" w:hAnsi="Georgia"/>
      <w:b/>
      <w:bCs/>
      <w:sz w:val="32"/>
    </w:rPr>
  </w:style>
  <w:style w:type="character" w:customStyle="1" w:styleId="a5">
    <w:name w:val="Название Знак"/>
    <w:basedOn w:val="a0"/>
    <w:link w:val="a4"/>
    <w:rsid w:val="006A516E"/>
    <w:rPr>
      <w:rFonts w:ascii="Georgia" w:hAnsi="Georgia"/>
      <w:b/>
      <w:bCs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ОПРОСНЫЙ ЛИСТ НА ТЯГОДУТЬЕВЫЕ МАШИНЫ</vt:lpstr>
    </vt:vector>
  </TitlesOfParts>
  <Company>ОАО "БиКЗ"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 НА ТЯГОДУТЬЕВЫЕ МАШИНЫ</dc:title>
  <dc:creator>Чернов В.В.</dc:creator>
  <cp:lastModifiedBy>1</cp:lastModifiedBy>
  <cp:revision>3</cp:revision>
  <cp:lastPrinted>2004-04-01T04:45:00Z</cp:lastPrinted>
  <dcterms:created xsi:type="dcterms:W3CDTF">2012-04-24T05:07:00Z</dcterms:created>
  <dcterms:modified xsi:type="dcterms:W3CDTF">2012-04-27T11:19:00Z</dcterms:modified>
</cp:coreProperties>
</file>