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Arial" w:cs="Arial" w:eastAsia="Arial" w:hAnsi="Arial"/>
          <w:b/>
          <w:bCs/>
          <w:sz w:val="36"/>
          <w:szCs w:val="36"/>
        </w:rPr>
        <w:t xml:space="preserve">Post-Quantum-Signaturverfahren im Vergleich:</w:t>
      </w:r>
    </w:p>
    <w:p>
      <w:pPr>
        <w:spacing w:after="600"/>
        <w:jc w:val="center"/>
      </w:pPr>
      <w:r>
        <w:rPr>
          <w:rFonts w:ascii="Arial" w:cs="Arial" w:eastAsia="Arial" w:hAnsi="Arial"/>
          <w:b/>
          <w:bCs/>
          <w:sz w:val="36"/>
          <w:szCs w:val="36"/>
        </w:rPr>
        <w:t xml:space="preserve">ML-DSA, SLH-DSA und XMSS</w:t>
      </w:r>
    </w:p>
    <w:p>
      <w:pPr>
        <w:spacing w:after="1200"/>
        <w:jc w:val="center"/>
      </w:pPr>
      <w:r>
        <w:rPr>
          <w:rFonts w:ascii="Arial" w:cs="Arial" w:eastAsia="Arial" w:hAnsi="Arial"/>
          <w:i/>
          <w:iCs/>
          <w:sz w:val="24"/>
          <w:szCs w:val="24"/>
        </w:rPr>
        <w:t xml:space="preserve">Eine praktische Untersuchung der Statefulness-Problematik</w:t>
      </w:r>
    </w:p>
    <w:p>
      <w:pPr>
        <w:spacing w:after="240"/>
        <w:jc w:val="center"/>
      </w:pPr>
      <w:r>
        <w:rPr>
          <w:rFonts w:ascii="Arial" w:cs="Arial" w:eastAsia="Arial" w:hAnsi="Arial"/>
          <w:sz w:val="24"/>
          <w:szCs w:val="24"/>
        </w:rPr>
        <w:t xml:space="preserve">Projektarbeit</w:t>
      </w:r>
    </w:p>
    <w:p>
      <w:pPr>
        <w:spacing w:after="1200"/>
        <w:jc w:val="center"/>
      </w:pPr>
      <w:r>
        <w:rPr>
          <w:rFonts w:ascii="Arial" w:cs="Arial" w:eastAsia="Arial" w:hAnsi="Arial"/>
          <w:color w:val="888888"/>
          <w:sz w:val="22"/>
          <w:szCs w:val="22"/>
        </w:rPr>
        <w:t xml:space="preserve">[Studiengang, Modul]</w:t>
      </w:r>
    </w:p>
    <w:p>
      <w:pPr>
        <w:spacing w:after="120"/>
        <w:jc w:val="center"/>
      </w:pPr>
      <w:r>
        <w:rPr>
          <w:rFonts w:ascii="Arial" w:cs="Arial" w:eastAsia="Arial" w:hAnsi="Arial"/>
          <w:sz w:val="22"/>
          <w:szCs w:val="22"/>
        </w:rPr>
        <w:t xml:space="preserve">vorgelegt von</w:t>
      </w:r>
    </w:p>
    <w:p>
      <w:pPr>
        <w:spacing w:after="600"/>
        <w:jc w:val="center"/>
      </w:pPr>
      <w:r>
        <w:rPr>
          <w:rFonts w:ascii="Arial" w:cs="Arial" w:eastAsia="Arial" w:hAnsi="Arial"/>
          <w:b/>
          <w:bCs/>
          <w:color w:val="888888"/>
          <w:sz w:val="24"/>
          <w:szCs w:val="24"/>
        </w:rPr>
        <w:t xml:space="preserve">[Vorname Nachname, Matrikelnummer]</w:t>
      </w:r>
    </w:p>
    <w:p>
      <w:pPr>
        <w:spacing w:after="120"/>
        <w:jc w:val="center"/>
      </w:pPr>
      <w:r>
        <w:rPr>
          <w:rFonts w:ascii="Arial" w:cs="Arial" w:eastAsia="Arial" w:hAnsi="Arial"/>
          <w:sz w:val="22"/>
          <w:szCs w:val="22"/>
        </w:rPr>
        <w:t xml:space="preserve">Betreuung:</w:t>
      </w:r>
    </w:p>
    <w:p>
      <w:pPr>
        <w:spacing w:after="600"/>
        <w:jc w:val="center"/>
      </w:pPr>
      <w:r>
        <w:rPr>
          <w:rFonts w:ascii="Arial" w:cs="Arial" w:eastAsia="Arial" w:hAnsi="Arial"/>
          <w:color w:val="888888"/>
          <w:sz w:val="22"/>
          <w:szCs w:val="22"/>
        </w:rPr>
        <w:t xml:space="preserve">[Prof. Name]</w:t>
      </w:r>
    </w:p>
    <w:p>
      <w:pPr>
        <w:jc w:val="center"/>
      </w:pPr>
      <w:r>
        <w:rPr>
          <w:rFonts w:ascii="Arial" w:cs="Arial" w:eastAsia="Arial" w:hAnsi="Arial"/>
          <w:color w:val="888888"/>
          <w:sz w:val="22"/>
          <w:szCs w:val="22"/>
        </w:rPr>
        <w:t xml:space="preserve">[Hochschule, Abgabedatum]</w:t>
      </w:r>
    </w:p>
    <w:p>
      <w:r>
        <w:br w:type="page"/>
      </w:r>
    </w:p>
    <w:p>
      <w:pPr>
        <w:pStyle w:val="Heading1"/>
        <w:spacing w:after="200" w:before="360"/>
      </w:pPr>
      <w:r>
        <w:rPr>
          <w:rFonts w:ascii="Arial" w:cs="Arial" w:eastAsia="Arial" w:hAnsi="Arial"/>
          <w:b/>
          <w:bCs/>
          <w:sz w:val="32"/>
          <w:szCs w:val="32"/>
        </w:rPr>
        <w:t xml:space="preserve">1. Einleitung</w:t>
      </w:r>
    </w:p>
    <w:p>
      <w:pPr>
        <w:spacing w:after="120" w:line="280"/>
        <w:jc w:val="both"/>
      </w:pPr>
      <w:r>
        <w:t xml:space="preserve">Die Standardisierung post-quantenresistenter Signaturverfahren durch das National Institute of Standards and Technology (NIST) hat im Jahr 2024 mit der Veröffentlichung von FIPS 204 (ML-DSA) und FIPS 205 (SLH-DSA) einen wichtigen Meilenstein erreicht. Bereits 2020 war zudem mit SP 800-208 das ältere XMSS-Verfahren als zugelassener Standard für Behördenanwendungen bestätigt worden. Aus Anwendersicht stellt sich damit eine neue Frage: nicht mehr, welcher Algorithmus prinzipiell sicher ist, sondern welcher in der Praxis tatsächlich einsetzbar ist.</w:t>
      </w:r>
    </w:p>
    <w:p>
      <w:pPr>
        <w:spacing w:after="120" w:line="280"/>
        <w:jc w:val="both"/>
      </w:pPr>
      <w:r>
        <w:t xml:space="preserve">Die vorliegende Arbeit vergleicht die drei genannten Verfahren ML-DSA, SLH-DSA und XMSS hinsichtlich Performance, Schlüssel- und Signaturgrößen sowie – mit besonderem Fokus – der operativen Konsequenzen ihres jeweiligen Designs. Dabei wird gezeigt, dass die für XMSS spezifizierte Statefulness-Anforderung mit gängigen Praktiken realer IT-Systeme strukturell unvereinbar ist.</w:t>
      </w:r>
    </w:p>
    <w:p>
      <w:pPr>
        <w:spacing w:after="120" w:line="280"/>
        <w:jc w:val="both"/>
      </w:pPr>
      <w:r>
        <w:t xml:space="preserve">Kapitel 2 stellt die drei Verfahren in der gebotenen Kürze vor. Kapitel 3 beschreibt den Aufbau der Vergleichsumgebung und die Methodik der Messungen. Kapitel 4 berichtet die quantitativen Befunde zu Performance und Größen. Kapitel 5 bildet das Herzstück der Arbeit und demonstriert die Statefulness-Problematik anhand dreier praxisnaher Szenarien. Kapitel 6 ordnet die Befunde in den industriellen Kontext ein, Kapitel 7 fasst zusammen.</w:t>
      </w:r>
    </w:p>
    <w:p>
      <w:pPr>
        <w:pStyle w:val="Heading1"/>
        <w:spacing w:after="200" w:before="360"/>
      </w:pPr>
      <w:r>
        <w:rPr>
          <w:rFonts w:ascii="Arial" w:cs="Arial" w:eastAsia="Arial" w:hAnsi="Arial"/>
          <w:b/>
          <w:bCs/>
          <w:sz w:val="32"/>
          <w:szCs w:val="32"/>
        </w:rPr>
        <w:t xml:space="preserve">2. Grundlagen</w:t>
      </w:r>
    </w:p>
    <w:p>
      <w:pPr>
        <w:spacing w:after="120" w:line="280"/>
        <w:jc w:val="both"/>
      </w:pPr>
      <w:r>
        <w:t xml:space="preserve">Alle drei betrachteten Verfahren basieren auf unterschiedlichen kryptographischen Annahmen. Ein sinnvoller Vergleich erfordert ein Verständnis dieser Unterschiede und ihrer Konsequenzen für den praktischen Einsatz.</w:t>
      </w:r>
    </w:p>
    <w:p>
      <w:pPr>
        <w:pStyle w:val="Heading2"/>
        <w:spacing w:after="160" w:before="280"/>
      </w:pPr>
      <w:r>
        <w:rPr>
          <w:rFonts w:ascii="Arial" w:cs="Arial" w:eastAsia="Arial" w:hAnsi="Arial"/>
          <w:b/>
          <w:bCs/>
          <w:sz w:val="26"/>
          <w:szCs w:val="26"/>
        </w:rPr>
        <w:t xml:space="preserve">2.1 ML-DSA (FIPS 204)</w:t>
      </w:r>
    </w:p>
    <w:p>
      <w:pPr>
        <w:spacing w:after="120" w:line="280"/>
        <w:jc w:val="both"/>
      </w:pPr>
      <w:r>
        <w:t xml:space="preserve">ML-DSA – ursprünglich unter dem Namen CRYSTALS-Dilithium im NIST-Auswahlverfahren eingereicht – ist ein gitterbasiertes Signaturverfahren. Seine Sicherheit beruht auf der Härte des Module-Learning-With-Errors-Problems (Module-LWE), einer mathematischen Annahme aus dem Bereich der Gitterkryptographie. Das Verfahren ist stateless: der private Schlüssel kann beliebig oft zum Signieren verwendet werden, ohne dass interner Zustand fortgeschrieben werden müsste. ML-DSA bietet drei Sicherheitsstufen (ML-DSA-44, -65, -87), die den NIST-Sicherheitsniveaus 2, 3 und 5 entsprechen. In dieser Arbeit wird die mittlere Variante ML-DSA-65 als pragmatischer Mittelweg verwendet.</w:t>
      </w:r>
    </w:p>
    <w:p>
      <w:pPr>
        <w:pStyle w:val="Heading2"/>
        <w:spacing w:after="160" w:before="280"/>
      </w:pPr>
      <w:r>
        <w:rPr>
          <w:rFonts w:ascii="Arial" w:cs="Arial" w:eastAsia="Arial" w:hAnsi="Arial"/>
          <w:b/>
          <w:bCs/>
          <w:sz w:val="26"/>
          <w:szCs w:val="26"/>
        </w:rPr>
        <w:t xml:space="preserve">2.2 SLH-DSA (FIPS 205)</w:t>
      </w:r>
    </w:p>
    <w:p>
      <w:pPr>
        <w:spacing w:after="120" w:line="280"/>
        <w:jc w:val="both"/>
      </w:pPr>
      <w:r>
        <w:t xml:space="preserve">SLH-DSA, ehemals SPHINCS+, ist ein hash-basiertes Signaturverfahren ohne State. Im Gegensatz zu ML-DSA basiert seine Sicherheit ausschließlich auf der Kollisions- und Preimage-Resistenz der zugrundeliegenden Hash-Funktion – eine deutlich konservativere Annahme als bei gitterbasierten Verfahren. SLH-DSA bietet einen explizit parametrisierten Trade-off zwischen Signaturgröße und Signing-Geschwindigkeit: die s-Varianten erzeugen kleinere Signaturen bei langsamerem Signing, die f-Varianten umgekehrt. In dieser Arbeit wird SLH-DSA-SHA2-128f benchmarkt, ein in der Literatur häufig verwendeter Referenzpunkt auf NIST-Sicherheitsniveau 1.</w:t>
      </w:r>
    </w:p>
    <w:p>
      <w:pPr>
        <w:pStyle w:val="Heading2"/>
        <w:spacing w:after="160" w:before="280"/>
      </w:pPr>
      <w:r>
        <w:rPr>
          <w:rFonts w:ascii="Arial" w:cs="Arial" w:eastAsia="Arial" w:hAnsi="Arial"/>
          <w:b/>
          <w:bCs/>
          <w:sz w:val="26"/>
          <w:szCs w:val="26"/>
        </w:rPr>
        <w:t xml:space="preserve">2.3 XMSS (RFC 8391)</w:t>
      </w:r>
    </w:p>
    <w:p>
      <w:pPr>
        <w:spacing w:after="120" w:line="280"/>
        <w:jc w:val="both"/>
      </w:pPr>
      <w:r>
        <w:t xml:space="preserve">XMSS (eXtended Merkle Signature Scheme) ist ebenfalls hash-basiert, jedoch im Unterschied zu SLH-DSA stateful. Der private Schlüssel enthält implizit einen Index, der angibt, welcher One-Time-Schlüssel (intern auf Basis des WOTS+-Verfahrens) als nächstes zu verwenden ist. Nach jeder Signatur muss dieser Index inkrementiert und persistiert werden. Wird derselbe Index zweimal verwendet, ist die Sicherheit des Schlüssels nicht nur in der Theorie kompromittiert: aus zwei WOTS+-Signaturen unter identischem Index lassen sich nachweislich Forgeries für Nachrichten konstruieren, die nie autorisiert wurden [Buchmann, Dahmen &amp; Hülsing, 2011]. Diese Eigenschaft ist algorithmisch nicht abwendbar; sie muss vom umgebenden System sichergestellt werden. In dieser Arbeit wird XMSS-SHA2_10_256 verwendet, das pro Schlüssel 2^10 = 1024 Signaturen erlaubt – die kleinste verfügbare Variante, ausreichend für die Demonstrationen.</w:t>
      </w:r>
    </w:p>
    <w:p>
      <w:pPr>
        <w:pStyle w:val="Heading2"/>
        <w:spacing w:after="160" w:before="280"/>
      </w:pPr>
      <w:r>
        <w:rPr>
          <w:rFonts w:ascii="Arial" w:cs="Arial" w:eastAsia="Arial" w:hAnsi="Arial"/>
          <w:b/>
          <w:bCs/>
          <w:sz w:val="26"/>
          <w:szCs w:val="26"/>
        </w:rPr>
        <w:t xml:space="preserve">2.4 Vergleichsmatrix</w:t>
      </w:r>
    </w:p>
    <w:p>
      <w:pPr>
        <w:spacing w:after="120" w:line="280"/>
        <w:jc w:val="both"/>
      </w:pPr>
      <w:r>
        <w:t xml:space="preserve">Tabelle 1 stellt die wesentlichen Eigenschaften der drei Verfahren gegenüber.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888888" w:sz="1"/>
              <w:left w:val="single" w:color="888888" w:sz="1"/>
              <w:bottom w:val="single" w:color="888888" w:sz="1"/>
              <w:right w:val="single" w:color="888888" w:sz="1"/>
            </w:tcBorders>
            <w:shd w:fill="D5E8F0" w:val="clear"/>
            <w:tcMar>
              <w:top w:type="dxa" w:w="100"/>
              <w:left w:type="dxa" w:w="120"/>
              <w:bottom w:type="dxa" w:w="100"/>
              <w:right w:type="dxa" w:w="120"/>
            </w:tcMar>
          </w:tcPr>
          <w:p>
            <w:pPr>
              <w:spacing w:after="0"/>
            </w:pPr>
            <w:r>
              <w:rPr>
                <w:rFonts w:ascii="Arial" w:cs="Arial" w:eastAsia="Arial" w:hAnsi="Arial"/>
                <w:b/>
                <w:bCs/>
                <w:sz w:val="20"/>
                <w:szCs w:val="20"/>
              </w:rPr>
              <w:t xml:space="preserve">Eigenschaft</w:t>
            </w:r>
          </w:p>
        </w:tc>
        <w:tc>
          <w:tcPr>
            <w:tcW w:type="dxa" w:w="2400"/>
            <w:tcBorders>
              <w:top w:val="single" w:color="888888" w:sz="1"/>
              <w:left w:val="single" w:color="888888" w:sz="1"/>
              <w:bottom w:val="single" w:color="888888" w:sz="1"/>
              <w:right w:val="single" w:color="888888" w:sz="1"/>
            </w:tcBorders>
            <w:shd w:fill="D5E8F0" w:val="clear"/>
            <w:tcMar>
              <w:top w:type="dxa" w:w="100"/>
              <w:left w:type="dxa" w:w="120"/>
              <w:bottom w:type="dxa" w:w="100"/>
              <w:right w:type="dxa" w:w="120"/>
            </w:tcMar>
          </w:tcPr>
          <w:p>
            <w:pPr>
              <w:spacing w:after="0"/>
            </w:pPr>
            <w:r>
              <w:rPr>
                <w:rFonts w:ascii="Arial" w:cs="Arial" w:eastAsia="Arial" w:hAnsi="Arial"/>
                <w:b/>
                <w:bCs/>
                <w:sz w:val="20"/>
                <w:szCs w:val="20"/>
              </w:rPr>
              <w:t xml:space="preserve">ML-DSA</w:t>
            </w:r>
          </w:p>
        </w:tc>
        <w:tc>
          <w:tcPr>
            <w:tcW w:type="dxa" w:w="2400"/>
            <w:tcBorders>
              <w:top w:val="single" w:color="888888" w:sz="1"/>
              <w:left w:val="single" w:color="888888" w:sz="1"/>
              <w:bottom w:val="single" w:color="888888" w:sz="1"/>
              <w:right w:val="single" w:color="888888" w:sz="1"/>
            </w:tcBorders>
            <w:shd w:fill="D5E8F0" w:val="clear"/>
            <w:tcMar>
              <w:top w:type="dxa" w:w="100"/>
              <w:left w:type="dxa" w:w="120"/>
              <w:bottom w:type="dxa" w:w="100"/>
              <w:right w:type="dxa" w:w="120"/>
            </w:tcMar>
          </w:tcPr>
          <w:p>
            <w:pPr>
              <w:spacing w:after="0"/>
            </w:pPr>
            <w:r>
              <w:rPr>
                <w:rFonts w:ascii="Arial" w:cs="Arial" w:eastAsia="Arial" w:hAnsi="Arial"/>
                <w:b/>
                <w:bCs/>
                <w:sz w:val="20"/>
                <w:szCs w:val="20"/>
              </w:rPr>
              <w:t xml:space="preserve">SLH-DSA</w:t>
            </w:r>
          </w:p>
        </w:tc>
        <w:tc>
          <w:tcPr>
            <w:tcW w:type="dxa" w:w="2360"/>
            <w:tcBorders>
              <w:top w:val="single" w:color="888888" w:sz="1"/>
              <w:left w:val="single" w:color="888888" w:sz="1"/>
              <w:bottom w:val="single" w:color="888888" w:sz="1"/>
              <w:right w:val="single" w:color="888888" w:sz="1"/>
            </w:tcBorders>
            <w:shd w:fill="D5E8F0" w:val="clear"/>
            <w:tcMar>
              <w:top w:type="dxa" w:w="100"/>
              <w:left w:type="dxa" w:w="120"/>
              <w:bottom w:type="dxa" w:w="100"/>
              <w:right w:type="dxa" w:w="120"/>
            </w:tcMar>
          </w:tcPr>
          <w:p>
            <w:pPr>
              <w:spacing w:after="0"/>
            </w:pPr>
            <w:r>
              <w:rPr>
                <w:rFonts w:ascii="Arial" w:cs="Arial" w:eastAsia="Arial" w:hAnsi="Arial"/>
                <w:b/>
                <w:bCs/>
                <w:sz w:val="20"/>
                <w:szCs w:val="20"/>
              </w:rPr>
              <w:t xml:space="preserve">XMSS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Math. Basis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Module-LWE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Hash-Funktionen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Hash-Funktionen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Stateful?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Sicherheitsannahme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neuer (LWE)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konservativ</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konservativ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Signaturen pro Key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unbegrenzt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unbegrenzt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endlich (2^h)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Standardisierung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FIPS 204 (2024)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FIPS 205 (2024)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RFC 8391 / SP 800-208</w:t>
            </w:r>
          </w:p>
        </w:tc>
      </w:tr>
    </w:tbl>
    <w:p>
      <w:pPr>
        <w:spacing w:after="240" w:before="60"/>
        <w:jc w:val="left"/>
      </w:pPr>
      <w:r>
        <w:rPr>
          <w:rFonts w:ascii="Arial" w:cs="Arial" w:eastAsia="Arial" w:hAnsi="Arial"/>
          <w:i/>
          <w:iCs/>
          <w:color w:val="555555"/>
          <w:sz w:val="18"/>
          <w:szCs w:val="18"/>
        </w:rPr>
        <w:t xml:space="preserve">Tabelle 1: Vergleichsmatrix der drei betrachteten Signaturverfahren.</w:t>
      </w:r>
    </w:p>
    <w:p>
      <w:pPr>
        <w:spacing w:after="120" w:line="280"/>
        <w:jc w:val="both"/>
      </w:pPr>
      <w:r>
        <w:t xml:space="preserve">Die fundamentale Trennung zwischen stateful und stateless ist nicht nur ein algorithmisches Detail. Sie hat weitreichende Konsequenzen für den praktischen Einsatz – Konsequenzen, die diese Arbeit zunächst quantitativ (Kapitel 4) und anschließend qualitativ (Kapitel 5) untersucht.</w:t>
      </w:r>
    </w:p>
    <w:p>
      <w:pPr>
        <w:pStyle w:val="Heading1"/>
        <w:spacing w:after="200" w:before="360"/>
      </w:pPr>
      <w:r>
        <w:rPr>
          <w:rFonts w:ascii="Arial" w:cs="Arial" w:eastAsia="Arial" w:hAnsi="Arial"/>
          <w:b/>
          <w:bCs/>
          <w:sz w:val="32"/>
          <w:szCs w:val="32"/>
        </w:rPr>
        <w:t xml:space="preserve">3. Aufbau und Methodik</w:t>
      </w:r>
    </w:p>
    <w:p>
      <w:pPr>
        <w:spacing w:after="120" w:line="280"/>
        <w:jc w:val="both"/>
      </w:pPr>
      <w:r>
        <w:t xml:space="preserve">Für den Vergleich wurde eine einheitliche Testumgebung implementiert, die alle drei Verfahren über dasselbe abstrakte Interface zugänglich macht. Dieses Kapitel beschreibt den verwendeten Stack, die zentrale Designentscheidung der Wrapper-Schicht sowie die Methodik der Performance-Messungen.</w:t>
      </w:r>
    </w:p>
    <w:p>
      <w:pPr>
        <w:pStyle w:val="Heading2"/>
        <w:spacing w:after="160" w:before="280"/>
      </w:pPr>
      <w:r>
        <w:rPr>
          <w:rFonts w:ascii="Arial" w:cs="Arial" w:eastAsia="Arial" w:hAnsi="Arial"/>
          <w:b/>
          <w:bCs/>
          <w:sz w:val="26"/>
          <w:szCs w:val="26"/>
        </w:rPr>
        <w:t xml:space="preserve">3.1 Stack</w:t>
      </w:r>
    </w:p>
    <w:p>
      <w:pPr>
        <w:spacing w:after="120" w:line="280"/>
        <w:jc w:val="both"/>
      </w:pPr>
      <w:r>
        <w:t xml:space="preserve">Als kryptographische Basis dient liboqs, die Referenz-Implementierung des Open-Quantum-Safe-Projekts. liboqs liefert in Version 0.15.0 alle drei betrachteten Verfahren. Bemerkenswert ist dabei, dass XMSS in der Standard-Build-Konfiguration deaktiviert ist und nur durch explizite Aktivierung über sogenannte HAZARDOUS-Flags zur Verfügung steht. Diese Designentscheidung der Bibliothek selbst – Stateful-Signaturen werden als gefährlich klassifiziert – ist bereits ein erstes Argument für die in Kapitel 5 diskutierte Operations-Problematik.</w:t>
      </w:r>
    </w:p>
    <w:p>
      <w:pPr>
        <w:spacing w:after="120" w:line="280"/>
        <w:jc w:val="both"/>
      </w:pPr>
      <w:r>
        <w:t xml:space="preserve">Die Python-Bindings liboqs-python erlauben den komfortablen Zugriff aus Python. Die Build-Umgebung basiert auf WSL2 mit Ubuntu 22.04 unter Windows 11, da das Build-System der Bibliothek POSIX-konform ist und native Windows-Builds nicht zuverlässig unterstützt werden.</w:t>
      </w:r>
    </w:p>
    <w:p>
      <w:pPr>
        <w:pStyle w:val="Heading2"/>
        <w:spacing w:after="160" w:before="280"/>
      </w:pPr>
      <w:r>
        <w:rPr>
          <w:rFonts w:ascii="Arial" w:cs="Arial" w:eastAsia="Arial" w:hAnsi="Arial"/>
          <w:b/>
          <w:bCs/>
          <w:sz w:val="26"/>
          <w:szCs w:val="26"/>
        </w:rPr>
        <w:t xml:space="preserve">3.2 Wrapper-Architektur</w:t>
      </w:r>
    </w:p>
    <w:p>
      <w:pPr>
        <w:spacing w:after="120" w:line="280"/>
        <w:jc w:val="both"/>
      </w:pPr>
      <w:r>
        <w:t xml:space="preserve">Um alle drei Verfahren über ein einheitliches Interface ansprechen zu können, wurde eine abstrakte Basisklasse SignatureScheme definiert. Die zentrale Designentscheidung betrifft die Signatur der sign-Methode: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40"/>
              <w:jc w:val="left"/>
            </w:pPr>
            <w:r>
              <w:rPr>
                <w:rFonts w:ascii="Consolas" w:cs="Consolas" w:eastAsia="Consolas" w:hAnsi="Consolas"/>
                <w:sz w:val="18"/>
                <w:szCs w:val="18"/>
              </w:rPr>
              <w:t xml:space="preserve">class SignatureScheme(ABC):</w:t>
            </w:r>
          </w:p>
          <w:p>
            <w:pPr>
              <w:spacing w:after="0" w:line="240"/>
              <w:jc w:val="left"/>
            </w:pPr>
            <w:r>
              <w:rPr>
                <w:rFonts w:ascii="Consolas" w:cs="Consolas" w:eastAsia="Consolas" w:hAnsi="Consolas"/>
                <w:sz w:val="18"/>
                <w:szCs w:val="18"/>
              </w:rPr>
              <w:t xml:space="preserve">    @abstractmethod</w:t>
            </w:r>
          </w:p>
          <w:p>
            <w:pPr>
              <w:spacing w:after="0" w:line="240"/>
              <w:jc w:val="left"/>
            </w:pPr>
            <w:r>
              <w:rPr>
                <w:rFonts w:ascii="Consolas" w:cs="Consolas" w:eastAsia="Consolas" w:hAnsi="Consolas"/>
                <w:sz w:val="18"/>
                <w:szCs w:val="18"/>
              </w:rPr>
              <w:t xml:space="preserve">    def sign(self, secret_key: bytes, message: bytes) -&gt; tuple[bytes, bytes]:</w:t>
            </w:r>
          </w:p>
          <w:p>
            <w:pPr>
              <w:spacing w:after="0" w:line="240"/>
              <w:jc w:val="left"/>
            </w:pPr>
            <w:r>
              <w:rPr>
                <w:rFonts w:ascii="Consolas" w:cs="Consolas" w:eastAsia="Consolas" w:hAnsi="Consolas"/>
                <w:sz w:val="18"/>
                <w:szCs w:val="18"/>
              </w:rPr>
              <w:t xml:space="preserve">        """Signiert eine Nachricht.</w:t>
            </w:r>
          </w:p>
          <w:p>
            <w:pPr>
              <w:spacing w:after="0" w:line="240"/>
              <w:jc w:val="left"/>
            </w:pPr>
            <w:r>
              <w:rPr>
                <w:rFonts w:ascii="Consolas" w:cs="Consolas" w:eastAsia="Consolas" w:hAnsi="Consolas"/>
                <w:sz w:val="18"/>
                <w:szCs w:val="18"/>
              </w:rPr>
              <w:t xml:space="preserve"> </w:t>
            </w:r>
          </w:p>
          <w:p>
            <w:pPr>
              <w:spacing w:after="0" w:line="240"/>
              <w:jc w:val="left"/>
            </w:pPr>
            <w:r>
              <w:rPr>
                <w:rFonts w:ascii="Consolas" w:cs="Consolas" w:eastAsia="Consolas" w:hAnsi="Consolas"/>
                <w:sz w:val="18"/>
                <w:szCs w:val="18"/>
              </w:rPr>
              <w:t xml:space="preserve">        Returns:</w:t>
            </w:r>
          </w:p>
          <w:p>
            <w:pPr>
              <w:spacing w:after="0" w:line="240"/>
              <w:jc w:val="left"/>
            </w:pPr>
            <w:r>
              <w:rPr>
                <w:rFonts w:ascii="Consolas" w:cs="Consolas" w:eastAsia="Consolas" w:hAnsi="Consolas"/>
                <w:sz w:val="18"/>
                <w:szCs w:val="18"/>
              </w:rPr>
              <w:t xml:space="preserve">            (signature, updated_secret_key)</w:t>
            </w:r>
          </w:p>
          <w:p>
            <w:pPr>
              <w:spacing w:after="0" w:line="240"/>
              <w:jc w:val="left"/>
            </w:pPr>
            <w:r>
              <w:rPr>
                <w:rFonts w:ascii="Consolas" w:cs="Consolas" w:eastAsia="Consolas" w:hAnsi="Consolas"/>
                <w:sz w:val="18"/>
                <w:szCs w:val="18"/>
              </w:rPr>
              <w:t xml:space="preserve"> </w:t>
            </w:r>
          </w:p>
          <w:p>
            <w:pPr>
              <w:spacing w:after="0" w:line="240"/>
              <w:jc w:val="left"/>
            </w:pPr>
            <w:r>
              <w:rPr>
                <w:rFonts w:ascii="Consolas" w:cs="Consolas" w:eastAsia="Consolas" w:hAnsi="Consolas"/>
                <w:sz w:val="18"/>
                <w:szCs w:val="18"/>
              </w:rPr>
              <w:t xml:space="preserve">        Bei stateful-Verfahren ist updated_secret_key != secret_key,</w:t>
            </w:r>
          </w:p>
          <w:p>
            <w:pPr>
              <w:spacing w:after="0" w:line="240"/>
              <w:jc w:val="left"/>
            </w:pPr>
            <w:r>
              <w:rPr>
                <w:rFonts w:ascii="Consolas" w:cs="Consolas" w:eastAsia="Consolas" w:hAnsi="Consolas"/>
                <w:sz w:val="18"/>
                <w:szCs w:val="18"/>
              </w:rPr>
              <w:t xml:space="preserve">        weil der Index inkrementiert wurde. Bei stateless ist</w:t>
            </w:r>
          </w:p>
          <w:p>
            <w:pPr>
              <w:spacing w:after="0" w:line="240"/>
              <w:jc w:val="left"/>
            </w:pPr>
            <w:r>
              <w:rPr>
                <w:rFonts w:ascii="Consolas" w:cs="Consolas" w:eastAsia="Consolas" w:hAnsi="Consolas"/>
                <w:sz w:val="18"/>
                <w:szCs w:val="18"/>
              </w:rPr>
              <w:t xml:space="preserve">        updated_secret_key == secret_key.</w:t>
            </w:r>
          </w:p>
          <w:p>
            <w:pPr>
              <w:spacing w:after="0" w:line="240"/>
              <w:jc w:val="left"/>
            </w:pPr>
            <w:r>
              <w:rPr>
                <w:rFonts w:ascii="Consolas" w:cs="Consolas" w:eastAsia="Consolas" w:hAnsi="Consolas"/>
                <w:sz w:val="18"/>
                <w:szCs w:val="18"/>
              </w:rPr>
              <w:t xml:space="preserve">        """</w:t>
            </w:r>
          </w:p>
        </w:tc>
      </w:tr>
    </w:tbl>
    <w:p>
      <w:pPr>
        <w:spacing w:after="120" w:line="280"/>
        <w:jc w:val="both"/>
      </w:pPr>
      <w:r>
        <w:t xml:space="preserve">Diese Konvention erzwingt, dass der Aufrufer den fortgeschriebenen privaten Schlüssel explizit weiterreichen muss – auch dann, wenn er aktuell mit einem stateless Algorithmus arbeitet. Statefulness wird damit zu einer Eigenschaft erster Ordnung im Code, die nicht versehentlich übersehen werden kann. Die Wrapper für ML-DSA und SLH-DSA geben den Secret-Key schlicht unverändert zurück, der XMSS-Wrapper liefert den aktualisierten Schlüssel der zugrundeliegenden liboqs-API.</w:t>
      </w:r>
    </w:p>
    <w:p>
      <w:pPr>
        <w:pStyle w:val="Heading2"/>
        <w:spacing w:after="160" w:before="280"/>
      </w:pPr>
      <w:r>
        <w:rPr>
          <w:rFonts w:ascii="Arial" w:cs="Arial" w:eastAsia="Arial" w:hAnsi="Arial"/>
          <w:b/>
          <w:bCs/>
          <w:sz w:val="26"/>
          <w:szCs w:val="26"/>
        </w:rPr>
        <w:t xml:space="preserve">3.3 Mess-Methodik</w:t>
      </w:r>
    </w:p>
    <w:p>
      <w:pPr>
        <w:spacing w:after="120" w:line="280"/>
        <w:jc w:val="both"/>
      </w:pPr>
      <w:r>
        <w:t xml:space="preserve">Die Performance-Messungen verwenden time.perf_counter_ns als Zeitquelle, da diese Funktion monotonisch ist und in der Größenordnung von Nanosekunden auflöst. Drei Designentscheidungen prägen die Messungen:</w:t>
      </w:r>
    </w:p>
    <w:p>
      <w:pPr>
        <w:pStyle w:val="ListParagraph"/>
        <w:numPr>
          <w:ilvl w:val="0"/>
          <w:numId w:val="2"/>
        </w:numPr>
        <w:spacing w:after="80" w:line="280"/>
      </w:pPr>
      <w:r>
        <w:rPr>
          <w:rFonts w:ascii="Arial" w:cs="Arial" w:eastAsia="Arial" w:hAnsi="Arial"/>
          <w:sz w:val="22"/>
          <w:szCs w:val="22"/>
        </w:rPr>
        <w:t xml:space="preserve">Warmup-Iterationen: vor jeder Messreihe werden Aufrufe durchgeführt, deren Ergebnisse verworfen werden. Damit werden Effekte durch kalten Cache, untrainierten Branch-Predictor und Lazy-Initialisierung der C-Bibliothek eliminiert.</w:t>
      </w:r>
    </w:p>
    <w:p>
      <w:pPr>
        <w:pStyle w:val="ListParagraph"/>
        <w:numPr>
          <w:ilvl w:val="0"/>
          <w:numId w:val="2"/>
        </w:numPr>
        <w:spacing w:after="80" w:line="280"/>
      </w:pPr>
      <w:r>
        <w:rPr>
          <w:rFonts w:ascii="Arial" w:cs="Arial" w:eastAsia="Arial" w:hAnsi="Arial"/>
          <w:sz w:val="22"/>
          <w:szCs w:val="22"/>
        </w:rPr>
        <w:t xml:space="preserve">Median statt arithmetisches Mittel: der Median ist robust gegenüber einzelnen Ausreißern, die typischerweise durch Garbage-Collection-Pausen oder Scheduling-Effekte verursacht werden.</w:t>
      </w:r>
    </w:p>
    <w:p>
      <w:pPr>
        <w:pStyle w:val="ListParagraph"/>
        <w:numPr>
          <w:ilvl w:val="0"/>
          <w:numId w:val="2"/>
        </w:numPr>
        <w:spacing w:after="80" w:line="280"/>
      </w:pPr>
      <w:r>
        <w:rPr>
          <w:rFonts w:ascii="Arial" w:cs="Arial" w:eastAsia="Arial" w:hAnsi="Arial"/>
          <w:sz w:val="22"/>
          <w:szCs w:val="22"/>
        </w:rPr>
        <w:t xml:space="preserve">Iterationszahlen pro Operation: 20 Iterationen mit 2 Warmup für keygen, 100 Iterationen mit 5 Warmup für sign und verify. Die geringere Zahl bei keygen berücksichtigt, dass die Erzeugung eines XMSS-Schlüsselpaares mehrere Sekunden dauern kann, da hierfür der vollständige Hash-Baum aufgebaut werden muss.</w:t>
      </w:r>
    </w:p>
    <w:p>
      <w:pPr>
        <w:spacing w:after="120" w:line="280"/>
        <w:jc w:val="both"/>
      </w:pPr>
      <w:r>
        <w:t xml:space="preserve">Ergänzend belegen 79 automatisierte Tests die Korrektheit der Wrapper-Implementierungen sowie das spezifizierte Stateful-Verhalten von XMSS. Auf diese Tests wird in Kapitel 5 zurückgegriffen.</w:t>
      </w:r>
    </w:p>
    <w:p>
      <w:pPr>
        <w:pStyle w:val="Heading1"/>
        <w:spacing w:after="200" w:before="360"/>
      </w:pPr>
      <w:r>
        <w:rPr>
          <w:rFonts w:ascii="Arial" w:cs="Arial" w:eastAsia="Arial" w:hAnsi="Arial"/>
          <w:b/>
          <w:bCs/>
          <w:sz w:val="32"/>
          <w:szCs w:val="32"/>
        </w:rPr>
        <w:t xml:space="preserve">4. Performance-Vergleich</w:t>
      </w:r>
    </w:p>
    <w:p>
      <w:pPr>
        <w:spacing w:after="120" w:line="280"/>
        <w:jc w:val="both"/>
      </w:pPr>
      <w:r>
        <w:t xml:space="preserve">Dieses Kapitel berichtet die gemessenen Performance- und Größendaten der drei Verfahren. Alle Werte stammen aus einem einzelnen Benchmarklauf mit den in Abschnitt 3.3 beschriebenen Iterationszahlen, durchgeführt auf [HARDWARE: CPU-Modell, Anzahl Kerne, RAM-Größe] unter WSL2 mit Ubuntu 22.04.</w:t>
      </w:r>
    </w:p>
    <w:p>
      <w:pPr>
        <w:pStyle w:val="Heading2"/>
        <w:spacing w:after="160" w:before="280"/>
      </w:pPr>
      <w:r>
        <w:rPr>
          <w:rFonts w:ascii="Arial" w:cs="Arial" w:eastAsia="Arial" w:hAnsi="Arial"/>
          <w:b/>
          <w:bCs/>
          <w:sz w:val="26"/>
          <w:szCs w:val="26"/>
        </w:rPr>
        <w:t xml:space="preserve">4.1 Laufzeitvergleich</w:t>
      </w:r>
    </w:p>
    <w:p>
      <w:pPr>
        <w:spacing w:after="120" w:line="280"/>
        <w:jc w:val="both"/>
      </w:pPr>
      <w:r>
        <w:t xml:space="preserve">Tabelle 2 fasst die Median-Laufzeiten der drei Operationen keygen, sign und verify zusammen.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E6F4F1" w:val="clear"/>
            <w:tcMar>
              <w:top w:type="dxa" w:w="160"/>
              <w:left w:type="dxa" w:w="200"/>
              <w:bottom w:type="dxa" w:w="160"/>
              <w:right w:type="dxa" w:w="200"/>
            </w:tcMar>
          </w:tcPr>
          <w:p>
            <w:pPr>
              <w:spacing w:after="100"/>
              <w:jc w:val="center"/>
            </w:pPr>
            <w:r>
              <w:rPr>
                <w:rFonts w:ascii="Arial" w:cs="Arial" w:eastAsia="Arial" w:hAnsi="Arial"/>
                <w:b/>
                <w:bCs/>
                <w:color w:val="2F4F4F"/>
                <w:sz w:val="22"/>
                <w:szCs w:val="22"/>
              </w:rPr>
              <w:t xml:space="preserve">[ TABELLE: Performance-Tabelle (Median in ms) ]</w:t>
            </w:r>
          </w:p>
          <w:p>
            <w:pPr>
              <w:spacing w:after="0"/>
              <w:jc w:val="left"/>
            </w:pPr>
            <w:r>
              <w:rPr>
                <w:rFonts w:ascii="Arial" w:cs="Arial" w:eastAsia="Arial" w:hAnsi="Arial"/>
                <w:i/>
                <w:iCs/>
                <w:color w:val="555555"/>
                <w:sz w:val="20"/>
                <w:szCs w:val="20"/>
              </w:rPr>
              <w:t xml:space="preserve">Die Werte sind direkt aus der Konsolenausgabe von 'python -m src.run_benchmark' zu übernehmen. Im Runner wird automatisch eine fertige Tabelle gedruckt. Spalten: Algorithmus | keygen [ms] | sign [ms] | verify [ms]. Drei Datenzeilen: ML-DSA-65, SLH-DSA-SHA2-128f, XMSS-SHA2_10_256.</w:t>
            </w:r>
          </w:p>
        </w:tc>
      </w:tr>
    </w:tbl>
    <w:p>
      <w:pPr>
        <w:spacing w:after="240" w:before="60"/>
        <w:jc w:val="left"/>
      </w:pPr>
      <w:r>
        <w:rPr>
          <w:rFonts w:ascii="Arial" w:cs="Arial" w:eastAsia="Arial" w:hAnsi="Arial"/>
          <w:i/>
          <w:iCs/>
          <w:color w:val="555555"/>
          <w:sz w:val="18"/>
          <w:szCs w:val="18"/>
        </w:rPr>
        <w:t xml:space="preserve">Tabelle 2: Median-Laufzeiten der Operationen keygen, sign und verify.</w:t>
      </w:r>
    </w:p>
    <w:p>
      <w:pPr>
        <w:spacing w:after="120" w:line="280"/>
        <w:jc w:val="both"/>
      </w:pPr>
      <w:r>
        <w:t xml:space="preserve">Bei der Interpretation der Werte sind drei Beobachtungen zentral. ML-DSA-65 liegt in allen drei Operationen im mittleren Bereich und stellt damit den ausgewogensten Algorithmus dar. SLH-DSA-SHA2-128f zeigt das mit Abstand langsamste Signing, da hier eine größere Zahl interner Hash-Operationen erforderlich ist; bei den korrespondierenden s-Varianten wäre dieser Unterschied nochmals dramatischer. XMSS-SHA2_10_256 fällt durch ein außergewöhnlich teures keygen auf, das mehrere Sekunden in Anspruch nimmt – Folge des initial aufzubauenden Hash-Baums über 2^10 Blätter. Sign und verify sind dagegen sehr schnell, was XMSS in seinem typischen Anwendungsszenario (einmalige Schlüsselerzeugung, viele Signaturen über die Lebensdauer eines Geräts) effizient macht.</w:t>
      </w:r>
    </w:p>
    <w:p>
      <w:pPr>
        <w:pStyle w:val="Heading2"/>
        <w:spacing w:after="160" w:before="280"/>
      </w:pPr>
      <w:r>
        <w:rPr>
          <w:rFonts w:ascii="Arial" w:cs="Arial" w:eastAsia="Arial" w:hAnsi="Arial"/>
          <w:b/>
          <w:bCs/>
          <w:sz w:val="26"/>
          <w:szCs w:val="26"/>
        </w:rPr>
        <w:t xml:space="preserve">4.2 Schlüssel- und Signaturgrößen</w:t>
      </w:r>
    </w:p>
    <w:p>
      <w:pPr>
        <w:spacing w:after="120" w:line="280"/>
        <w:jc w:val="both"/>
      </w:pPr>
      <w:r>
        <w:t xml:space="preserve">Tabelle 3 zeigt die Größen von öffentlichem Schlüssel, privatem Schlüssel und Signatur.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E6F4F1" w:val="clear"/>
            <w:tcMar>
              <w:top w:type="dxa" w:w="160"/>
              <w:left w:type="dxa" w:w="200"/>
              <w:bottom w:type="dxa" w:w="160"/>
              <w:right w:type="dxa" w:w="200"/>
            </w:tcMar>
          </w:tcPr>
          <w:p>
            <w:pPr>
              <w:spacing w:after="100"/>
              <w:jc w:val="center"/>
            </w:pPr>
            <w:r>
              <w:rPr>
                <w:rFonts w:ascii="Arial" w:cs="Arial" w:eastAsia="Arial" w:hAnsi="Arial"/>
                <w:b/>
                <w:bCs/>
                <w:color w:val="2F4F4F"/>
                <w:sz w:val="22"/>
                <w:szCs w:val="22"/>
              </w:rPr>
              <w:t xml:space="preserve">[ TABELLE: Größen-Tabelle (in Bytes) ]</w:t>
            </w:r>
          </w:p>
          <w:p>
            <w:pPr>
              <w:spacing w:after="0"/>
              <w:jc w:val="left"/>
            </w:pPr>
            <w:r>
              <w:rPr>
                <w:rFonts w:ascii="Arial" w:cs="Arial" w:eastAsia="Arial" w:hAnsi="Arial"/>
                <w:i/>
                <w:iCs/>
                <w:color w:val="555555"/>
                <w:sz w:val="20"/>
                <w:szCs w:val="20"/>
              </w:rPr>
              <w:t xml:space="preserve">Werte aus 'results/results_sizes.csv' oder direkt aus der Konsolenausgabe des Runners übernehmen. Spalten: Algorithmus | stateful | PK [Byte] | SK [Byte] | Signatur [Byte].</w:t>
            </w:r>
          </w:p>
        </w:tc>
      </w:tr>
    </w:tbl>
    <w:p>
      <w:pPr>
        <w:spacing w:after="240" w:before="60"/>
        <w:jc w:val="left"/>
      </w:pPr>
      <w:r>
        <w:rPr>
          <w:rFonts w:ascii="Arial" w:cs="Arial" w:eastAsia="Arial" w:hAnsi="Arial"/>
          <w:i/>
          <w:iCs/>
          <w:color w:val="555555"/>
          <w:sz w:val="18"/>
          <w:szCs w:val="18"/>
        </w:rPr>
        <w:t xml:space="preserve">Tabelle 3: Schlüssel- und Signaturgrößen der drei Verfahren.</w:t>
      </w:r>
    </w:p>
    <w:p>
      <w:pPr>
        <w:spacing w:after="120" w:line="280"/>
        <w:jc w:val="both"/>
      </w:pPr>
      <w:r>
        <w:t xml:space="preserve">Die drei Verfahren zeigen markant unterschiedliche Profile. SLH-DSA hat mit nur 32 Byte öffentlichem und 64 Byte privatem Schlüssel die kompaktesten Schlüsselgrößen aller drei Verfahren – ein Vorteil insbesondere für eingebettete Verifier mit begrenztem Flash-Speicher. Demgegenüber stehen Signaturen von etwa 17 Kilobyte, die das Verfahren für protokolllastige Szenarien wie TLS-Handshakes nur eingeschränkt geeignet machen. ML-DSA-65 liegt in allen drei Maßen im mittleren Bereich und stellt den klassischen Allrounder dar. XMSS hat den kleinsten öffentlichen Schlüssel (64 Byte), aber einen privaten Schlüssel von rund 1,4 Kilobyte, da hierin mehrere Hash-Zustände sowie der Index gespeichert werden.</w:t>
      </w:r>
    </w:p>
    <w:p>
      <w:pPr>
        <w:spacing w:after="120" w:line="280"/>
        <w:jc w:val="both"/>
      </w:pPr>
      <w:r>
        <w:rPr>
          <w:rFonts w:ascii="Arial" w:cs="Arial" w:eastAsia="Arial" w:hAnsi="Arial"/>
          <w:b w:val="false"/>
          <w:bCs w:val="false"/>
          <w:sz w:val="22"/>
          <w:szCs w:val="22"/>
        </w:rPr>
        <w:t xml:space="preserve">Die quantitativen Befunde allein reichen für eine fundierte Empfehlung jedoch nicht aus. Entscheidend ist, ob ein Verfahren in realen IT-Systemen überhaupt einsetzbar ist – und genau hier zeigt XMSS systematische Probleme, die durch keinen Performance-Vorteil ausgeglichen werden können. Diese Probleme sind Gegenstand des folgenden Kapitels.</w:t>
      </w:r>
    </w:p>
    <w:p>
      <w:pPr>
        <w:pStyle w:val="Heading1"/>
        <w:spacing w:after="200" w:before="360"/>
      </w:pPr>
      <w:r>
        <w:rPr>
          <w:rFonts w:ascii="Arial" w:cs="Arial" w:eastAsia="Arial" w:hAnsi="Arial"/>
          <w:b/>
          <w:bCs/>
          <w:sz w:val="32"/>
          <w:szCs w:val="32"/>
        </w:rPr>
        <w:t xml:space="preserve">5. Statefulness in der Praxis</w:t>
      </w:r>
    </w:p>
    <w:p>
      <w:pPr>
        <w:spacing w:after="120" w:line="280"/>
        <w:jc w:val="both"/>
      </w:pPr>
      <w:r>
        <w:t xml:space="preserve">Die kryptographische Sicherheit von XMSS hängt von einer einzigen, scheinbar simpel formulierten Bedingung ab: kein Index darf zweimal verwendet werden. Diese Bedingung lässt sich algorithmisch nicht erzwingen – sie muss vom umgebenden System (Speicherung, Backup-Verfahren, Nebenläufigkeit) garantiert werden. Drei in diesem Projekt entwickelte Demonstrationen zeigen, warum diese Anforderung mit Standard-IT-Praktiken kollidiert.</w:t>
      </w:r>
    </w:p>
    <w:p>
      <w:pPr>
        <w:pStyle w:val="Heading2"/>
        <w:spacing w:after="160" w:before="280"/>
      </w:pPr>
      <w:r>
        <w:rPr>
          <w:rFonts w:ascii="Arial" w:cs="Arial" w:eastAsia="Arial" w:hAnsi="Arial"/>
          <w:b/>
          <w:bCs/>
          <w:sz w:val="26"/>
          <w:szCs w:val="26"/>
        </w:rPr>
        <w:t xml:space="preserve">5.1 Index-Wiederverwendung als Grundproblem</w:t>
      </w:r>
    </w:p>
    <w:p>
      <w:pPr>
        <w:spacing w:after="120" w:line="280"/>
        <w:jc w:val="both"/>
      </w:pPr>
      <w:r>
        <w:t xml:space="preserve">Die erste Demonstration (demo02_reuse_attack) zeigt das Reuse-Problem in seiner reinsten Form. Nach Erzeugung eines XMSS-Schlüsselpaares wird der private Schlüssel kopiert – dies entspricht der Wirkung einer Backup-Operation oder eines VM-Snapshots. Anschließend werden drei legitime Signaturen erstellt, wobei der interne Index ordnungsgemäß fortgeschrieben wird. Im nächsten Schritt wird der zuvor gesicherte Schlüssel-Snapshot wiederhergestellt und mit ihm eine weitere Signatur erzeugt. Das Ergebnis: zwei Signaturen unterschiedlicher Nachrichten mit identischem internen Index, beide gültig unter demselben öffentlichen Schlüssel.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F8DC" w:val="clear"/>
            <w:tcMar>
              <w:top w:type="dxa" w:w="160"/>
              <w:left w:type="dxa" w:w="200"/>
              <w:bottom w:type="dxa" w:w="160"/>
              <w:right w:type="dxa" w:w="200"/>
            </w:tcMar>
          </w:tcPr>
          <w:p>
            <w:pPr>
              <w:spacing w:after="100"/>
              <w:jc w:val="center"/>
            </w:pPr>
            <w:r>
              <w:rPr>
                <w:rFonts w:ascii="Arial" w:cs="Arial" w:eastAsia="Arial" w:hAnsi="Arial"/>
                <w:b/>
                <w:bCs/>
                <w:color w:val="8B4513"/>
                <w:sz w:val="22"/>
                <w:szCs w:val="22"/>
              </w:rPr>
              <w:t xml:space="preserve">[ SCREENSHOT: Demo 2 – Reuse-Attack ]</w:t>
            </w:r>
          </w:p>
          <w:p>
            <w:pPr>
              <w:spacing w:after="0"/>
              <w:jc w:val="left"/>
            </w:pPr>
            <w:r>
              <w:rPr>
                <w:rFonts w:ascii="Arial" w:cs="Arial" w:eastAsia="Arial" w:hAnsi="Arial"/>
                <w:i/>
                <w:iCs/>
                <w:color w:val="555555"/>
                <w:sz w:val="20"/>
                <w:szCs w:val="20"/>
              </w:rPr>
              <w:t xml:space="preserve">Ausführen mit 'python -m src.stateful_demo.demo02_reuse_attack'. Screenshot der Sektion 'Die Konsequenz: neue Signaturen mit altem Index' bis einschließlich 'Verifikation: beide Signaturen sind gueltig'. Die Stelle 'BEIDE Signaturen verwenden denselben Index 0!' und die nachfolgenden 'verify = True'-Zeilen müssen sichtbar sein.</w:t>
            </w:r>
          </w:p>
        </w:tc>
      </w:tr>
    </w:tbl>
    <w:p>
      <w:pPr>
        <w:spacing w:after="120" w:line="280"/>
        <w:jc w:val="both"/>
      </w:pPr>
      <w:r>
        <w:t xml:space="preserve">Bemerkenswert ist: weder die Bibliothek noch der Algorithmus sind fehlerhaft. liboqs verhält sich exakt wie im Standard vorgesehen. Der Algorithmus kann nicht erkennen, dass derselbe Index zweimal aktiv ist, da der Verbraucht-Status nicht in der mathematischen Struktur des Schlüssels lebt, sondern im umgebenden Speicher. Die Konsequenz ist drastisch: Non-Repudiation ist verletzt, und nach der Analyse von Buchmann et al. genügen zwei Signaturen unter identischem WOTS+-Index, um durch Interpolation der offengelegten Hash-Ketten weitere Forgeries für vom Angreifer gewählte Nachrichten zu konstruieren.</w:t>
      </w:r>
    </w:p>
    <w:p>
      <w:pPr>
        <w:pStyle w:val="Heading2"/>
        <w:spacing w:after="160" w:before="280"/>
      </w:pPr>
      <w:r>
        <w:rPr>
          <w:rFonts w:ascii="Arial" w:cs="Arial" w:eastAsia="Arial" w:hAnsi="Arial"/>
          <w:b/>
          <w:bCs/>
          <w:sz w:val="26"/>
          <w:szCs w:val="26"/>
        </w:rPr>
        <w:t xml:space="preserve">5.2 Die Backup-Falle</w:t>
      </w:r>
    </w:p>
    <w:p>
      <w:pPr>
        <w:spacing w:after="120" w:line="280"/>
        <w:jc w:val="both"/>
      </w:pPr>
      <w:r>
        <w:t xml:space="preserve">Die zweite Demonstration (demo03_backup_pitfall) bettet das Reuse-Problem in ein realistisches Operations-Szenario ein. Modelliert wird eine Audit-Log-Anwendung, die jeden Logeintrag mit XMSS signiert, um Manipulationssicherheit zu gewährleisten. An Tag 1 wird normal protokolliert, anschließend wird ein nächtliches Backup erstellt – eine Standard-Operation, deren Korrektheit außer Frage steht. An Tag 2 werden weitere Einträge protokolliert, bis ein Speicherfehler einen Restore des Backups erforderlich macht. Aus Sicht des Betriebssystems ist das Filesystem nach dem Restore konsistent, die Anwendung läuft fehlerfrei weiter.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F8DC" w:val="clear"/>
            <w:tcMar>
              <w:top w:type="dxa" w:w="160"/>
              <w:left w:type="dxa" w:w="200"/>
              <w:bottom w:type="dxa" w:w="160"/>
              <w:right w:type="dxa" w:w="200"/>
            </w:tcMar>
          </w:tcPr>
          <w:p>
            <w:pPr>
              <w:spacing w:after="100"/>
              <w:jc w:val="center"/>
            </w:pPr>
            <w:r>
              <w:rPr>
                <w:rFonts w:ascii="Arial" w:cs="Arial" w:eastAsia="Arial" w:hAnsi="Arial"/>
                <w:b/>
                <w:bCs/>
                <w:color w:val="8B4513"/>
                <w:sz w:val="22"/>
                <w:szCs w:val="22"/>
              </w:rPr>
              <w:t xml:space="preserve">[ SCREENSHOT: Demo 3 – Backup-Falle ]</w:t>
            </w:r>
          </w:p>
          <w:p>
            <w:pPr>
              <w:spacing w:after="0"/>
              <w:jc w:val="left"/>
            </w:pPr>
            <w:r>
              <w:rPr>
                <w:rFonts w:ascii="Arial" w:cs="Arial" w:eastAsia="Arial" w:hAnsi="Arial"/>
                <w:i/>
                <w:iCs/>
                <w:color w:val="555555"/>
                <w:sz w:val="20"/>
                <w:szCs w:val="20"/>
              </w:rPr>
              <w:t xml:space="preserve">Ausführen mit 'python -m src.stateful_demo.demo03_backup_pitfall'. Screenshot der Sektion 'Audit-Log-Forensik' mit den 'KOLLISION an Index N'-Zeilen. Die Stelle muss zeigen: zwei verschiedene Nachrichten mit identischem Index, beide mit 'verify=True'.</w:t>
            </w:r>
          </w:p>
        </w:tc>
      </w:tr>
    </w:tbl>
    <w:p>
      <w:pPr>
        <w:spacing w:after="120" w:line="280"/>
        <w:jc w:val="both"/>
      </w:pPr>
      <w:r>
        <w:t xml:space="preserve">Tatsächlich aber sind die nach dem Restore erstellten Signaturen für das System unsichtbar fatal: ihre Indizes wurden bereits am Vormittag verbraucht. Das Audit-Log enthält nun Einträge mit kollidierenden Indizes – jeweils zwei verschiedene Nachrichten, beide kryptographisch gültig signiert unter demselben öffentlichen Schlüssel. Die Eigenschaft des Audit-Logs, manipulationssicher zu sein, ist verletzt. Ein Auditor kann nicht mehr zwischen authentischen und untergeschobenen Einträgen unterscheiden, ohne externe Information heranzuziehen. Bemerkenswert ist die Trivialität der Ursache: kein Programmierfehler, kein nachlässiger Administrator – eine korrekt durchgeführte Backup-Restore-Operation hat den Schaden verursacht.</w:t>
      </w:r>
    </w:p>
    <w:p>
      <w:pPr>
        <w:pStyle w:val="Heading2"/>
        <w:spacing w:after="160" w:before="280"/>
      </w:pPr>
      <w:r>
        <w:rPr>
          <w:rFonts w:ascii="Arial" w:cs="Arial" w:eastAsia="Arial" w:hAnsi="Arial"/>
          <w:b/>
          <w:bCs/>
          <w:sz w:val="26"/>
          <w:szCs w:val="26"/>
        </w:rPr>
        <w:t xml:space="preserve">5.3 Hochverfügbarkeit als strukturelles Problem</w:t>
      </w:r>
    </w:p>
    <w:p>
      <w:pPr>
        <w:spacing w:after="120" w:line="280"/>
        <w:jc w:val="both"/>
      </w:pPr>
      <w:r>
        <w:t xml:space="preserve">Die dritte Demonstration (demo04_multinode_failover) erweitert die Betrachtung auf verteilte Systeme. Untersucht werden zwei verbreitete Hochverfügbarkeits-Architekturen: ein Active-Active-Cluster mit gemeinsam genutztem Storage und ein Active-Standby-Setup mit asynchroner Replikation. In beiden Fällen führt die normale Architektur unter realistischen Annahmen – Race Conditions auf Netzwerk-Filesystemen, unvermeidbarer Replikations-Lag – zu Index-Kollisionen.</w:t>
      </w:r>
    </w:p>
    <w:p>
      <w:pPr>
        <w:spacing w:after="120" w:line="280"/>
        <w:jc w:val="both"/>
      </w:pPr>
      <w:r>
        <w:t xml:space="preserve">Der Grund liegt in einer fundamentalen Eigenschaft von XMSS: der Schlüssel selbst ist State. Während klassische Hochverfügbarkeits-Pattern davon ausgehen, dass Anwendungsstate in einer Datenbank lebt und Anwendungsknoten zustandslos sind, verlangt XMSS exklusive Kontrolle über den Schlüssel. Sobald mehr als ein Knoten Zugriff auf denselben privaten Schlüssel hat, ist die Single-Use-Garantie nur durch globale Serialisierung aller Signing-Operationen aufrechtzuerhalten – was den eigentlichen Vorteil verteilter Architekturen (parallele Verarbeitung) zunichtemacht.</w:t>
      </w:r>
    </w:p>
    <w:p>
      <w:pPr>
        <w:pStyle w:val="Heading2"/>
        <w:spacing w:after="160" w:before="280"/>
      </w:pPr>
      <w:r>
        <w:rPr>
          <w:rFonts w:ascii="Arial" w:cs="Arial" w:eastAsia="Arial" w:hAnsi="Arial"/>
          <w:b/>
          <w:bCs/>
          <w:sz w:val="26"/>
          <w:szCs w:val="26"/>
        </w:rPr>
        <w:t xml:space="preserve">5.4 Tests als ausführbarer Beleg</w:t>
      </w:r>
    </w:p>
    <w:p>
      <w:pPr>
        <w:spacing w:after="120" w:line="280"/>
        <w:jc w:val="both"/>
      </w:pPr>
      <w:r>
        <w:t xml:space="preserve">Die in den drei Demonstrationen beobachteten Eigenschaften sind in der Testsuite des Projekts (test_xmss_stateful.py) als reproduzierbare, automatisierte Tests dokumentiert. Bemerkenswert ist die Rolle dieser Tests: sie prüfen nicht primär die Fehlerfreiheit der Bibliothek, sondern belegen das Reuse-Verhalten als spezifizierte Eigenschaft des Verfahrens. Die folgende Test-Methode ist dafür exemplarisch: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40"/>
              <w:jc w:val="left"/>
            </w:pPr>
            <w:r>
              <w:rPr>
                <w:rFonts w:ascii="Consolas" w:cs="Consolas" w:eastAsia="Consolas" w:hAnsi="Consolas"/>
                <w:sz w:val="18"/>
                <w:szCs w:val="18"/>
              </w:rPr>
              <w:t xml:space="preserve">def test_same_sk_snapshot_produces_same_index(</w:t>
            </w:r>
          </w:p>
          <w:p>
            <w:pPr>
              <w:spacing w:after="0" w:line="240"/>
              <w:jc w:val="left"/>
            </w:pPr>
            <w:r>
              <w:rPr>
                <w:rFonts w:ascii="Consolas" w:cs="Consolas" w:eastAsia="Consolas" w:hAnsi="Consolas"/>
                <w:sz w:val="18"/>
                <w:szCs w:val="18"/>
              </w:rPr>
              <w:t xml:space="preserve">    self, xmss_scheme, xmss_keypair</w:t>
            </w:r>
          </w:p>
          <w:p>
            <w:pPr>
              <w:spacing w:after="0" w:line="240"/>
              <w:jc w:val="left"/>
            </w:pPr>
            <w:r>
              <w:rPr>
                <w:rFonts w:ascii="Consolas" w:cs="Consolas" w:eastAsia="Consolas" w:hAnsi="Consolas"/>
                <w:sz w:val="18"/>
                <w:szCs w:val="18"/>
              </w:rPr>
              <w:t xml:space="preserve">):</w:t>
            </w:r>
          </w:p>
          <w:p>
            <w:pPr>
              <w:spacing w:after="0" w:line="240"/>
              <w:jc w:val="left"/>
            </w:pPr>
            <w:r>
              <w:rPr>
                <w:rFonts w:ascii="Consolas" w:cs="Consolas" w:eastAsia="Consolas" w:hAnsi="Consolas"/>
                <w:sz w:val="18"/>
                <w:szCs w:val="18"/>
              </w:rPr>
              <w:t xml:space="preserve">    """Wenn ein Angreifer den ALTEN SK in der Hand hat und damit</w:t>
            </w:r>
          </w:p>
          <w:p>
            <w:pPr>
              <w:spacing w:after="0" w:line="240"/>
              <w:jc w:val="left"/>
            </w:pPr>
            <w:r>
              <w:rPr>
                <w:rFonts w:ascii="Consolas" w:cs="Consolas" w:eastAsia="Consolas" w:hAnsi="Consolas"/>
                <w:sz w:val="18"/>
                <w:szCs w:val="18"/>
              </w:rPr>
              <w:t xml:space="preserve">    eine andere Nachricht signiert, hat seine Signatur denselben</w:t>
            </w:r>
          </w:p>
          <w:p>
            <w:pPr>
              <w:spacing w:after="0" w:line="240"/>
              <w:jc w:val="left"/>
            </w:pPr>
            <w:r>
              <w:rPr>
                <w:rFonts w:ascii="Consolas" w:cs="Consolas" w:eastAsia="Consolas" w:hAnsi="Consolas"/>
                <w:sz w:val="18"/>
                <w:szCs w:val="18"/>
              </w:rPr>
              <w:t xml:space="preserve">    Index wie unsere legitime Signatur."""</w:t>
            </w:r>
          </w:p>
          <w:p>
            <w:pPr>
              <w:spacing w:after="0" w:line="240"/>
              <w:jc w:val="left"/>
            </w:pPr>
            <w:r>
              <w:rPr>
                <w:rFonts w:ascii="Consolas" w:cs="Consolas" w:eastAsia="Consolas" w:hAnsi="Consolas"/>
                <w:sz w:val="18"/>
                <w:szCs w:val="18"/>
              </w:rPr>
              <w:t xml:space="preserve">    sk_snapshot = xmss_keypair.secret_key</w:t>
            </w:r>
          </w:p>
          <w:p>
            <w:pPr>
              <w:spacing w:after="0" w:line="240"/>
              <w:jc w:val="left"/>
            </w:pPr>
            <w:r>
              <w:rPr>
                <w:rFonts w:ascii="Consolas" w:cs="Consolas" w:eastAsia="Consolas" w:hAnsi="Consolas"/>
                <w:sz w:val="18"/>
                <w:szCs w:val="18"/>
              </w:rPr>
              <w:t xml:space="preserve">    msg_a = b"legitimate message"</w:t>
            </w:r>
          </w:p>
          <w:p>
            <w:pPr>
              <w:spacing w:after="0" w:line="240"/>
              <w:jc w:val="left"/>
            </w:pPr>
            <w:r>
              <w:rPr>
                <w:rFonts w:ascii="Consolas" w:cs="Consolas" w:eastAsia="Consolas" w:hAnsi="Consolas"/>
                <w:sz w:val="18"/>
                <w:szCs w:val="18"/>
              </w:rPr>
              <w:t xml:space="preserve">    msg_b = b"forged message - same index"</w:t>
            </w:r>
          </w:p>
          <w:p>
            <w:pPr>
              <w:spacing w:after="0" w:line="240"/>
              <w:jc w:val="left"/>
            </w:pPr>
            <w:r>
              <w:rPr>
                <w:rFonts w:ascii="Consolas" w:cs="Consolas" w:eastAsia="Consolas" w:hAnsi="Consolas"/>
                <w:sz w:val="18"/>
                <w:szCs w:val="18"/>
              </w:rPr>
              <w:t xml:space="preserve"> </w:t>
            </w:r>
          </w:p>
          <w:p>
            <w:pPr>
              <w:spacing w:after="0" w:line="240"/>
              <w:jc w:val="left"/>
            </w:pPr>
            <w:r>
              <w:rPr>
                <w:rFonts w:ascii="Consolas" w:cs="Consolas" w:eastAsia="Consolas" w:hAnsi="Consolas"/>
                <w:sz w:val="18"/>
                <w:szCs w:val="18"/>
              </w:rPr>
              <w:t xml:space="preserve">    sig_a, _ = xmss_scheme.sign(sk_snapshot, msg_a)</w:t>
            </w:r>
          </w:p>
          <w:p>
            <w:pPr>
              <w:spacing w:after="0" w:line="240"/>
              <w:jc w:val="left"/>
            </w:pPr>
            <w:r>
              <w:rPr>
                <w:rFonts w:ascii="Consolas" w:cs="Consolas" w:eastAsia="Consolas" w:hAnsi="Consolas"/>
                <w:sz w:val="18"/>
                <w:szCs w:val="18"/>
              </w:rPr>
              <w:t xml:space="preserve">    sig_b, _ = xmss_scheme.sign(sk_snapshot, msg_b)</w:t>
            </w:r>
          </w:p>
          <w:p>
            <w:pPr>
              <w:spacing w:after="0" w:line="240"/>
              <w:jc w:val="left"/>
            </w:pPr>
            <w:r>
              <w:rPr>
                <w:rFonts w:ascii="Consolas" w:cs="Consolas" w:eastAsia="Consolas" w:hAnsi="Consolas"/>
                <w:sz w:val="18"/>
                <w:szCs w:val="18"/>
              </w:rPr>
              <w:t xml:space="preserve"> </w:t>
            </w:r>
          </w:p>
          <w:p>
            <w:pPr>
              <w:spacing w:after="0" w:line="240"/>
              <w:jc w:val="left"/>
            </w:pPr>
            <w:r>
              <w:rPr>
                <w:rFonts w:ascii="Consolas" w:cs="Consolas" w:eastAsia="Consolas" w:hAnsi="Consolas"/>
                <w:sz w:val="18"/>
                <w:szCs w:val="18"/>
              </w:rPr>
              <w:t xml:space="preserve">    assert signature_index(sig_a) == signature_index(sig_b) == 0</w:t>
            </w:r>
          </w:p>
        </w:tc>
      </w:tr>
    </w:tbl>
    <w:p>
      <w:pPr>
        <w:spacing w:after="120" w:line="280"/>
        <w:jc w:val="both"/>
      </w:pPr>
      <w:r>
        <w:t xml:space="preserve">Sollte eine zukünftige Version von liboqs eine Reuse-Detektion einbauen, würden diese Tests fehlschlagen – was dann Anlass wäre, die in dieser Arbeit vorgenommene Diskussion zu aktualisieren. Die Tests dienen damit nicht nur der Qualitätssicherung, sondern dokumentieren den Stand des Verhaltens zum Zeitpunkt der Untersuchung.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F8DC" w:val="clear"/>
            <w:tcMar>
              <w:top w:type="dxa" w:w="160"/>
              <w:left w:type="dxa" w:w="200"/>
              <w:bottom w:type="dxa" w:w="160"/>
              <w:right w:type="dxa" w:w="200"/>
            </w:tcMar>
          </w:tcPr>
          <w:p>
            <w:pPr>
              <w:spacing w:after="100"/>
              <w:jc w:val="center"/>
            </w:pPr>
            <w:r>
              <w:rPr>
                <w:rFonts w:ascii="Arial" w:cs="Arial" w:eastAsia="Arial" w:hAnsi="Arial"/>
                <w:b/>
                <w:bCs/>
                <w:color w:val="8B4513"/>
                <w:sz w:val="22"/>
                <w:szCs w:val="22"/>
              </w:rPr>
              <w:t xml:space="preserve">[ SCREENSHOT: pytest-Ausgabe – 79 passed ]</w:t>
            </w:r>
          </w:p>
          <w:p>
            <w:pPr>
              <w:spacing w:after="0"/>
              <w:jc w:val="left"/>
            </w:pPr>
            <w:r>
              <w:rPr>
                <w:rFonts w:ascii="Arial" w:cs="Arial" w:eastAsia="Arial" w:hAnsi="Arial"/>
                <w:i/>
                <w:iCs/>
                <w:color w:val="555555"/>
                <w:sz w:val="20"/>
                <w:szCs w:val="20"/>
              </w:rPr>
              <w:t xml:space="preserve">Ausführen mit 'pytest -v' im aktivierten venv. Screenshot der letzten Zeilen mit '79 passed' oder ein gekürzter Ausschnitt der Testliste plus dem Erfolg am Ende.</w:t>
            </w:r>
          </w:p>
        </w:tc>
      </w:tr>
    </w:tbl>
    <w:p>
      <w:pPr>
        <w:pStyle w:val="Heading1"/>
        <w:spacing w:after="200" w:before="360"/>
      </w:pPr>
      <w:r>
        <w:rPr>
          <w:rFonts w:ascii="Arial" w:cs="Arial" w:eastAsia="Arial" w:hAnsi="Arial"/>
          <w:b/>
          <w:bCs/>
          <w:sz w:val="32"/>
          <w:szCs w:val="32"/>
        </w:rPr>
        <w:t xml:space="preserve">6. Industrielle Antwort und Standardisierung</w:t>
      </w:r>
    </w:p>
    <w:p>
      <w:pPr>
        <w:spacing w:after="120" w:line="280"/>
        <w:jc w:val="both"/>
      </w:pPr>
      <w:r>
        <w:t xml:space="preserve">Die in Kapitel 5 demonstrierten Probleme sind in der Industrie bekannt und haben zu konkreten regulatorischen Antworten geführt. Die wichtigste ist NIST Special Publication 800-208 aus dem Jahr 2020, die XMSS und das verwandte LMS-Verfahren für Behördenanwendungen zulässt – allerdings unter drei strengen Bedingungen [NIST, 2020]:</w:t>
      </w:r>
    </w:p>
    <w:p>
      <w:pPr>
        <w:pStyle w:val="ListParagraph"/>
        <w:numPr>
          <w:ilvl w:val="0"/>
          <w:numId w:val="2"/>
        </w:numPr>
        <w:spacing w:after="80" w:line="280"/>
      </w:pPr>
      <w:r>
        <w:rPr>
          <w:rFonts w:ascii="Arial" w:cs="Arial" w:eastAsia="Arial" w:hAnsi="Arial"/>
          <w:sz w:val="22"/>
          <w:szCs w:val="22"/>
        </w:rPr>
        <w:t xml:space="preserve">Implementierung ausschließlich in Hardware-Sicherheitsmodulen, validiert nach FIPS 140-3 Level 3 oder höher.</w:t>
      </w:r>
    </w:p>
    <w:p>
      <w:pPr>
        <w:pStyle w:val="ListParagraph"/>
        <w:numPr>
          <w:ilvl w:val="0"/>
          <w:numId w:val="2"/>
        </w:numPr>
        <w:spacing w:after="80" w:line="280"/>
      </w:pPr>
      <w:r>
        <w:rPr>
          <w:rFonts w:ascii="Arial" w:cs="Arial" w:eastAsia="Arial" w:hAnsi="Arial"/>
          <w:sz w:val="22"/>
          <w:szCs w:val="22"/>
        </w:rPr>
        <w:t xml:space="preserve">Kein Export des privaten Schlüssels aus dem Hardware-Modul, weder zu Backup- noch zu Migrationszwecken.</w:t>
      </w:r>
    </w:p>
    <w:p>
      <w:pPr>
        <w:pStyle w:val="ListParagraph"/>
        <w:numPr>
          <w:ilvl w:val="0"/>
          <w:numId w:val="2"/>
        </w:numPr>
        <w:spacing w:after="80" w:line="280"/>
      </w:pPr>
      <w:r>
        <w:rPr>
          <w:rFonts w:ascii="Arial" w:cs="Arial" w:eastAsia="Arial" w:hAnsi="Arial"/>
          <w:sz w:val="22"/>
          <w:szCs w:val="22"/>
        </w:rPr>
        <w:t xml:space="preserve">Vollständige Validierung des Schlüssellebenszyklus innerhalb des Moduls.</w:t>
      </w:r>
    </w:p>
    <w:p>
      <w:pPr>
        <w:spacing w:after="120" w:line="280"/>
        <w:jc w:val="both"/>
      </w:pPr>
      <w:r>
        <w:t xml:space="preserve">Die zweite Bedingung erzeugt ein Paradoxon, das in der Praxis kaum vollständig auflösbar ist: klassisches Backup ist effektiv verboten. Bei einem Hardware-Ausfall ist der Schlüssel verloren – und damit die Signaturfähigkeit für den zugehörigen öffentlichen Schlüssel, der möglicherweise in tausenden ausgelieferten Geräten als Trust Anchor verankert ist. Hardware-Hersteller wie Thales begegnen dem mit Multi-Tree-Architekturen: jeder HSM verwaltet einen disjunkten Teilbaum eines übergeordneten XMSSMT-Baums [Thales, 2024]. Damit wird Hochverfügbarkeit ohne Synchronisation des States möglich – der State wird stattdessen partitioniert, sodass keine zwei Module denselben Index verwenden können.</w:t>
      </w:r>
    </w:p>
    <w:p>
      <w:pPr>
        <w:pBdr>
          <w:left w:val="single" w:color="4472C4" w:sz="18" w:space="12"/>
        </w:pBdr>
        <w:spacing w:after="120" w:before="120" w:line="280"/>
        <w:ind w:left="360"/>
      </w:pPr>
      <w:r>
        <w:rPr>
          <w:rFonts w:ascii="Arial" w:cs="Arial" w:eastAsia="Arial" w:hAnsi="Arial"/>
          <w:i/>
          <w:iCs/>
          <w:sz w:val="22"/>
          <w:szCs w:val="22"/>
        </w:rPr>
        <w:t xml:space="preserve">Diese Strategie ist eine Eingeständnis: das Statefulness-Problem wird nicht gelöst, sondern durch sorgfältige Architektur umgangen.</w:t>
      </w:r>
    </w:p>
    <w:p>
      <w:pPr>
        <w:spacing w:after="120" w:line="280"/>
        <w:jc w:val="both"/>
      </w:pPr>
      <w:r>
        <w:t xml:space="preserve">Aufgrund des Backup-Paradoxons hat das NIST 2024 eine Revision von SP 800-208 angekündigt. Ziel ist es, eine kontrollierte Form des Schlüsselexports zu ermöglichen – ein bemerkenswerter Schritt für eine Standardisierungsbehörde, der die Tragweite des Problems unterstreicht.</w:t>
      </w:r>
    </w:p>
    <w:p>
      <w:pPr>
        <w:pStyle w:val="Heading2"/>
        <w:spacing w:after="160" w:before="280"/>
      </w:pPr>
      <w:r>
        <w:rPr>
          <w:rFonts w:ascii="Arial" w:cs="Arial" w:eastAsia="Arial" w:hAnsi="Arial"/>
          <w:b/>
          <w:bCs/>
          <w:sz w:val="26"/>
          <w:szCs w:val="26"/>
        </w:rPr>
        <w:t xml:space="preserve">6.1 Praktische Empfehlungsmatrix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1"/>
              <w:left w:val="single" w:color="888888" w:sz="1"/>
              <w:bottom w:val="single" w:color="888888" w:sz="1"/>
              <w:right w:val="single" w:color="888888" w:sz="1"/>
            </w:tcBorders>
            <w:shd w:fill="D5E8F0" w:val="clear"/>
            <w:tcMar>
              <w:top w:type="dxa" w:w="100"/>
              <w:left w:type="dxa" w:w="120"/>
              <w:bottom w:type="dxa" w:w="100"/>
              <w:right w:type="dxa" w:w="120"/>
            </w:tcMar>
          </w:tcPr>
          <w:p>
            <w:pPr>
              <w:spacing w:after="0"/>
            </w:pPr>
            <w:r>
              <w:rPr>
                <w:rFonts w:ascii="Arial" w:cs="Arial" w:eastAsia="Arial" w:hAnsi="Arial"/>
                <w:b/>
                <w:bCs/>
                <w:sz w:val="20"/>
                <w:szCs w:val="20"/>
              </w:rPr>
              <w:t xml:space="preserve">Anwendungsfall</w:t>
            </w:r>
          </w:p>
        </w:tc>
        <w:tc>
          <w:tcPr>
            <w:tcW w:type="dxa" w:w="4680"/>
            <w:tcBorders>
              <w:top w:val="single" w:color="888888" w:sz="1"/>
              <w:left w:val="single" w:color="888888" w:sz="1"/>
              <w:bottom w:val="single" w:color="888888" w:sz="1"/>
              <w:right w:val="single" w:color="888888" w:sz="1"/>
            </w:tcBorders>
            <w:shd w:fill="D5E8F0" w:val="clear"/>
            <w:tcMar>
              <w:top w:type="dxa" w:w="100"/>
              <w:left w:type="dxa" w:w="120"/>
              <w:bottom w:type="dxa" w:w="100"/>
              <w:right w:type="dxa" w:w="120"/>
            </w:tcMar>
          </w:tcPr>
          <w:p>
            <w:pPr>
              <w:spacing w:after="0"/>
            </w:pPr>
            <w:r>
              <w:rPr>
                <w:rFonts w:ascii="Arial" w:cs="Arial" w:eastAsia="Arial" w:hAnsi="Arial"/>
                <w:b/>
                <w:bCs/>
                <w:sz w:val="20"/>
                <w:szCs w:val="20"/>
              </w:rPr>
              <w:t xml:space="preserve">Empfehlung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TLS, allgemeines Signieren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ML-DSA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Code-Signing (CNSA 2.0)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LMS/XMSSMT in HSM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Firmware-Signing (frei)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SLH-DSA oder XMSS in HSM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Audit-Logs / Compliance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ML-DSA oder SLH-DSA</w:t>
            </w:r>
          </w:p>
        </w:tc>
      </w:tr>
    </w:tbl>
    <w:p>
      <w:pPr>
        <w:spacing w:after="240" w:before="60"/>
        <w:jc w:val="left"/>
      </w:pPr>
      <w:r>
        <w:rPr>
          <w:rFonts w:ascii="Arial" w:cs="Arial" w:eastAsia="Arial" w:hAnsi="Arial"/>
          <w:i/>
          <w:iCs/>
          <w:color w:val="555555"/>
          <w:sz w:val="18"/>
          <w:szCs w:val="18"/>
        </w:rPr>
        <w:t xml:space="preserve">Tabelle 4: Empfehlungen für den Einsatz post-quantenresistenter Signaturverfahren.</w:t>
      </w:r>
    </w:p>
    <w:p>
      <w:pPr>
        <w:pStyle w:val="Heading1"/>
        <w:spacing w:after="200" w:before="360"/>
      </w:pPr>
      <w:r>
        <w:rPr>
          <w:rFonts w:ascii="Arial" w:cs="Arial" w:eastAsia="Arial" w:hAnsi="Arial"/>
          <w:b/>
          <w:bCs/>
          <w:sz w:val="32"/>
          <w:szCs w:val="32"/>
        </w:rPr>
        <w:t xml:space="preserve">7. Fazit</w:t>
      </w:r>
    </w:p>
    <w:p>
      <w:pPr>
        <w:spacing w:after="120" w:line="280"/>
        <w:jc w:val="both"/>
      </w:pPr>
      <w:r>
        <w:t xml:space="preserve">Die zentrale Beobachtung dieser Arbeit lässt sich in einem Satz zusammenfassen: XMSS bricht nicht durch kryptanalytische Schwäche, sondern durch die Verletzung seines Operations-Modells. Dieses Modell – ein einziger sequentieller Signierer mit perfekter State-Persistenz – ist mit den Standardpraktiken realer IT-Systeme nicht vereinbar.</w:t>
      </w:r>
    </w:p>
    <w:p>
      <w:pPr>
        <w:spacing w:after="120" w:line="280"/>
        <w:jc w:val="both"/>
      </w:pPr>
      <w:r>
        <w:t xml:space="preserve">Die Konsequenz für die Praxis ist deutlich geteilt. Für regulatorisch erzwungene Anwendungsfälle, insbesondere Code-Signing nach NSA CNSA 2.0, wird XMSS in Hardware-Sicherheitsmodulen eingesetzt, mit den damit verbundenen Kosten und architektonischen Einschränkungen. Für alle anderen Anwendungsfälle – TLS, Audit-Logs, allgemeines Signieren – sind die stateless Verfahren ML-DSA und SLH-DSA die richtige Wahl. ML-DSA überzeugt durch ausgewogene Performance bei moderaten Größen, SLH-DSA durch konservative Sicherheitsannahmen und sehr kompakte Schlüssel, was es insbesondere für eingebettete Verifier attraktiv macht.</w:t>
      </w:r>
    </w:p>
    <w:p>
      <w:pPr>
        <w:spacing w:after="120" w:line="280"/>
        <w:jc w:val="both"/>
      </w:pPr>
      <w:r>
        <w:t xml:space="preserve">Die in dieser Arbeit aufgebaute Vergleichsumgebung erlaubt eine differenzierte Bewertung der drei Verfahren weit über reine Performance-Kennzahlen hinaus. Die Statefulness-Demonstrationen machen ein abstraktes kryptographisches Modell greifbar und zeigen, dass die Wahl eines Signaturverfahrens nicht nur eine kryptographische, sondern immer auch eine Architekturentscheidung ist – mit Folgen für Backup, Hochverfügbarkeit und Compliance, die weit über die unmittelbare Krypto-Schicht hinausreichen.</w:t>
      </w:r>
    </w:p>
    <w:p>
      <w:pPr>
        <w:pStyle w:val="Heading1"/>
        <w:spacing w:after="200" w:before="360"/>
      </w:pPr>
      <w:r>
        <w:rPr>
          <w:rFonts w:ascii="Arial" w:cs="Arial" w:eastAsia="Arial" w:hAnsi="Arial"/>
          <w:b/>
          <w:bCs/>
          <w:sz w:val="32"/>
          <w:szCs w:val="32"/>
        </w:rPr>
        <w:t xml:space="preserve">Quellenverzeichnis</w:t>
      </w:r>
    </w:p>
    <w:p>
      <w:pPr>
        <w:spacing w:after="160"/>
        <w:jc w:val="left"/>
      </w:pPr>
      <w:r>
        <w:rPr>
          <w:rFonts w:ascii="Arial" w:cs="Arial" w:eastAsia="Arial" w:hAnsi="Arial"/>
          <w:sz w:val="22"/>
          <w:szCs w:val="22"/>
        </w:rPr>
        <w:t xml:space="preserve">Buchmann, J., Dahmen, E. &amp; Hülsing, A. (2011). </w:t>
      </w:r>
      <w:r>
        <w:rPr>
          <w:rFonts w:ascii="Arial" w:cs="Arial" w:eastAsia="Arial" w:hAnsi="Arial"/>
          <w:i/>
          <w:iCs/>
          <w:sz w:val="22"/>
          <w:szCs w:val="22"/>
        </w:rPr>
        <w:t xml:space="preserve">XMSS — A Practical Forward Secure Signature Scheme Based on Minimal Security Assumptions. </w:t>
      </w:r>
      <w:r>
        <w:rPr>
          <w:rFonts w:ascii="Arial" w:cs="Arial" w:eastAsia="Arial" w:hAnsi="Arial"/>
          <w:sz w:val="22"/>
          <w:szCs w:val="22"/>
        </w:rPr>
        <w:t xml:space="preserve">In: Post-Quantum Cryptography (PQCrypto 2011). Lecture Notes in Computer Science, Springer.</w:t>
      </w:r>
    </w:p>
    <w:p>
      <w:pPr>
        <w:spacing w:after="160"/>
        <w:jc w:val="left"/>
      </w:pPr>
      <w:r>
        <w:rPr>
          <w:rFonts w:ascii="Arial" w:cs="Arial" w:eastAsia="Arial" w:hAnsi="Arial"/>
          <w:sz w:val="22"/>
          <w:szCs w:val="22"/>
        </w:rPr>
        <w:t xml:space="preserve">Huelsing, A., Butin, D., Gazdag, S., Rijneveld, J. &amp; Mohaisen, A. (2018). </w:t>
      </w:r>
      <w:r>
        <w:rPr>
          <w:rFonts w:ascii="Arial" w:cs="Arial" w:eastAsia="Arial" w:hAnsi="Arial"/>
          <w:i/>
          <w:iCs/>
          <w:sz w:val="22"/>
          <w:szCs w:val="22"/>
        </w:rPr>
        <w:t xml:space="preserve">RFC 8391: XMSS — eXtended Merkle Signature Scheme. </w:t>
      </w:r>
      <w:r>
        <w:rPr>
          <w:rFonts w:ascii="Arial" w:cs="Arial" w:eastAsia="Arial" w:hAnsi="Arial"/>
          <w:sz w:val="22"/>
          <w:szCs w:val="22"/>
        </w:rPr>
        <w:t xml:space="preserve">Internet Research Task Force (IRTF).</w:t>
      </w:r>
    </w:p>
    <w:p>
      <w:pPr>
        <w:spacing w:after="160"/>
        <w:jc w:val="left"/>
      </w:pPr>
      <w:r>
        <w:rPr>
          <w:rFonts w:ascii="Arial" w:cs="Arial" w:eastAsia="Arial" w:hAnsi="Arial"/>
          <w:sz w:val="22"/>
          <w:szCs w:val="22"/>
        </w:rPr>
        <w:t xml:space="preserve">NIST (2020). </w:t>
      </w:r>
      <w:r>
        <w:rPr>
          <w:rFonts w:ascii="Arial" w:cs="Arial" w:eastAsia="Arial" w:hAnsi="Arial"/>
          <w:i/>
          <w:iCs/>
          <w:sz w:val="22"/>
          <w:szCs w:val="22"/>
        </w:rPr>
        <w:t xml:space="preserve">Special Publication 800-208: Recommendation for Stateful Hash-Based Signature Schemes. </w:t>
      </w:r>
      <w:r>
        <w:rPr>
          <w:rFonts w:ascii="Arial" w:cs="Arial" w:eastAsia="Arial" w:hAnsi="Arial"/>
          <w:sz w:val="22"/>
          <w:szCs w:val="22"/>
        </w:rPr>
        <w:t xml:space="preserve">National Institute of Standards and Technology.</w:t>
      </w:r>
    </w:p>
    <w:p>
      <w:pPr>
        <w:spacing w:after="160"/>
        <w:jc w:val="left"/>
      </w:pPr>
      <w:r>
        <w:rPr>
          <w:rFonts w:ascii="Arial" w:cs="Arial" w:eastAsia="Arial" w:hAnsi="Arial"/>
          <w:sz w:val="22"/>
          <w:szCs w:val="22"/>
        </w:rPr>
        <w:t xml:space="preserve">NIST (2024a). </w:t>
      </w:r>
      <w:r>
        <w:rPr>
          <w:rFonts w:ascii="Arial" w:cs="Arial" w:eastAsia="Arial" w:hAnsi="Arial"/>
          <w:i/>
          <w:iCs/>
          <w:sz w:val="22"/>
          <w:szCs w:val="22"/>
        </w:rPr>
        <w:t xml:space="preserve">FIPS 204: Module-Lattice-Based Digital Signature Standard. </w:t>
      </w:r>
      <w:r>
        <w:rPr>
          <w:rFonts w:ascii="Arial" w:cs="Arial" w:eastAsia="Arial" w:hAnsi="Arial"/>
          <w:sz w:val="22"/>
          <w:szCs w:val="22"/>
        </w:rPr>
        <w:t xml:space="preserve">Federal Information Processing Standards Publication.</w:t>
      </w:r>
    </w:p>
    <w:p>
      <w:pPr>
        <w:spacing w:after="160"/>
        <w:jc w:val="left"/>
      </w:pPr>
      <w:r>
        <w:rPr>
          <w:rFonts w:ascii="Arial" w:cs="Arial" w:eastAsia="Arial" w:hAnsi="Arial"/>
          <w:sz w:val="22"/>
          <w:szCs w:val="22"/>
        </w:rPr>
        <w:t xml:space="preserve">NIST (2024b). </w:t>
      </w:r>
      <w:r>
        <w:rPr>
          <w:rFonts w:ascii="Arial" w:cs="Arial" w:eastAsia="Arial" w:hAnsi="Arial"/>
          <w:i/>
          <w:iCs/>
          <w:sz w:val="22"/>
          <w:szCs w:val="22"/>
        </w:rPr>
        <w:t xml:space="preserve">FIPS 205: Stateless Hash-Based Digital Signature Standard. </w:t>
      </w:r>
      <w:r>
        <w:rPr>
          <w:rFonts w:ascii="Arial" w:cs="Arial" w:eastAsia="Arial" w:hAnsi="Arial"/>
          <w:sz w:val="22"/>
          <w:szCs w:val="22"/>
        </w:rPr>
        <w:t xml:space="preserve">Federal Information Processing Standards Publication.</w:t>
      </w:r>
    </w:p>
    <w:p>
      <w:pPr>
        <w:spacing w:after="160"/>
        <w:jc w:val="left"/>
      </w:pPr>
      <w:r>
        <w:rPr>
          <w:rFonts w:ascii="Arial" w:cs="Arial" w:eastAsia="Arial" w:hAnsi="Arial"/>
          <w:sz w:val="22"/>
          <w:szCs w:val="22"/>
        </w:rPr>
        <w:t xml:space="preserve">NSA (2022). </w:t>
      </w:r>
      <w:r>
        <w:rPr>
          <w:rFonts w:ascii="Arial" w:cs="Arial" w:eastAsia="Arial" w:hAnsi="Arial"/>
          <w:i/>
          <w:iCs/>
          <w:sz w:val="22"/>
          <w:szCs w:val="22"/>
        </w:rPr>
        <w:t xml:space="preserve">Commercial National Security Algorithm Suite 2.0 (CNSA 2.0). </w:t>
      </w:r>
      <w:r>
        <w:rPr>
          <w:rFonts w:ascii="Arial" w:cs="Arial" w:eastAsia="Arial" w:hAnsi="Arial"/>
          <w:sz w:val="22"/>
          <w:szCs w:val="22"/>
        </w:rPr>
        <w:t xml:space="preserve">National Security Agency, September 2022.</w:t>
      </w:r>
    </w:p>
    <w:p>
      <w:pPr>
        <w:spacing w:after="160"/>
        <w:jc w:val="left"/>
      </w:pPr>
      <w:r>
        <w:rPr>
          <w:rFonts w:ascii="Arial" w:cs="Arial" w:eastAsia="Arial" w:hAnsi="Arial"/>
          <w:sz w:val="22"/>
          <w:szCs w:val="22"/>
        </w:rPr>
        <w:t xml:space="preserve">Open Quantum Safe Project (2025). </w:t>
      </w:r>
      <w:r>
        <w:rPr>
          <w:rFonts w:ascii="Arial" w:cs="Arial" w:eastAsia="Arial" w:hAnsi="Arial"/>
          <w:i/>
          <w:iCs/>
          <w:sz w:val="22"/>
          <w:szCs w:val="22"/>
        </w:rPr>
        <w:t xml:space="preserve">liboqs – C library for prototyping and experimenting with quantum-resistant cryptography. </w:t>
      </w:r>
      <w:r>
        <w:rPr>
          <w:rFonts w:ascii="Arial" w:cs="Arial" w:eastAsia="Arial" w:hAnsi="Arial"/>
          <w:sz w:val="22"/>
          <w:szCs w:val="22"/>
        </w:rPr>
        <w:t xml:space="preserve">Version 0.15.0. https://openquantumsafe.org</w:t>
      </w:r>
    </w:p>
    <w:p>
      <w:pPr>
        <w:spacing w:after="160"/>
        <w:jc w:val="left"/>
      </w:pPr>
      <w:r>
        <w:rPr>
          <w:rFonts w:ascii="Arial" w:cs="Arial" w:eastAsia="Arial" w:hAnsi="Arial"/>
          <w:sz w:val="22"/>
          <w:szCs w:val="22"/>
        </w:rPr>
        <w:t xml:space="preserve">Thales Trusted Cyber Technologies (2024). </w:t>
      </w:r>
      <w:r>
        <w:rPr>
          <w:rFonts w:ascii="Arial" w:cs="Arial" w:eastAsia="Arial" w:hAnsi="Arial"/>
          <w:i/>
          <w:iCs/>
          <w:sz w:val="22"/>
          <w:szCs w:val="22"/>
        </w:rPr>
        <w:t xml:space="preserve">Quantum-Resistant Code Signing Secured by Hardware Security Modules. </w:t>
      </w:r>
      <w:r>
        <w:rPr>
          <w:rFonts w:ascii="Arial" w:cs="Arial" w:eastAsia="Arial" w:hAnsi="Arial"/>
          <w:sz w:val="22"/>
          <w:szCs w:val="22"/>
        </w:rPr>
        <w:t xml:space="preserve">Whitepaper.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pq-bench: Post-Quantum-Signaturverfahren im Vergleich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Post-Quantum-Signaturverfahren im Vergleich</dc:title>
  <dc:creator>pq-bench Projektarbeit</dc:creator>
  <cp:lastModifiedBy>Un-named</cp:lastModifiedBy>
  <cp:revision>1</cp:revision>
  <dcterms:created xsi:type="dcterms:W3CDTF">2026-05-13T09:31:03.498Z</dcterms:created>
  <dcterms:modified xsi:type="dcterms:W3CDTF">2026-05-13T09:31:03.498Z</dcterms:modified>
</cp:coreProperties>
</file>

<file path=docProps/custom.xml><?xml version="1.0" encoding="utf-8"?>
<Properties xmlns="http://schemas.openxmlformats.org/officeDocument/2006/custom-properties" xmlns:vt="http://schemas.openxmlformats.org/officeDocument/2006/docPropsVTypes"/>
</file>