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48AFB90E"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lastRenderedPageBreak/>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w:t>
      </w:r>
      <w:r>
        <w:rPr>
          <w:sz w:val="20"/>
          <w:szCs w:val="20"/>
          <w:lang w:val="ru-RU"/>
        </w:rPr>
        <w:t>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Хук эффекта даёт вам возможность выполнять побочные эффекты в функциональном компоненте</w:t>
      </w:r>
      <w:r w:rsidRPr="00192AC7">
        <w:rPr>
          <w:sz w:val="20"/>
          <w:szCs w:val="20"/>
          <w:lang w:val="ru-RU"/>
        </w:rPr>
        <w:t xml:space="preserve">.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w:t>
      </w:r>
      <w:r>
        <w:rPr>
          <w:sz w:val="20"/>
          <w:szCs w:val="20"/>
          <w:lang w:val="ru-RU"/>
        </w:rPr>
        <w:t xml:space="preserve">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используйте разные хуки для разных задач</w:t>
      </w:r>
      <w:r w:rsidRPr="00755127">
        <w:rPr>
          <w:sz w:val="20"/>
          <w:szCs w:val="20"/>
          <w:lang w:val="ru-RU"/>
        </w:rPr>
        <w:t xml:space="preserve">. </w:t>
      </w:r>
      <w:r w:rsidRPr="00755127">
        <w:rPr>
          <w:sz w:val="20"/>
          <w:szCs w:val="20"/>
          <w:lang w:val="ru-RU"/>
        </w:rPr>
        <w:t>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ProductPage</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 Что-то делаем с </w:t>
      </w:r>
      <w:r w:rsidRPr="00B87F5E">
        <w:rPr>
          <w:rFonts w:ascii="Consolas" w:eastAsia="Times New Roman" w:hAnsi="Consolas" w:cs="Times New Roman"/>
          <w:color w:val="6A9955"/>
          <w:sz w:val="16"/>
          <w:szCs w:val="16"/>
        </w:rPr>
        <w:t>productId</w:t>
      </w:r>
      <w:r w:rsidRPr="00B87F5E">
        <w:rPr>
          <w:rFonts w:ascii="Consolas" w:eastAsia="Times New Roman" w:hAnsi="Consolas" w:cs="Times New Roman"/>
          <w:color w:val="6A9955"/>
          <w:sz w:val="16"/>
          <w:szCs w:val="16"/>
          <w:lang w:val="ru-RU"/>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useEffect</w:t>
      </w:r>
    </w:p>
    <w:p w14:paraId="19BFD328"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lastRenderedPageBreak/>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lastRenderedPageBreak/>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lastRenderedPageBreak/>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lastRenderedPageBreak/>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lastRenderedPageBreak/>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w:t>
      </w:r>
      <w:r>
        <w:rPr>
          <w:sz w:val="20"/>
          <w:szCs w:val="20"/>
          <w:lang w:val="ru-RU"/>
        </w:rPr>
        <w:lastRenderedPageBreak/>
        <w:t xml:space="preserve">(вместо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lastRenderedPageBreak/>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lastRenderedPageBreak/>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lastRenderedPageBreak/>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lastRenderedPageBreak/>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lastRenderedPageBreak/>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lastRenderedPageBreak/>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lastRenderedPageBreak/>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lastRenderedPageBreak/>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lastRenderedPageBreak/>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lastRenderedPageBreak/>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lastRenderedPageBreak/>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lastRenderedPageBreak/>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lastRenderedPageBreak/>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lastRenderedPageBreak/>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5127"/>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9282</TotalTime>
  <Pages>1</Pages>
  <Words>18981</Words>
  <Characters>108193</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214</cp:revision>
  <dcterms:created xsi:type="dcterms:W3CDTF">2022-08-11T14:12:00Z</dcterms:created>
  <dcterms:modified xsi:type="dcterms:W3CDTF">2022-09-15T15:42:00Z</dcterms:modified>
</cp:coreProperties>
</file>