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7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720"/>
        <w:pBdr/>
        <w:spacing/>
        <w:ind/>
        <w:rPr/>
      </w:pPr>
      <w:r/>
      <w:bookmarkStart w:id="1" w:name="scroll-bookmark-1"/>
      <w:r/>
      <w:bookmarkEnd w:id="1"/>
      <w:r/>
      <w:r/>
    </w:p>
    <w:tbl>
      <w:tblPr>
        <w:jc w:val="center"/>
        <w:tblInd w:w="0" w:type="dxa"/>
        <w:tblW w:w="101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4536"/>
        <w:gridCol w:w="1003"/>
        <w:gridCol w:w="4573"/>
      </w:tblGrid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11"/>
              <w:pBdr/>
              <w:spacing w:after="240" w:before="0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11"/>
              <w:pBdr/>
              <w:spacing w:after="240" w:before="0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11"/>
              <w:pBdr/>
              <w:spacing w:after="240" w:before="0"/>
              <w:ind w:firstLine="0" w:left="284"/>
              <w:jc w:val="center"/>
              <w:rPr/>
            </w:pPr>
            <w:r/>
            <w:r/>
          </w:p>
        </w:tc>
      </w:tr>
    </w:tbl>
    <w:tbl>
      <w:tblPr>
        <w:tblStyle w:val="1863"/>
        <w:tblInd w:w="0" w:type="dxa"/>
        <w:tblW w:w="9913" w:type="dxa"/>
        <w:tblCellMar>
          <w:left w:w="100" w:type="dxa"/>
          <w:top w:w="100" w:type="dxa"/>
          <w:right w:w="100" w:type="dxa"/>
          <w:bottom w:w="10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492"/>
        <w:gridCol w:w="5420"/>
      </w:tblGrid>
      <w:tr>
        <w:trPr>
          <w:trHeight w:val="71"/>
        </w:trPr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20"/>
              <w:widowControl w:val="fals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highlight w:val="white"/>
              </w:rPr>
            </w:pPr>
            <w:r>
              <w:rPr>
                <w:rFonts w:eastAsia="Times New Roman" w:cs="Times New Roman"/>
                <w:highlight w:val="white"/>
                <w:lang w:bidi="ar-SA"/>
              </w:rPr>
              <w:t xml:space="preserve">СОГЛАСОВАНО</w:t>
            </w:r>
            <w:r>
              <w:rPr>
                <w:rFonts w:eastAsia="Times New Roman" w:cs="Times New Roman"/>
                <w:highlight w:val="white"/>
              </w:rPr>
            </w:r>
            <w:r>
              <w:rPr>
                <w:rFonts w:eastAsia="Times New Roman" w:cs="Times New Roman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20"/>
              <w:widowControl w:val="false"/>
              <w:pBdr/>
              <w:spacing w:after="0" w:before="0"/>
              <w:ind/>
              <w:contextualSpacing w:val="true"/>
              <w:jc w:val="right"/>
              <w:rPr>
                <w:rFonts w:eastAsia="Times New Roman" w:cs="Times New Roman"/>
                <w:highlight w:val="white"/>
              </w:rPr>
            </w:pPr>
            <w:r>
              <w:rPr>
                <w:rFonts w:eastAsia="Times New Roman" w:cs="Times New Roman"/>
                <w:highlight w:val="white"/>
                <w:lang w:bidi="ar-SA"/>
              </w:rPr>
              <w:t xml:space="preserve">УТВЕРЖДЕНО</w:t>
            </w:r>
            <w:r>
              <w:rPr>
                <w:rFonts w:eastAsia="Times New Roman" w:cs="Times New Roman"/>
                <w:highlight w:val="white"/>
              </w:rPr>
            </w:r>
            <w:r>
              <w:rPr>
                <w:rFonts w:eastAsia="Times New Roman" w:cs="Times New Roman"/>
                <w:highlight w:val="white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Проректор по научной работе СПбГУ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cs="Times New Roman"/>
                <w:bCs w:val="0"/>
                <w:iCs w:val="0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Президент АО «Энергомера» 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______________ /С. В. Микушев/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  <w:p>
            <w:pPr>
              <w:pStyle w:val="1720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«_____» _______________ 202</w:t>
            </w:r>
            <w:r>
              <w:rPr>
                <w:rFonts w:eastAsia="Times New Roman" w:cs="Times New Roman"/>
                <w:bCs w:val="0"/>
                <w:iCs w:val="0"/>
                <w:highlight w:val="white"/>
                <w:lang w:val="en-US" w:bidi="ar-SA"/>
              </w:rPr>
              <w:t xml:space="preserve">6 </w:t>
            </w: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г.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________________ /А.Е. Козырев/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  <w:p>
            <w:pPr>
              <w:pStyle w:val="1720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«_____» _________________ 202</w:t>
            </w:r>
            <w:r>
              <w:rPr>
                <w:rFonts w:eastAsia="Times New Roman" w:cs="Times New Roman"/>
                <w:bCs w:val="0"/>
                <w:iCs w:val="0"/>
                <w:highlight w:val="white"/>
                <w:lang w:val="en-US" w:bidi="ar-SA"/>
              </w:rPr>
              <w:t xml:space="preserve">6</w:t>
            </w: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 г.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</w:tr>
    </w:tbl>
    <w:p>
      <w:pPr>
        <w:pStyle w:val="1780"/>
        <w:pBdr/>
        <w:spacing/>
        <w:ind/>
        <w:rPr/>
      </w:pPr>
      <w:r/>
      <w:r/>
    </w:p>
    <w:p>
      <w:pPr>
        <w:pStyle w:val="1780"/>
        <w:pBdr/>
        <w:spacing/>
        <w:ind/>
        <w:rPr/>
      </w:pPr>
      <w:r/>
      <w:r/>
    </w:p>
    <w:p>
      <w:pPr>
        <w:pStyle w:val="1808"/>
        <w:pBdr/>
        <w:spacing/>
        <w:ind/>
        <w:rPr/>
      </w:pPr>
      <w:r>
        <w:t xml:space="preserve">Программный комплекс определения типа                            подключенной нагрузки потребителя в сетях низкого напряжения 0,4кв</w:t>
      </w:r>
      <w:r/>
    </w:p>
    <w:p>
      <w:pPr>
        <w:pStyle w:val="1810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810"/>
        <w:pBdr/>
        <w:spacing/>
        <w:ind w:firstLine="0"/>
        <w:rPr/>
      </w:pPr>
      <w:r>
        <w:t xml:space="preserve">Руководство оператора</w:t>
      </w:r>
      <w:r/>
    </w:p>
    <w:p>
      <w:pPr>
        <w:pStyle w:val="1810"/>
        <w:pBdr/>
        <w:spacing/>
        <w:ind w:firstLine="0"/>
        <w:rPr/>
      </w:pPr>
      <w:r>
        <w:t xml:space="preserve">Лист утверждения</w:t>
      </w:r>
      <w:r/>
    </w:p>
    <w:p>
      <w:pPr>
        <w:pStyle w:val="1810"/>
        <w:pBdr/>
        <w:spacing/>
        <w:ind w:firstLine="0"/>
        <w:rPr/>
      </w:pPr>
      <w:r/>
      <w:bookmarkStart w:id="2" w:name="_Hlk194412736"/>
      <w:r>
        <w:t xml:space="preserve">RU.02068516.62.01.29-140 34 0</w:t>
      </w:r>
      <w:r>
        <w:rPr>
          <w:lang w:val="en-US"/>
        </w:rPr>
        <w:t xml:space="preserve">2</w:t>
      </w:r>
      <w:r>
        <w:t xml:space="preserve">-ЛУ</w:t>
      </w:r>
      <w:bookmarkEnd w:id="2"/>
      <w:r/>
      <w:r/>
    </w:p>
    <w:p>
      <w:pPr>
        <w:pStyle w:val="1720"/>
        <w:pBdr/>
        <w:spacing/>
        <w:ind/>
        <w:rPr/>
      </w:pPr>
      <w:r/>
      <w:r/>
    </w:p>
    <w:p>
      <w:pPr>
        <w:pStyle w:val="1720"/>
        <w:pBdr/>
        <w:spacing/>
        <w:ind/>
        <w:rPr/>
      </w:pPr>
      <w:r/>
      <w:r/>
    </w:p>
    <w:tbl>
      <w:tblPr>
        <w:tblInd w:w="1188" w:type="dxa"/>
        <w:tblW w:w="43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2350"/>
        <w:gridCol w:w="1687"/>
        <w:gridCol w:w="4397"/>
      </w:tblGrid>
      <w:tr>
        <w:trPr/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Руководитель разработки, главный            архитектор ЦИИНД СПбГУ</w:t>
            </w:r>
            <w:r/>
          </w:p>
        </w:tc>
      </w:tr>
      <w:tr>
        <w:trPr>
          <w:trHeight w:val="513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___________ Р.Н. Липский</w:t>
            </w:r>
            <w:r/>
          </w:p>
        </w:tc>
      </w:tr>
      <w:tr>
        <w:trPr>
          <w:trHeight w:val="142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>
                <w:lang w:val="en-US"/>
              </w:rPr>
            </w:pPr>
            <w:r>
              <w:t xml:space="preserve">“</w:t>
            </w:r>
            <w:r>
              <w:t xml:space="preserve">_____”____________202</w:t>
            </w:r>
            <w:r>
              <w:rPr>
                <w:lang w:val="en-US"/>
              </w:rPr>
              <w:t xml:space="preserve">6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rHeight w:val="567" w:hRule="exact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Ответственный исполнитель, ведущий программист ЦИИНД СПбГУ</w:t>
            </w:r>
            <w:r/>
          </w:p>
        </w:tc>
      </w:tr>
      <w:tr>
        <w:trPr>
          <w:trHeight w:val="468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_____________ С.В. Шохарев</w:t>
            </w:r>
            <w:r/>
          </w:p>
        </w:tc>
      </w:tr>
      <w:tr>
        <w:trPr/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20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>
                <w:lang w:val="en-US"/>
              </w:rPr>
            </w:pPr>
            <w:r>
              <w:t xml:space="preserve">“</w:t>
            </w:r>
            <w:r>
              <w:t xml:space="preserve">_____”____________202</w:t>
            </w:r>
            <w:r>
              <w:rPr>
                <w:lang w:val="en-US"/>
              </w:rPr>
              <w:t xml:space="preserve">6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 w14:paraId="6EA5587C">
      <w:pPr>
        <w:pStyle w:val="1802"/>
        <w:pBdr/>
        <w:spacing/>
        <w:ind/>
        <w:rPr/>
      </w:pPr>
      <w:r/>
      <w:r/>
    </w:p>
    <w:p w14:paraId="6476747A">
      <w:pPr>
        <w:pStyle w:val="1802"/>
        <w:pBdr/>
        <w:spacing/>
        <w:ind/>
        <w:rPr/>
      </w:pPr>
      <w:r/>
      <w:r/>
    </w:p>
    <w:p>
      <w:pPr>
        <w:pStyle w:val="1802"/>
        <w:pBdr/>
        <w:spacing/>
        <w:ind/>
        <w:rPr/>
        <w:sectPr>
          <w:headerReference w:type="default" r:id="rId9"/>
          <w:headerReference w:type="even" r:id="rId10"/>
          <w:headerReference w:type="first" r:id="rId11"/>
          <w:footerReference w:type="default" r:id="rId16"/>
          <w:footerReference w:type="even" r:id="rId17"/>
          <w:footerReference w:type="first" r:id="rId18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0"/>
          <w:cols w:num="1" w:sep="0" w:space="1701" w:equalWidth="1"/>
        </w:sectPr>
      </w:pPr>
      <w:r/>
      <w:r/>
    </w:p>
    <w:p>
      <w:pPr>
        <w:pStyle w:val="1720"/>
        <w:pBdr/>
        <w:spacing/>
        <w:ind/>
        <w:rPr>
          <w:b/>
          <w:bCs w:val="0"/>
        </w:rPr>
      </w:pPr>
      <w:r>
        <w:rPr>
          <w:b/>
          <w:bCs w:val="0"/>
        </w:rPr>
      </w:r>
      <w:r>
        <w:rPr>
          <w:b/>
          <w:bCs w:val="0"/>
        </w:rPr>
      </w:r>
      <w:r>
        <w:rPr>
          <w:b/>
          <w:bCs w:val="0"/>
        </w:rPr>
      </w:r>
    </w:p>
    <w:p>
      <w:pPr>
        <w:pStyle w:val="1720"/>
        <w:pBdr/>
        <w:spacing/>
        <w:ind/>
        <w:rPr>
          <w:b/>
          <w:bCs w:val="0"/>
          <w:sz w:val="32"/>
          <w:szCs w:val="32"/>
        </w:rPr>
      </w:pPr>
      <w:r>
        <w:rPr>
          <w:b/>
          <w:bCs w:val="0"/>
        </w:rPr>
        <w:t xml:space="preserve">УТВЕРЖДЕНО</w:t>
      </w:r>
      <w:r>
        <w:rPr>
          <w:b/>
          <w:bCs w:val="0"/>
          <w:sz w:val="32"/>
          <w:szCs w:val="32"/>
        </w:rPr>
      </w:r>
      <w:r>
        <w:rPr>
          <w:b/>
          <w:bCs w:val="0"/>
          <w:sz w:val="32"/>
          <w:szCs w:val="32"/>
        </w:rPr>
      </w:r>
    </w:p>
    <w:p>
      <w:pPr>
        <w:pStyle w:val="1720"/>
        <w:pBdr/>
        <w:spacing/>
        <w:ind/>
        <w:rPr/>
      </w:pPr>
      <w:r>
        <w:t xml:space="preserve">RU.02068516.62.01.29-140 34 0</w:t>
      </w:r>
      <w:r>
        <w:rPr>
          <w:lang w:val="en-US"/>
        </w:rPr>
        <w:t xml:space="preserve">2</w:t>
      </w:r>
      <w:r>
        <w:t xml:space="preserve">-ЛУ</w:t>
      </w:r>
      <w:r/>
    </w:p>
    <w:p>
      <w:pPr>
        <w:pStyle w:val="1720"/>
        <w:pBdr/>
        <w:spacing/>
        <w:ind/>
        <w:rPr/>
      </w:pPr>
      <w:r/>
      <w:r/>
    </w:p>
    <w:p>
      <w:pPr>
        <w:pStyle w:val="1720"/>
        <w:pBdr/>
        <w:spacing/>
        <w:ind/>
        <w:rPr/>
      </w:pPr>
      <w:r/>
      <w:r/>
    </w:p>
    <w:p>
      <w:pPr>
        <w:pStyle w:val="1720"/>
        <w:pBdr/>
        <w:spacing/>
        <w:ind/>
        <w:rPr/>
      </w:pPr>
      <w:r/>
      <w:r/>
    </w:p>
    <w:p>
      <w:pPr>
        <w:pStyle w:val="1720"/>
        <w:pBdr/>
        <w:spacing/>
        <w:ind/>
        <w:rPr/>
      </w:pPr>
      <w:r/>
      <w:r/>
    </w:p>
    <w:p>
      <w:pPr>
        <w:pStyle w:val="1808"/>
        <w:pBdr/>
        <w:spacing/>
        <w:ind/>
        <w:rPr/>
      </w:pPr>
      <w:r/>
      <w:r/>
    </w:p>
    <w:p>
      <w:pPr>
        <w:pStyle w:val="1808"/>
        <w:pBdr/>
        <w:spacing/>
        <w:ind/>
        <w:rPr/>
      </w:pPr>
      <w:r/>
      <w:r/>
    </w:p>
    <w:p>
      <w:pPr>
        <w:pStyle w:val="1808"/>
        <w:pBdr/>
        <w:spacing/>
        <w:ind/>
        <w:rPr/>
      </w:pPr>
      <w:r/>
      <w:r/>
    </w:p>
    <w:p>
      <w:pPr>
        <w:pStyle w:val="1808"/>
        <w:pBdr/>
        <w:spacing/>
        <w:ind/>
        <w:rPr/>
      </w:pPr>
      <w:r/>
      <w:r/>
    </w:p>
    <w:p>
      <w:pPr>
        <w:pStyle w:val="1808"/>
        <w:pBdr/>
        <w:spacing/>
        <w:ind/>
        <w:rPr/>
      </w:pPr>
      <w:r/>
      <w:r/>
    </w:p>
    <w:p>
      <w:pPr>
        <w:pStyle w:val="1808"/>
        <w:pBdr/>
        <w:spacing/>
        <w:ind/>
        <w:rPr/>
      </w:pPr>
      <w:r>
        <w:t xml:space="preserve">Программный комплекс определения типа                             подключенной нагрузки потребителя в сетях низкого                       напряжения 0,4кв</w:t>
      </w:r>
      <w:r/>
    </w:p>
    <w:p>
      <w:pPr>
        <w:pStyle w:val="1810"/>
        <w:pBdr/>
        <w:spacing/>
        <w:ind w:firstLine="0"/>
        <w:rPr/>
      </w:pPr>
      <w:r>
        <w:t xml:space="preserve">Руководство оператора</w:t>
      </w:r>
      <w:r/>
    </w:p>
    <w:p>
      <w:pPr>
        <w:pStyle w:val="1810"/>
        <w:pBdr/>
        <w:spacing/>
        <w:ind/>
        <w:rPr/>
      </w:pPr>
      <w:r/>
      <w:r/>
    </w:p>
    <w:p>
      <w:pPr>
        <w:pStyle w:val="1810"/>
        <w:pBdr/>
        <w:spacing/>
        <w:ind w:firstLine="0"/>
        <w:rPr>
          <w:lang w:val="en-US"/>
        </w:rPr>
      </w:pPr>
      <w:r>
        <w:t xml:space="preserve">RU.02068516.62.01.29-140 34 0</w:t>
      </w:r>
      <w:r>
        <w:rPr>
          <w:lang w:val="en-US"/>
        </w:rPr>
        <w:t xml:space="preserve">2</w:t>
      </w:r>
      <w:r>
        <w:rPr>
          <w:lang w:val="en-US"/>
        </w:rPr>
      </w:r>
      <w:r>
        <w:rPr>
          <w:lang w:val="en-US"/>
        </w:rPr>
      </w:r>
    </w:p>
    <w:p>
      <w:pPr>
        <w:pStyle w:val="1810"/>
        <w:pBdr/>
        <w:spacing/>
        <w:ind/>
        <w:rPr/>
      </w:pPr>
      <w:r/>
      <w:r/>
    </w:p>
    <w:p>
      <w:pPr>
        <w:pStyle w:val="1810"/>
        <w:pBdr/>
        <w:spacing/>
        <w:ind/>
        <w:rPr/>
      </w:pPr>
      <w:r/>
      <w:r/>
    </w:p>
    <w:p>
      <w:pPr>
        <w:pStyle w:val="1810"/>
        <w:pBdr/>
        <w:spacing/>
        <w:ind/>
        <w:rPr/>
      </w:pPr>
      <w:r/>
      <w:r/>
    </w:p>
    <w:p>
      <w:pPr>
        <w:pStyle w:val="1810"/>
        <w:pBdr/>
        <w:spacing/>
        <w:ind/>
        <w:rPr/>
      </w:pPr>
      <w:r/>
      <w:r/>
    </w:p>
    <w:p>
      <w:pPr>
        <w:pStyle w:val="1810"/>
        <w:pBdr/>
        <w:spacing/>
        <w:ind/>
        <w:rPr/>
      </w:pPr>
      <w:r/>
      <w:r/>
    </w:p>
    <w:p>
      <w:pPr>
        <w:pStyle w:val="1787"/>
        <w:pBdr/>
        <w:spacing/>
        <w:ind/>
        <w:jc w:val="center"/>
        <w:rPr>
          <w:sz w:val="28"/>
          <w:szCs w:val="28"/>
          <w:highlight w:val="none"/>
        </w:rPr>
      </w:pPr>
      <w:r>
        <w:rPr>
          <w:caps/>
          <w:sz w:val="28"/>
          <w:szCs w:val="40"/>
        </w:rPr>
        <w:t xml:space="preserve">Листов 46</w:t>
      </w:r>
      <w:r>
        <w:rPr>
          <w:sz w:val="28"/>
          <w:szCs w:val="40"/>
        </w:rPr>
      </w:r>
      <w:r>
        <w:rPr>
          <w:sz w:val="28"/>
          <w:szCs w:val="28"/>
          <w:highlight w:val="none"/>
        </w:rPr>
      </w:r>
    </w:p>
    <w:p w14:paraId="0D893F17">
      <w:pPr>
        <w:pStyle w:val="178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B194BB">
      <w:pPr>
        <w:pStyle w:val="178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F46AA0">
      <w:pPr>
        <w:pStyle w:val="178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79ED80">
      <w:pPr>
        <w:pStyle w:val="178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4D8357">
      <w:pPr>
        <w:pStyle w:val="178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3C4CDD">
      <w:pPr>
        <w:pStyle w:val="178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20"/>
        <w:pBdr/>
        <w:spacing/>
        <w:ind/>
        <w:rPr/>
        <w:sectPr>
          <w:headerReference w:type="default" r:id="rId12"/>
          <w:headerReference w:type="first" r:id="rId13"/>
          <w:footerReference w:type="default" r:id="rId19"/>
          <w:footerReference w:type="first" r:id="rId20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2"/>
          <w:cols w:num="1" w:sep="0" w:space="1701" w:equalWidth="1"/>
          <w:titlePg/>
        </w:sectPr>
      </w:pPr>
      <w:r/>
      <w:r/>
    </w:p>
    <w:p>
      <w:pPr>
        <w:pStyle w:val="1799"/>
        <w:keepNext w:val="true"/>
        <w:pBdr/>
        <w:spacing w:after="360" w:before="360" w:line="360" w:lineRule="auto"/>
        <w:ind w:firstLine="0" w:left="0"/>
        <w:contextualSpacing w:val="true"/>
        <w:jc w:val="center"/>
        <w:rPr/>
      </w:pPr>
      <w:r>
        <w:rPr>
          <w:b/>
          <w:i w:val="0"/>
          <w:sz w:val="24"/>
        </w:rP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788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1731"/>
            </w:rPr>
            <w:instrText xml:space="preserve"> TOC \z \o "1-3" \u \h</w:instrText>
          </w:r>
          <w:r>
            <w:rPr>
              <w:rStyle w:val="1731"/>
            </w:rPr>
            <w:fldChar w:fldCharType="separate"/>
          </w:r>
          <w:r>
            <w:rPr>
              <w:rStyle w:val="1731"/>
            </w:rPr>
            <w:t xml:space="preserve">АННОТАЦИЯ</w:t>
          </w:r>
          <w:r>
            <w:tab/>
            <w:t xml:space="preserve">5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8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 НАЗНАЧЕНИЕ ПРОГРАММЫ</w:t>
            <w:tab/>
            <w:t xml:space="preserve">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8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 УСЛОВИЯ ВЫПОЛНЕНИЯ ПРОГРАММЫ</w:t>
            <w:tab/>
            <w:t xml:space="preserve">8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2.1. Технические средства</w:t>
            <w:tab/>
            <w:t xml:space="preserve">8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2.2. Программные средства и публикуемые порты</w:t>
            <w:tab/>
            <w:t xml:space="preserve">8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2.3. Требования к персоналу</w:t>
            <w:tab/>
            <w:t xml:space="preserve">9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8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 ВЫПОЛНЕНИЕ ПРОГРАММЫ</w:t>
            <w:tab/>
            <w:t xml:space="preserve">10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 Запуск и остановка</w:t>
            <w:tab/>
            <w:t xml:space="preserve">10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 API-доступ</w:t>
            <w:tab/>
            <w:t xml:space="preserve">11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3.3. Пример запроса: проверка работоспособности сервера</w:t>
            <w:tab/>
            <w:t xml:space="preserve">14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3.4. Использование веб-интерфейса Swagger (OpenAPI)</w:t>
            <w:tab/>
            <w:t xml:space="preserve">15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Пример проверки работоспособности сервера с использованием интерфейса Swagger</w:t>
            <w:tab/>
            <w:t xml:space="preserve">15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 Параметрирование запросов</w:t>
            <w:tab/>
            <w:t xml:space="preserve">16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3.6. Требования к входным наборам данных</w:t>
            <w:tab/>
            <w:t xml:space="preserve">18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Файлы данных измерений (RAW)</w:t>
            <w:tab/>
            <w:t xml:space="preserve">19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Файлы разметки (LOADS)</w:t>
            <w:tab/>
            <w:t xml:space="preserve">20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3.7. Основы работы с комплексом: объекты и порядок действий</w:t>
            <w:tab/>
            <w:t xml:space="preserve">21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3.8. Показатели качества модели и отчёт тестирования</w:t>
            <w:tab/>
            <w:t xml:space="preserve">22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8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 ОСНОВНЫЕ СЦЕНАРИИ ПРИМЕНЕНИЯ</w:t>
            <w:tab/>
            <w:t xml:space="preserve">24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4.1. Перечень сценариев</w:t>
            <w:tab/>
            <w:t xml:space="preserve">24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 Описание сценариев</w:t>
            <w:tab/>
            <w:t xml:space="preserve">25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4.2.1. Загрузка входных данных</w:t>
            <w:tab/>
            <w:t xml:space="preserve">25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4.2.2. Создание и заполнение датасета</w:t>
            <w:tab/>
            <w:t xml:space="preserve">26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4.2.3. Создание и обучение ML-модели</w:t>
            <w:tab/>
            <w:t xml:space="preserve">27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4.2.4. Проверка (тестирование) модели</w:t>
            <w:tab/>
            <w:t xml:space="preserve">28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4.2.5. Инференс модели на датасете</w:t>
            <w:tab/>
            <w:t xml:space="preserve">29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4.2.6. Проверка определения типа нагрузки (синхронный предикт)</w:t>
            <w:tab/>
            <w:t xml:space="preserve">30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4.2.7. Экспорт ML-модели</w:t>
            <w:tab/>
            <w:t xml:space="preserve">31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4.2.8. Загрузка готовой ML-модели</w:t>
            <w:tab/>
            <w:t xml:space="preserve">32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4.2.9. Управление нагрузками (Loads)</w:t>
            <w:tab/>
            <w:t xml:space="preserve">32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4.2.10. Подбор гиперпараметров (AutoML)</w:t>
            <w:tab/>
            <w:t xml:space="preserve">33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4.2.11. Управление фоновыми задачами</w:t>
            <w:tab/>
            <w:t xml:space="preserve">34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4.2.12. Удаление ресурсов</w:t>
            <w:tab/>
            <w:t xml:space="preserve">36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4.2.13. Просмотр результатов и отчётов</w:t>
            <w:tab/>
            <w:t xml:space="preserve">36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90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4.3. Типовые комплексные примеры работы</w:t>
            <w:tab/>
            <w:t xml:space="preserve">37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4.3.1. От исходных данных до проверенной модели</w:t>
            <w:tab/>
            <w:t xml:space="preserve">37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4.3.2. Оценка качества модели и выбор порога</w:t>
            <w:tab/>
            <w:t xml:space="preserve">38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9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4.3.3. Обновление модели на новых данных</w:t>
            <w:tab/>
            <w:t xml:space="preserve">39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8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5. СООБЩЕНИЯ ОПЕРАТОРУ</w:t>
            <w:tab/>
            <w:t xml:space="preserve">41</w:t>
          </w:r>
          <w:r>
            <w:fldChar w:fldCharType="end"/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</w:sdtContent>
    </w:sdt>
    <w:p>
      <w:pPr>
        <w:pStyle w:val="1720"/>
        <w:keepNext w:val="true"/>
        <w:keepLines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b/>
          <w:color w:val="000000" w:themeColor="text1"/>
          <w:sz w:val="36"/>
          <w:szCs w:val="36"/>
        </w:rPr>
      </w:pPr>
      <w:r>
        <w:br w:type="page" w:clear="all"/>
      </w:r>
      <w:bookmarkStart w:id="24" w:name="_Toc233624834"/>
      <w:r/>
      <w:bookmarkStart w:id="25" w:name="scroll-bookmark-3"/>
      <w:r/>
      <w:bookmarkStart w:id="26" w:name="_Toc256000025"/>
      <w:r/>
      <w:bookmarkStart w:id="27" w:name="scroll-bookmark-2"/>
      <w:r/>
      <w:bookmarkEnd w:id="27"/>
      <w:r>
        <w:rPr>
          <w:b/>
          <w:i w:val="0"/>
          <w:color w:val="000000" w:themeColor="text1"/>
          <w:sz w:val="24"/>
          <w:szCs w:val="36"/>
        </w:rPr>
        <w:t xml:space="preserve">АННОТАЦИЯ</w:t>
      </w:r>
      <w:bookmarkEnd w:id="24"/>
      <w:r/>
      <w:bookmarkEnd w:id="25"/>
      <w:r/>
      <w:bookmarkEnd w:id="26"/>
      <w:r>
        <w:rPr>
          <w:b/>
          <w:color w:val="000000" w:themeColor="text1"/>
          <w:sz w:val="36"/>
          <w:szCs w:val="36"/>
        </w:rPr>
      </w:r>
      <w:r>
        <w:rPr>
          <w:b/>
          <w:color w:val="000000" w:themeColor="text1"/>
          <w:sz w:val="36"/>
          <w:szCs w:val="36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В данном программном документе приведено руководство оператора по работе с программным комплексом определения типа подключённой нагрузки потребителя в сетях низкого напряжения 0,4 кВ (далее – ПК ОТН, шифр темы ЭНР-140</w:t>
      </w:r>
      <w:r>
        <w:rPr>
          <w:sz w:val="24"/>
        </w:rPr>
        <w:t xml:space="preserve">), разработанным в рамках Рабочего проекта №2 (РП2). Документ разработан в соответствии с ГОСТ 19.505-79 «ЕСПД. Руководство оператора» и частным техническим заданием RU.02068516.62.01.29-140 90 (далее – ЧТЗ), утверждённым АО «Энергомера» 15 декабря 2024 г.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ПК ОТН предназначен для определения типа электрической нагрузки потребителей в распределительных электрических сетях низкого напряжения 0,4 кВ на основе анализа массивов мгновенных значений тока и напряжения с применением методов машинного обучения.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ПК ОТН включает программный комплекс «Аналитика профилей гармонических составляющих» (ПК АПГ</w:t>
      </w:r>
      <w:r>
        <w:rPr>
          <w:sz w:val="24"/>
        </w:rPr>
        <w:t xml:space="preserve">С, разработан в рамках РП1) и программные компоненты «Интеграция», «Администрирование», «Управление» (разработаны в рамках РП2). В составе ПК АПГС функционально выделяются компоненты «Загрузчик профиля», «Хранилище», «Идентификация», «Обучение» и «Выгрузка</w:t>
      </w:r>
      <w:r>
        <w:rPr>
          <w:sz w:val="24"/>
        </w:rPr>
        <w:t xml:space="preserve">»; компоненты РП1 и РП2, реализованные в составе сервера приложений, поставляются репозиторием backend, компоненты «Интеграция», «Администрирование» и «Управление» реализованы отдельным сервисом-шлюзом и поставляются репозиторием middleware (ЧТЗ п. 4.1.1).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Работа оператора выполняется через сервис-шлюз – единую точку входа комплекса: сервер приложений пуб</w:t>
      </w:r>
      <w:r>
        <w:rPr>
          <w:sz w:val="24"/>
        </w:rPr>
        <w:t xml:space="preserve">личного доступа не имеет и доступен только во внутренней сети развёртывания (ЧТЗ пп. 4.1.2.7.1–4.1.2.7.3). Аутентификация и разграничение прав выполняются сервисом-шлюзом; оператор должен иметь учётную запись и роль, определённую администратором комплекса.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В разделе «Назначение программы» приведены сведения о назначении и функциях ПК ОТН. В разделе «Условия выполнения программы» указаны требования к техническим и программным средствам, а также требования к персоналу. В разделе «</w:t>
      </w:r>
      <w:r>
        <w:rPr>
          <w:sz w:val="24"/>
        </w:rPr>
        <w:t xml:space="preserve">Выполнение программы» приведён порядок работы оператора с комплексом: порядок запуска, доступ к методам API, примеры запросов, требования к входным наборам данных, параметры запросов, сведения об объектах комплекса и показателях качества модели. В разделе </w:t>
      </w:r>
      <w:r>
        <w:rPr>
          <w:sz w:val="24"/>
        </w:rPr>
        <w:t xml:space="preserve">«Основные сценарии применения» приведены типовые сценарии работы оператора, а также комплексные примеры, связывающие эти сценарии в законченный цикл работ. В разделе «Сообщения оператору» приведён справочник сообщений комплекса и действий оператора по ним.</w:t>
      </w:r>
      <w:r>
        <w:br w:type="page" w:clear="all"/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b/>
          <w:color w:val="000000" w:themeColor="text1"/>
          <w:sz w:val="36"/>
          <w:szCs w:val="36"/>
        </w:rPr>
      </w:pPr>
      <w:r/>
      <w:bookmarkStart w:id="28" w:name="_Toc256000026"/>
      <w:r/>
      <w:bookmarkStart w:id="29" w:name="scroll-bookmark-4"/>
      <w:r/>
      <w:bookmarkStart w:id="30" w:name="_Toc233624835"/>
      <w:r>
        <w:rPr>
          <w:b/>
          <w:i w:val="0"/>
          <w:color w:val="000000" w:themeColor="text1"/>
          <w:sz w:val="24"/>
          <w:szCs w:val="36"/>
        </w:rPr>
        <w:t xml:space="preserve">1. НАЗНАЧЕНИЕ ПРОГРАММЫ</w:t>
      </w:r>
      <w:bookmarkEnd w:id="28"/>
      <w:r/>
      <w:bookmarkEnd w:id="29"/>
      <w:r/>
      <w:bookmarkEnd w:id="30"/>
      <w:r>
        <w:rPr>
          <w:b/>
          <w:color w:val="000000" w:themeColor="text1"/>
          <w:sz w:val="36"/>
          <w:szCs w:val="36"/>
        </w:rPr>
      </w:r>
      <w:r>
        <w:rPr>
          <w:b/>
          <w:color w:val="000000" w:themeColor="text1"/>
          <w:sz w:val="36"/>
          <w:szCs w:val="36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Программный комплекс определения типа подключённой нагрузки потребите</w:t>
      </w:r>
      <w:r>
        <w:rPr>
          <w:sz w:val="24"/>
        </w:rPr>
        <w:t xml:space="preserve">ля в сетях низкого напряжения 0,4 кВ (ПК ОТН) представляет собой комплекс серверных программных компонентов, объединённых единой точкой входа (сервисом-шлюзом) и интегрируемых с программным обеспечением «ceCloud» Индустриального партнёра (АО «Энергомера»).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ПК ОТН предназначен для: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формирования исполнимых ML-моделей, получаемых путём обучения на предварительно подготовленных наборах данных (датасетах), содержащих массивы мгновенных значений тока и напряжения;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идентификации типа электрической нагрузки потребителей: майнинговая ферма, электроотопительный прибор (электрический котёл), устройство малой генерации (солнечные батареи, ветрогенераторы и т.п.), прочие виды нагрузок (резервный класс);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экспортирования ML-моделей в форматах H5 и ONNX и их передачи Индустриальному партнёру для загрузки в модули ИИ приборов учёта электроэнергии; сжатие модели и формирование встраиваемого кода выполняются вне границ ПК ОТН;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интеграции с интеллектуальной системой учёта электроэнергии (ИСУЭ) «ceCloud» для получения производственных данных и передачи результатов идентификации.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Перечень классов нагрузки приведён в Приложении №2, таблица 1 к ЧТЗ и уточняется на этапе технического проектирования. Состав классов, которые различает конкрет</w:t>
      </w:r>
      <w:r>
        <w:rPr>
          <w:sz w:val="24"/>
        </w:rPr>
        <w:t xml:space="preserve">ная ML-модель, определяется разметкой датасета, на котором она обучена, и задаётся при создании модели параметрами output_size (число выходов модели), signals (привязка номеров выходов к устройствам учёта) и signal_aliases (человекочитаемые имена выходов).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HTTP-сервер комплекса обеспечивает: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приём, хранение и управление загружаемыми файлами (RAW – данные измерений, LOADS – данные разметки), а также файлами моделей (H5) и ZIP-архивами отчётов, формируемыми комплексом;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формирование и редактирование наборов данных (датасетов);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создание, загрузку, обучение, тестирование (проверку), инференс и удаление ML-моделей, экспорт модели в формат ONNX;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подбор гиперпараметров моделей (AutoML): формирование популяции конфигураций модели, проведение селекции, выгрузку сетки конфигураций, удаление популяции;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управление справочником нагрузок (Loads);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запуск и мониторинг фоновых задач с использованием очереди задач Celery, включая приостановку, возобновление и аварийное прерывание задачи;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управление доступом пользователей и внешних систем (выполняется сервисом-шлюзом): поддерживаются три уровня доступа – </w:t>
      </w:r>
      <w:r>
        <w:rPr>
          <w:sz w:val="24"/>
        </w:rPr>
        <w:t xml:space="preserve">Администратор, Менеджер и Абонент (ЧТЗ п. 4.1.2.7.2), авторизация выполняется посредством того же сервиса авторизации, что и ПО «ceCloud» (ЧТЗ п. 4.1.2.7.3), а его учётные записи создаются в сервисе авторизации и регистрируются в комплексе администратором;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предоставление REST API для интеграции с внешними системами.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Комплекс применяется в двух режимах (ЧТЗ пп. 3.1.4, 3.2.2):</w:t>
      </w:r>
      <w:r>
        <w:rPr>
          <w:sz w:val="24"/>
        </w:rPr>
        <w:t xml:space="preserve"> «Обучение» – формирование и обучение моделей на данных стендовых измерений; «Эксплуатация» – идентификация типа нагрузки с использованием предварительно обученной модели. Настоящее руководство описывает работу с серверной частью комплекса в обоих режимах.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Действия, выполняемые вне границ ПК ОТН (сжатие модели, формирование встраиваемого кода, загрузка модели в модуль ИИ прибора учёта, достоверизация результата идентификации в ПО «ceCloud»), в настоящем руководстве не описываются.</w:t>
      </w:r>
      <w:r>
        <w:br w:type="page" w:clear="all"/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b/>
          <w:color w:val="000000" w:themeColor="text1"/>
          <w:sz w:val="36"/>
          <w:szCs w:val="36"/>
        </w:rPr>
      </w:pPr>
      <w:r/>
      <w:bookmarkStart w:id="31" w:name="_Toc233624836"/>
      <w:r/>
      <w:bookmarkStart w:id="32" w:name="scroll-bookmark-5"/>
      <w:r/>
      <w:bookmarkStart w:id="33" w:name="_Toc256000027"/>
      <w:r>
        <w:rPr>
          <w:b/>
          <w:i w:val="0"/>
          <w:color w:val="000000" w:themeColor="text1"/>
          <w:sz w:val="24"/>
          <w:szCs w:val="36"/>
        </w:rPr>
        <w:t xml:space="preserve">2. УСЛОВИЯ ВЫПОЛНЕНИЯ ПРОГРАММЫ</w:t>
      </w:r>
      <w:bookmarkEnd w:id="31"/>
      <w:r/>
      <w:bookmarkEnd w:id="32"/>
      <w:r/>
      <w:bookmarkEnd w:id="33"/>
      <w:r>
        <w:rPr>
          <w:b/>
          <w:color w:val="000000" w:themeColor="text1"/>
          <w:sz w:val="36"/>
          <w:szCs w:val="36"/>
        </w:rPr>
      </w:r>
      <w:r>
        <w:rPr>
          <w:b/>
          <w:color w:val="000000" w:themeColor="text1"/>
          <w:sz w:val="36"/>
          <w:szCs w:val="36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Работа оператора выполняется на рабочем месте, имеющем сетевой доступ к сервису-шлюзу ПК ОТН, и не требует установки на рабочее место </w:t>
      </w:r>
      <w:r>
        <w:rPr>
          <w:sz w:val="24"/>
        </w:rPr>
        <w:t xml:space="preserve">программных средств комплекса. Требования к серверной части, приведённые в п. 2.1, относятся к серверу комплекса и обеспечиваются при развёртывании системным программистом (см. документ RU.02068516.62.01.29-140 34 03 «Руководство системного программиста»).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34" w:name="_Toc256000029"/>
      <w:r/>
      <w:bookmarkStart w:id="35" w:name="scroll-bookmark-7"/>
      <w:r/>
      <w:bookmarkStart w:id="36" w:name="_Toc233624838"/>
      <w:r>
        <w:rPr>
          <w:b/>
          <w:i w:val="0"/>
          <w:color w:val="000000" w:themeColor="text1"/>
          <w:sz w:val="24"/>
          <w:szCs w:val="32"/>
        </w:rPr>
        <w:t xml:space="preserve">2.1. Технические средства</w:t>
      </w:r>
      <w:bookmarkEnd w:id="34"/>
      <w:r/>
      <w:bookmarkEnd w:id="35"/>
      <w:r/>
      <w:bookmarkEnd w:id="36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Минимальный состав технических средств серверной части ПК ОТН: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CPU не ниже Intel Core i7;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ОЗУ (RAM) от 64 ГБ (рекомендуется от 128 ГБ);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ПЗУ (ROM) от 4 ТБ (рекомендуется от 16 ТБ);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сетевые интерфейсы для доступа к локальной или корпоративной сети (работа API и обмен данными с внешними системами, включая «ceCloud»).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Требования к серверной части уточняются на этапах технического проектирования и рабочего проекта (ЧТЗ п. 4.4.2) и приведены в Руководстве системного программиста. Указанные требования не распространяются на рабочее место оператора.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Требования к рабочему месту оператора: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web-браузер (для просмотра документации методов комплекса и работы с web-интерфейсом спецификации API при наличии доступа к узлу сервера приложений);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утилита командной строки для выполнения HTTP-запросов (curl) либо инструмент работы с REST API (например, Postman) – используется для выполнения запросов к методам комплекса через сервис-шлюз;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сетевой доступ к узлу, на котором развёрнут сервис-шлюз (по умолчанию порт 8082), и учётная запись с ролью, назначенной администратором комплекса.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Для выполнения команд, приведённых в настоящем руководстве, дополнительная установка программного обеспечения на рабочее место оператора не требуется.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37" w:name="scroll-bookmark-7_Copy_1"/>
      <w:r/>
      <w:bookmarkStart w:id="38" w:name="_Toc256000029_Copy_1"/>
      <w:r/>
      <w:bookmarkStart w:id="39" w:name="_Toc233624838_Copy_1"/>
      <w:r>
        <w:rPr>
          <w:b/>
          <w:i w:val="0"/>
          <w:color w:val="000000" w:themeColor="text1"/>
          <w:sz w:val="24"/>
          <w:szCs w:val="32"/>
        </w:rPr>
        <w:t xml:space="preserve">2.2. Программные средства и публикуемые порты</w:t>
      </w:r>
      <w:bookmarkEnd w:id="37"/>
      <w:r/>
      <w:bookmarkEnd w:id="38"/>
      <w:r/>
      <w:bookmarkEnd w:id="39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Программные требования к серверной части ПК ОТН: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операционная система: Linux семейства Debian версии не ниже Debian 10 или Astra Linux LTS; применяются отечественные ОС: РедОС, АстраЛинукс, АльтЛинукс последних стабильных версий и выше (ЧТЗ п. 4.5.1.1);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Docker Engine версии 20.10.0 и выше, Docker Compose версии 2.0.0 и выше – контейнеризация и развёртывание компонентов комплекса (ЧТЗ п. 4.5.3.2);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Python версии 3.10 – для локального запуска серверной части вне контейнеров (при поставке используется образ python:3.10.16).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Порты, публикуемые компо</w:t>
      </w:r>
      <w:r>
        <w:rPr>
          <w:sz w:val="24"/>
        </w:rPr>
        <w:t xml:space="preserve">нентами ПК ОТН, приведены в таблице 1. В промышленной эксплуатации внешним потребителям публикуется только порт сервиса-шлюза; прямой доступ к серверу приложений, СУБД, брокеру сообщений и объектному хранилищу не допускается (ЧТЗ пп. 4.1.2.7.1, 4.1.2.7.3).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Для работы оператора используется порт сервиса-шлюза (по умолчанию 8082). Доступ к методам сервера приложений (порт 8000) через шлюз выполняется по пути /api/*.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1. </w:t>
      </w:r>
      <w:r>
        <w:rPr>
          <w:sz w:val="24"/>
        </w:rPr>
        <w:t xml:space="preserve">Порты, публикуемые компонентами ПК ОТН</w:t>
      </w:r>
      <w:r/>
    </w:p>
    <w:tbl>
      <w:tblPr>
        <w:tblInd w:w="0" w:type="dxa"/>
        <w:tblW w:w="1019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8"/>
      </w:tblGrid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Компонент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Порт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Публикация в поставке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Промышленная эксплуатация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Сервис-шлюз (gateway)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8082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публикуется: единственная внешняя точка доступа к комплексу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Сервис авторизации отладочного развёртывания (oauth-server)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8081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развёртывается: используется сервис авторизации «ceCloud»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База данных шлюза (gateway-db)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5433 на узле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публикуется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Сервер приложений (app)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8000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публикуется: доступ только через сервис-шлюз по пути /api/*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База данных сервера приложений (db)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5432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публикуется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Брокер задач и хранилище результатов (redis)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6379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публикуется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Мониторинг очереди задач (flower)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5555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публикуется: доступ из внутренней сети, вход по паролю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Объектное хранилище (minio)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9000, 9001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публикуется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публикуется</w:t>
            </w:r>
            <w:r/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40" w:name="_Toc233624838_Copy_2"/>
      <w:r/>
      <w:bookmarkStart w:id="41" w:name="scroll-bookmark-7_Copy_2"/>
      <w:r/>
      <w:bookmarkStart w:id="42" w:name="_Toc256000029_Copy_2"/>
      <w:r>
        <w:rPr>
          <w:b/>
          <w:i w:val="0"/>
          <w:color w:val="000000" w:themeColor="text1"/>
          <w:sz w:val="24"/>
          <w:szCs w:val="32"/>
        </w:rPr>
        <w:t xml:space="preserve">2.3. Требования к персоналу</w:t>
      </w:r>
      <w:bookmarkEnd w:id="40"/>
      <w:r/>
      <w:bookmarkEnd w:id="41"/>
      <w:r/>
      <w:bookmarkEnd w:id="42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К оператору ПК ОТН предъявляются следующие требования (ЧТЗ п. 4.3.3.1):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понимание принципов обучения искусственных нейронных сетей и основных методов численного моделирования работы оборудования;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навыки наладки и эксплуатации ПО «ceCloud» разработки Индустриального партнёра;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навыки администрирования операционных систем Linux и баз данных SQL;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умение работать с REST API (составление и отправка HTTP-запросов, разбор ответов в формате JSON).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Работа конечного пользователя выполняется без предоставления административных привилегий в операционной системе (ЧТЗ п. 4.2.3.1). Специальные виды обслуживания комплекса не требуются (ЧТЗ п. 4.3.2.1).</w:t>
      </w:r>
      <w:r>
        <w:br w:type="page" w:clear="all"/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b/>
          <w:color w:val="000000" w:themeColor="text1"/>
          <w:sz w:val="36"/>
          <w:szCs w:val="36"/>
        </w:rPr>
      </w:pPr>
      <w:r/>
      <w:bookmarkStart w:id="43" w:name="_Toc233624837"/>
      <w:r/>
      <w:bookmarkStart w:id="44" w:name="scroll-bookmark-6"/>
      <w:r/>
      <w:bookmarkStart w:id="45" w:name="_Toc256000028"/>
      <w:r>
        <w:rPr>
          <w:b/>
          <w:i w:val="0"/>
          <w:color w:val="000000" w:themeColor="text1"/>
          <w:sz w:val="24"/>
          <w:szCs w:val="36"/>
        </w:rPr>
        <w:t xml:space="preserve">3. ВЫПОЛНЕНИЕ ПРОГРАММЫ</w:t>
      </w:r>
      <w:bookmarkEnd w:id="43"/>
      <w:r/>
      <w:bookmarkEnd w:id="44"/>
      <w:r/>
      <w:bookmarkEnd w:id="45"/>
      <w:r>
        <w:rPr>
          <w:b/>
          <w:color w:val="000000" w:themeColor="text1"/>
          <w:sz w:val="36"/>
          <w:szCs w:val="36"/>
        </w:rPr>
      </w:r>
      <w:r>
        <w:rPr>
          <w:b/>
          <w:color w:val="000000" w:themeColor="text1"/>
          <w:sz w:val="36"/>
          <w:szCs w:val="36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Выполнение программы производится в следующем порядке: администратор комплекса создаёт (регистрирует) учётну</w:t>
      </w:r>
      <w:r>
        <w:rPr>
          <w:sz w:val="24"/>
        </w:rPr>
        <w:t xml:space="preserve">ю запись оператора в сервисе авторизации и назначает ему роль; оператор выполняет вход и получает токен доступа; далее оператор выполняет запросы к методам комплекса через сервис-шлюз (п. 3.2) либо с использованием web-интерфейса спецификации API (п. 3.4).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Документация методов доступна в двух форматах: спецификация в формате OpenAPI (документ RU.02068516.62.01.29-140 33 02 «Руководство программиста») и веб-страница документации сервера приложений (п. 3.4).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46" w:name="_Toc233624838_Copy_3"/>
      <w:r/>
      <w:bookmarkStart w:id="47" w:name="scroll-bookmark-7_Copy_3"/>
      <w:r/>
      <w:bookmarkStart w:id="48" w:name="_Toc256000029_Copy_3"/>
      <w:r>
        <w:rPr>
          <w:b/>
          <w:i w:val="0"/>
          <w:color w:val="000000" w:themeColor="text1"/>
          <w:sz w:val="24"/>
          <w:szCs w:val="32"/>
        </w:rPr>
        <w:t xml:space="preserve">3.1. Запуск и остановка</w:t>
      </w:r>
      <w:bookmarkEnd w:id="46"/>
      <w:r/>
      <w:bookmarkEnd w:id="47"/>
      <w:r/>
      <w:bookmarkEnd w:id="48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Запуск, остановка и обновление комплекса выполняются системным программистом</w:t>
      </w:r>
      <w:r>
        <w:rPr>
          <w:sz w:val="24"/>
        </w:rPr>
        <w:t xml:space="preserve"> на сервере комплекса (см. документ RU.02068516.62.01.29-140 34 03 «Руководство системного программиста»). В обязанности оператора эти действия не входят; команды приводятся для справки, в том числе при выполнении работ совместно с системным программистом.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Формат вызова скрипта управления сервером приложений: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./scripts/energomera.sh &lt;команда&gt; [окружение] [--gpu]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Запуск окружения (по умолчанию dev):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./scripts/energomera.sh start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Запуск с поддержкой GPU (требуется nvidia-container-toolkit на узле):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./scripts/energomera.sh start dev --gpu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Остановка контейнеров без удаления томов: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./scripts/energomera.sh stop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Остановка с удалением контейнеров (тома данных сохраняются):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./scripts/energomera.sh down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Просмотр состояния контейнеров и журналов: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./scripts/energomera.sh status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./scripts/energomera.sh logs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При запуске скрипт автоматически формирует файл зависимостей из файла фиксации версий PDM, формирует файл version.json (ветка, ревизия, автор и дата сборки – данные метода получе</w:t>
      </w:r>
      <w:r>
        <w:rPr>
          <w:sz w:val="24"/>
        </w:rPr>
        <w:t xml:space="preserve">ния сведений о сборке, п. 3.2), собирает образ и запускает контейнеры. Для окружений, отличных от dev (demo, prod), перед запуском дополнительно выполняется прогон юнит-тестов; при неудачном прогоне развёртывание прерывается, что увеличивает время запуска.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Автоматический перезапуск контейнеров после перезагрузки ОС в поставке не настроен: после перезагрузки или сбоя комплекс поднимается командой запуска (см. выше). После восстановления работоспособности ком</w:t>
      </w:r>
      <w:r>
        <w:rPr>
          <w:sz w:val="24"/>
        </w:rPr>
        <w:t xml:space="preserve">плекса оператору необходимо повторить прерванные операции: незавершённые задачи автоматически не возобновляются, их повторный запуск выполняется повторным вызовом профильного метода, приостановленные задачи возобновляются методом возобновления (п. 4.2.11).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Для проверки доступности комплекса оператор выполняет запрос к методу проверки работоспособности сервиса-шлюза (п. 3.3).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49" w:name="_Toc256000029_Copy_4"/>
      <w:r/>
      <w:bookmarkStart w:id="50" w:name="_Toc233624838_Copy_4"/>
      <w:r/>
      <w:bookmarkStart w:id="51" w:name="scroll-bookmark-7_Copy_4"/>
      <w:r>
        <w:rPr>
          <w:b/>
          <w:i w:val="0"/>
          <w:color w:val="000000" w:themeColor="text1"/>
          <w:sz w:val="24"/>
          <w:szCs w:val="32"/>
        </w:rPr>
        <w:t xml:space="preserve">3.2. API-доступ</w:t>
      </w:r>
      <w:bookmarkEnd w:id="49"/>
      <w:r/>
      <w:bookmarkEnd w:id="50"/>
      <w:r/>
      <w:bookmarkEnd w:id="51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Доступ к методам комплекса предоставляется через сервис-шлюз – единую точку входа (по умолчанию http://&lt;хост&gt;:8082). Шлюз передаёт в сервер приложений запросы, адресованные путям с префиксом /api, а также выполняет аутентифик</w:t>
      </w:r>
      <w:r>
        <w:rPr>
          <w:sz w:val="24"/>
        </w:rPr>
        <w:t xml:space="preserve">ацию, проверку прав роли, ограничение частоты запросов и приведение ответов к единому формату. Методы сервера приложений, расположенные в корне (проверка работоспособности и сведения о сборке), через шлюз не передаются и доступны только во внутренней сети.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Спецификация предоставляемого сервером приложений HTTP REST API приведена в следующих источниках: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в документе RU.02068516.62.01.29-140 33 02 «Руководство программиста» (полное описание методов, схем запросов и ответов);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в виде спецификации OpenAPI (файл openapi.json) и web-страницы документации сервера приложений (п. 3.4).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Порядок получения доступа: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1. Получить у администратора ком</w:t>
      </w:r>
      <w:r>
        <w:rPr>
          <w:sz w:val="24"/>
        </w:rPr>
        <w:t xml:space="preserve">плекса учётную запись (логин и пароль) и роль. Учётная запись создаётся в сервисе авторизации, затем регистрируется в комплексе; роль назначается при регистрации и может быть изменена администратором (роль по умолчанию для новых учётных записей – Абонент).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2. Выполнить вход методом POST /api/auth/login, передав в теле запроса логин и пароль: {"username": "&lt;логин&gt;", "password": "&lt;пароль&gt;"}. В ответе возвращаются токен доступа (access_token) и токен обновления (refresh_token).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3. Передавать токен доступа в каждом запросе к методам комплекса в заголовке Authorization: Bearer &lt;токен доступа&gt;.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4. При истечении срока действия токена доступа (по умолчанию 30 минут) получить новый токен методом POST /api/auth/refresh, передав токен обновления, либо выполнить вход повторно. Срок действия токена обновления – 7 суток.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5. Для выхода из системы вызвать метод POST /api/auth/logout; сведения о текущей учётной записи возвращает метод GET /api/auth/me.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При отсутств</w:t>
      </w:r>
      <w:r>
        <w:rPr>
          <w:sz w:val="24"/>
        </w:rPr>
        <w:t xml:space="preserve">ии прав на запрошенный метод шлюз возвращает код ответа 403 с описанием метода и пути. В этом случае оператор должен обратиться к администратору комплекса для изменения роли или матрицы прав. При отсутствии или истечении токена возвращается код ответа 401.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Роли и их права по умолчанию приведены в таблице 2. Матрица прав хранится в базе данных сервиса-шлюза и может быть изменена администратором без перезапуска комплекса.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2. </w:t>
      </w:r>
      <w:r>
        <w:rPr>
          <w:sz w:val="24"/>
        </w:rPr>
        <w:t xml:space="preserve">Роли и права доступа оператора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517"/>
        <w:gridCol w:w="4094"/>
        <w:gridCol w:w="3594"/>
      </w:tblGrid>
      <w:tr>
        <w:trPr/>
        <w:tc>
          <w:tcPr>
            <w:shd w:val="clear" w:color="auto" w:fill="ffffff" w:themeFill="background1"/>
            <w:tcBorders/>
            <w:tcW w:w="2517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Роль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4094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Права по умолчанию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3594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Назначение роли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Администратор (admin)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09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все методы по всем путям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59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полный доступ, управление учётными записями, ролями и матрицей прав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Менеджер (manager)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09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чтение и изменение данных, датасетов, нагрузок, моделей и задач; удаление ресурсов; просмотр списка учётных записей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59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выполнение всех работ с данными, моделями и задачами комплекса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Абонент (subscriber)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09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только чтение (методы GET) перечисленных разделов; просмотр списка учётных записей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59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просмотр данных, моделей и результатов идентификации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Основные предоставляемые ресурсы приведены в таблице 3. Полный перечень методов с описанием параметров и схем приведён в Руководстве программиста; для контроля состава методов используется спецификация OpenAPI (п. 3.4).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3. </w:t>
      </w:r>
      <w:r>
        <w:rPr>
          <w:sz w:val="24"/>
        </w:rPr>
        <w:t xml:space="preserve">Основные ресурсы REST API комплекса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517"/>
        <w:gridCol w:w="4545"/>
        <w:gridCol w:w="3143"/>
      </w:tblGrid>
      <w:tr>
        <w:trPr/>
        <w:tc>
          <w:tcPr>
            <w:shd w:val="clear" w:color="auto" w:fill="ffffff" w:themeFill="background1"/>
            <w:tcBorders/>
            <w:tcW w:w="2517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Раздел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4545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Методы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3143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Минимальная роль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Аутентификация и учётная запись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POST /api/auth/login, POST /api/auth/refresh, POST /api/auth/logout, GET /api/auth/me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учётная запись оператора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Проверка работоспособности и сведения о сборке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GET /health, GET /version (только во внутренней сети, через шлюз не передаются)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–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Файлы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POST /api/data/file – загрузка файла (RAW, LOADS); GET /api/data/files – список файлов; GET /api/data/file/{file_id}/download – скачивание файла (данные, разметка, модель H5, архив отчёта); DELETE /api/{file_id} – удаление файла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Менеджер (чтение – Абонент)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Наборы данных (датасеты)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POST /a</w:t>
            </w:r>
            <w:r>
              <w:rPr>
                <w:rFonts w:eastAsia="Times New Roman"/>
                <w:bCs w:val="0"/>
                <w:sz w:val="24"/>
                <w:lang w:bidi="ar-SA"/>
              </w:rPr>
              <w:t xml:space="preserve">pi/datasets/ – создание; GET /api/datasets/ – список; GET /api/datasets/{dataset_id} – сведения; PUT /api/datasets/{dataset_id} – изменение; DELETE /api/datasets/{dataset_id} – удаление; POST /api/datasets/fill/{dataset_id} – асинхронное заполнение данными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Менеджер (чтение – Абонент)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Справочник нагрузок (Loads)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POST /api/loads – создание записи; GET /api/loads/list – список с фильтрацией; PUT /api/loads/{load_id} – изменение записи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Менеджер (чтение – Абонент)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ML-модели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GET /api/ml_models/architectures – перечень архитектур; POST /api/ml_models/models – создание модели; POST /api/ml_models/models/upload – загрузка готовой модели (H5); GET /api/ml_models/models – списо</w:t>
            </w:r>
            <w:r>
              <w:rPr>
                <w:rFonts w:eastAsia="Times New Roman"/>
                <w:bCs w:val="0"/>
                <w:sz w:val="24"/>
                <w:lang w:bidi="ar-SA"/>
              </w:rPr>
              <w:t xml:space="preserve">к моделей; GET /api/ml_models/models/{model_id} – сведения о модели; DELETE /api/ml_models/models/{model_id} – удаление модели; GET /api/ml_models/models/{model_id}/download_onnx – экспорт модели в формат ONNX; POST /api/ml_models/models/{model_id}/train –</w:t>
            </w:r>
            <w:r>
              <w:rPr>
                <w:rFonts w:eastAsia="Times New Roman"/>
                <w:bCs w:val="0"/>
                <w:sz w:val="24"/>
                <w:lang w:bidi="ar-SA"/>
              </w:rPr>
              <w:t xml:space="preserve"> обучение модели; POST /api/ml_models/{model_id}/check – проверка (тестирование) модели; POST /api/ml_models/models/{model_id}/inference – инференс на датасете; POST /api/ml_models/models/{model_id}/inference/single – синхронный предикт по одному измерению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Менеджер (чтение – Абонент)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Подбор гиперпараметров (AutoML)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POST /api/ml_models/models/{model_id}/find_params/population – создание популяции конфигураций; POST /api/ml_models/find_params/population/{population_id}/selection – запуск селекции; GET /</w:t>
            </w:r>
            <w:r>
              <w:rPr>
                <w:rFonts w:eastAsia="Times New Roman"/>
                <w:bCs w:val="0"/>
                <w:sz w:val="24"/>
                <w:lang w:bidi="ar-SA"/>
              </w:rPr>
              <w:t xml:space="preserve">api/ml_models/find_params/population – список популяций; GET /api/ml_models/find_params/population/{population_id} – сведения о популяции; GET /api/ml_models/find_params/population/{population_id}/mutated_models – список конфигураций популяции; GET /api/ml</w:t>
            </w:r>
            <w:r>
              <w:rPr>
                <w:rFonts w:eastAsia="Times New Roman"/>
                <w:bCs w:val="0"/>
                <w:sz w:val="24"/>
                <w:lang w:bidi="ar-SA"/>
              </w:rPr>
              <w:t xml:space="preserve">_models/find_params/population/{population_id}/selections – список селекций; GET /api/ml_models/find_params/population/{population_id}/grid.csv – выгрузка сетки конфигураций; DELETE /api/ml_models/find_params/population/{population_id} – удаление популяции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Менеджер (чтение – Абонент)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517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Фоновые задачи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54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GET /api/tasks/ – список задач; GET /api/task</w:t>
            </w:r>
            <w:r>
              <w:rPr>
                <w:rFonts w:eastAsia="Times New Roman"/>
                <w:bCs w:val="0"/>
                <w:sz w:val="24"/>
                <w:lang w:bidi="ar-SA"/>
              </w:rPr>
              <w:t xml:space="preserve">s/{task_id} – сведения о задаче; POST /api/tasks/{task_id}/pause – приостановка; POST /api/tasks/{task_id}/resume – возобновление; POST /api/tasks/{task_id}/interrupt – аварийное прерывание; POST /api/tasks/test – запуск тестовой задачи (параметр duration)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143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Менеджер (чтение – Абонент)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Особенности работы с ресурсами: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ресурс /api/loads управляет справочником нагрузок (таблица load_devices), а не приборами учёта; этот же справочник используется при разметке данных и при интерпретации результатов идентификации (п. 4.2.9);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запуск фоновых задач выполняется профильными методами (заполнение датасета, обучение, проверка модели, инференс, подбор гиперпараметров). Единственный метод, создающий задачу вручную</w:t>
      </w:r>
      <w:r>
        <w:rPr>
          <w:sz w:val="24"/>
        </w:rPr>
        <w:t xml:space="preserve">, – метод запуска тестовой задачи POST /api/tasks/test (параметр duration – время выполнения в секундах); остальные методы ресурса /api/tasks управляют уже созданными задачами (получение списка и деталей, приостановка, возобновление, аварийное прерывание);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для методов</w:t>
      </w:r>
      <w:r>
        <w:rPr>
          <w:sz w:val="24"/>
        </w:rPr>
        <w:t xml:space="preserve">, запускающих фоновую задачу, в ответе возвращается идентификатор задачи (task_id). Наблюдение за выполнением выполняется методом GET /api/tasks/{task_id}: в истории запусков задачи доступны статус, промежуточный результат и итоговый результат (п. 4.2.11).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52" w:name="scroll-bookmark-7_Copy_5"/>
      <w:r/>
      <w:bookmarkStart w:id="53" w:name="_Toc256000029_Copy_5"/>
      <w:r/>
      <w:bookmarkStart w:id="54" w:name="_Toc233624838_Copy_5"/>
      <w:r>
        <w:rPr>
          <w:b/>
          <w:i w:val="0"/>
          <w:color w:val="000000" w:themeColor="text1"/>
          <w:sz w:val="24"/>
          <w:szCs w:val="32"/>
        </w:rPr>
        <w:t xml:space="preserve">3.3. Пример запроса: проверка работоспособности сервера</w:t>
      </w:r>
      <w:bookmarkEnd w:id="52"/>
      <w:r/>
      <w:bookmarkEnd w:id="53"/>
      <w:r/>
      <w:bookmarkEnd w:id="54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Для проверки работоспособности сервиса-шлюза используется команда: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curl http://localhost:8082/health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Ожидаемый ответ (код 200): {"status": "ok", "version": "0.1.0"}.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Проверка сервера приложений выполняется запросом к его методу проверки работоспособности из внутренней сети (например, с узла комплекса):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curl http://localhost:8000/health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Ответ содержит имя окружения, заданное параметрами конфигурации: {"status": "OK", "environment": "dev"} для отладочного окружения; для промышленного окружения значение поля environment – prod. Через сервис-шлюз этот метод не передаётся.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Метод проверки работоспособности подтверждает только доступность процесса сервера приложений и его настройку на работу с выбранным окружением; готовность базы данных, брокера задач и </w:t>
      </w:r>
      <w:r>
        <w:rPr>
          <w:sz w:val="24"/>
        </w:rPr>
        <w:t xml:space="preserve">объектного хранилища он не проверяет. Комплекс считается работоспособным, если выполняются запросы к методам комплекса через сервис-шлюз (например, GET /api/ml_models/models) – ответ 200 подтверждает доступность сервера приложений, базы данных и хранилища.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Утилита curl не входит в состав комплекса и должна быть установлена на рабочем месте оператора либо на узле, с которого выполняется проверка (в поставке комплекса утилита присутствует в образе сервера приложений и используется при проверке контейнера).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55" w:name="_Toc233624838_Copy_6"/>
      <w:r/>
      <w:bookmarkStart w:id="56" w:name="scroll-bookmark-7_Copy_6"/>
      <w:r/>
      <w:bookmarkStart w:id="57" w:name="_Toc256000029_Copy_6"/>
      <w:r>
        <w:rPr>
          <w:b/>
          <w:i w:val="0"/>
          <w:color w:val="000000" w:themeColor="text1"/>
          <w:sz w:val="24"/>
          <w:szCs w:val="32"/>
        </w:rPr>
        <w:t xml:space="preserve">3.4. Использование веб-интерфейса Swagger (OpenAPI)</w:t>
      </w:r>
      <w:bookmarkEnd w:id="55"/>
      <w:r/>
      <w:bookmarkEnd w:id="56"/>
      <w:r/>
      <w:bookmarkEnd w:id="57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Сервер приложений обеспечивает возможность просмотра онлайн-спецификации на свой API, параметрирования и отправки запросов, просмотра ответов сервера через web-браузер. Открытие web-</w:t>
      </w:r>
      <w:r>
        <w:rPr>
          <w:sz w:val="24"/>
        </w:rPr>
        <w:t xml:space="preserve">страницы производится посредством обращения через web-браузер к адресу вида http://&lt;хост&gt;:&lt;порт&gt;/docs, например http://localhost:8000/docs. Альтернативная форма документации доступна по адресу /redoc, машинночитаемая спецификация – по адресу /openapi.json.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Web-страница документации относится к серверу приложений: сервис-шлюз передаёт только пути с префиксом /api, поэтому страницы /docs, /redoc и /openapi.json доступны при наличии у опера</w:t>
      </w:r>
      <w:r>
        <w:rPr>
          <w:sz w:val="24"/>
        </w:rPr>
        <w:t xml:space="preserve">тора сетевого доступа к узлу сервера приложений во внутренней сети (в отладочном развёртывании – на том же узле, что и комплекс). При работе в промышленной эксплуатации через сервис-шлюз запросы выполняются утилитой curl или инструментом работы с REST API.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При открытии страницы документации выводится перечень методов, сгруппированных по тегам (теги соответствуют фу</w:t>
      </w:r>
      <w:r>
        <w:rPr>
          <w:sz w:val="24"/>
        </w:rPr>
        <w:t xml:space="preserve">нкциональным разделам: «Система», «File Import», «Datasets», «Loads», «ML models», «Task service» и др.). Методы сортируются по типу запроса, теги – по алфавиту. Служебные методы проверки работоспособности и сведений о сборке находятся в разделе «Система».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Страница документации подгружает статические ресурсы оформления из внешних сетей доставки контента. При работе в изолированной корпоративной сети стра</w:t>
      </w:r>
      <w:r>
        <w:rPr>
          <w:sz w:val="24"/>
        </w:rPr>
        <w:t xml:space="preserve">ница может отобразиться некорректно или не открыться; в этом случае для выполнения запросов используется утилита curl или инструмент работы с REST API (п. 3.3), а состав методов уточняется по файлу спецификации openapi.json или по Руководству программиста.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58" w:name="_Toc233624842"/>
      <w:r/>
      <w:bookmarkStart w:id="59" w:name="scroll-bookmark-11"/>
      <w:r/>
      <w:bookmarkStart w:id="60" w:name="_Toc256000033"/>
      <w:r>
        <w:rPr>
          <w:b/>
          <w:i w:val="0"/>
          <w:color w:val="000000" w:themeColor="text1"/>
          <w:sz w:val="24"/>
          <w:szCs w:val="28"/>
        </w:rPr>
        <w:t xml:space="preserve">Пример проверки работоспособности сервера с использованием интерфейса Swagger</w:t>
      </w:r>
      <w:bookmarkEnd w:id="58"/>
      <w:r/>
      <w:bookmarkEnd w:id="59"/>
      <w:r/>
      <w:bookmarkEnd w:id="60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Шаги выполнения: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1. Открыть страницу документации (п. 3.4) по адресу http://localhost:8000/docs.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2. В разделе «Система» найти метод GET /health.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3. Раскрыть метод и нажать кнопку «Try it out», затем «Execute».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Ожидаемый результат: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код ответа 200;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тело ответа: {"status": "OK", "environment": "&lt;окружение&gt;"}, где значение поля environment определяется конфигурацией развёртывания (dev, demo или prod).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61" w:name="_Toc233624838_Copy_7"/>
      <w:r/>
      <w:bookmarkStart w:id="62" w:name="scroll-bookmark-7_Copy_7"/>
      <w:r/>
      <w:bookmarkStart w:id="63" w:name="_Toc256000029_Copy_7"/>
      <w:r>
        <w:rPr>
          <w:b/>
          <w:i w:val="0"/>
          <w:color w:val="000000" w:themeColor="text1"/>
          <w:sz w:val="24"/>
          <w:szCs w:val="32"/>
        </w:rPr>
        <w:t xml:space="preserve">3.5. Параметрирование запросов</w:t>
      </w:r>
      <w:bookmarkEnd w:id="61"/>
      <w:r/>
      <w:bookmarkEnd w:id="62"/>
      <w:r/>
      <w:bookmarkEnd w:id="63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Результат работы методов комплекса определяется параметрами запроса. Ниже приведены параметры, влияющие на результат, и их значения по умолчанию. Полные схемы запросов приведены в Руководстве программиста.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Порог классификации (threshold).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Параметр threshold задаётся в диапазоне от 0 до 1 и используется в методах проверки модели, инференса на датасете и синхронного предикта. Значение по умолчанию – 0.5. Результат классификации по каждому выходу модели формируется сравнением</w:t>
      </w:r>
      <w:r>
        <w:rPr>
          <w:sz w:val="24"/>
        </w:rPr>
        <w:t xml:space="preserve"> оценки достоверности (confidence) с порогом: признак detected принимает значение true, если confidence больше или равен threshold (п. 4.2.6). Увеличение порога повышает достоверность подтверждённых срабатываний и уменьшает их число, уменьшение – наоборот.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Параметры обучения модели.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Параметры метода запуска обучения приведены в таблице 4. Параметры аугментации задаются только парно: если указан один из них и не указан второй, запрос отклоняется с кодом 422. Поля, не предусмотренные схемой запроса, отклоняются (код 422).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4. </w:t>
      </w:r>
      <w:r>
        <w:rPr>
          <w:sz w:val="24"/>
        </w:rPr>
        <w:t xml:space="preserve">Параметры запуска обучения ML-модели</w:t>
      </w:r>
      <w:r/>
    </w:p>
    <w:tbl>
      <w:tblPr>
        <w:tblInd w:w="0" w:type="dxa"/>
        <w:tblW w:w="1019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8"/>
      </w:tblGrid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Параметр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Тип и обязательность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Значение по умолчанию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Ограничения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dataset_id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(UUID), 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–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идентификатор существующего датасета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epochs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50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от 1 до 1000 – число эпох обучения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batch_size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32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от 1 до 256 – размер порции данных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learning_rate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1e-7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больше 0, не больше 1 – скорость обучения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trained_model_name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–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непустая строка – имя новой модели, создаваемой по итогам обучения; если не указано, имя формируется автоматически (к имени исходной модели добавляется признак обучения)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augmentation_noise_percentage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задан (аугментация выключена)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больше 0, не больше 0,05 – доля шума при аугментации; задаётся только вместе с augmentation_num_samples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augmentation_num_samples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задан (аугментация выключена)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от 1 до 10 – число синтетических измерений; задаётся только вместе с augmentation_noise_percentage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preprocessing_converter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direct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direct, fft, stft – тип предобработки данных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quantization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объект, необязательный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не задан (без квантования)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enabled (логическое, по умолчанию false) – включение квантования с обучением; num_bits (целое, по умолчанию 8) – 4 или 8; symmetric (логическое, по умолчанию true)</w:t>
            </w:r>
            <w:r/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Параметры пересчёта данных АЦП при синхронном предикте.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При выполнении синхронного предикта (п. 4.2.6) пересчёт переданных сигналов в физические величины выпо</w:t>
      </w:r>
      <w:r>
        <w:rPr>
          <w:sz w:val="24"/>
        </w:rPr>
        <w:t xml:space="preserve">лняется по параметрам, приведённым в таблице 5. Значения по умолчанию соответствуют данным стендовых измерений Индустриального партнёра; при отличии реальной съёмки параметры должны быть заданы в запросе – иначе результат идентификации будет недостоверным.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5. </w:t>
      </w:r>
      <w:r>
        <w:rPr>
          <w:sz w:val="24"/>
        </w:rPr>
        <w:t xml:space="preserve">Параметры пересчёта сигналов АЦП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429"/>
        <w:gridCol w:w="3056"/>
        <w:gridCol w:w="4720"/>
      </w:tblGrid>
      <w:tr>
        <w:trPr/>
        <w:tc>
          <w:tcPr>
            <w:shd w:val="clear" w:color="auto" w:fill="ffffff" w:themeFill="background1"/>
            <w:tcBorders/>
            <w:tcW w:w="2429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Параметр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3056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Значение по умолчанию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4720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Назначение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429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U_mult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0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721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7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множитель пересчёта сигналов напряжения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429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U_dev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30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7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делитель пересчёта сигналов напряжения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429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I_mult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0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25000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7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множитель пересчёта сигналов тока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429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I_dev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0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66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7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делитель пересчёта сигналов тока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429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byte_order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0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Little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7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порядок байт при кодировании сигналов: Little или Big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429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signal_bytes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0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3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7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число байт в одном отсчёте канала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2429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threshold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30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0.5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472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порог классификации (от 0 до 1)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Параметры файлов данных.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Параметры, характеризующие съёмку и кодирование сигна</w:t>
      </w:r>
      <w:r>
        <w:rPr>
          <w:sz w:val="24"/>
        </w:rPr>
        <w:t xml:space="preserve">лов в файлах данных (ADC_scale, ADC_max, byte_order, signal_bytes, coding), описаны в п. 3.6. Значения ADC_scale и ADC_max при отсутствии в файле принимаются равными 0,93 и 2097152 (2 в 21-й степени), byte_order – Little, signal_bytes – 3, coding – Base64.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Фильтры и постраничная выдача.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Списочные методы принимают параметры ф</w:t>
      </w:r>
      <w:r>
        <w:rPr>
          <w:sz w:val="24"/>
        </w:rPr>
        <w:t xml:space="preserve">ильтрации, а методы задач, нагрузок и моделей – параметры постраничной выдачи. Состав фильтров приведён в таблице 6. Обратите внимание: списки файлов и датасетов возвращаются целиком (без постраничной выдачи) с полем count – общим числом найденных записей.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6. </w:t>
      </w:r>
      <w:r>
        <w:rPr>
          <w:sz w:val="24"/>
        </w:rPr>
        <w:t xml:space="preserve">Фильтры и постраничная выдача списочных методов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Метод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Параметры фильтрации и выдачи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GET /api/data/files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id (UUID файла), file_name (имя файла), import_date (дата импорта, формат ГГГГ-ММ-ДД; отбор по началу суток), file_type (RAW, LOADS, H5, REPORT_ZIP). Постраничная выдача не предусмотрена; в ответе – список files и общее число записей count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GET /api/datasets/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name (имя), creation_date (дата создания), description (описание), type (тип датасета – direct_fill). Постраничная выдача не предусмотрена; в ответе – список datasets и число записей count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GET /api/loads/list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category (категория нагрузки), load_id (идентификатор нагрузки), description_search (поиск по описанию), limit (размер страницы), offset (смещение). В ответе – список loads, общее число записей result_size, переданные limit и offset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GET /api/ml_models/models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model_id, architecture (архитектура), version (версия), name (имя), phase_type (тип фазы – single или three), output_size (число выходов), device_id (идентификатор устройства). В ответе – список models и число записей count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GET /api/tasks/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task_type (тип задачи), status (статус задачи), start_date и end_date (период создания), limit (от 1 до 1000, по умолчанию 100), offset (смещение, по умолчанию 0). В ответе – список tasks и число записей count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GET /api/ml_models/find_params/population/{population_id}/mutated_models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is_show_best, is_show_normal, is_show_discarded, is_show_failed (логические, по умолчанию true – показывать конфигурации с соответствующей меткой), descending (логическое, по умолчанию false – порядок от лучшего к худшему)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64" w:name="scroll-bookmark-7_Copy_8"/>
      <w:r/>
      <w:bookmarkStart w:id="65" w:name="_Toc256000029_Copy_8"/>
      <w:r/>
      <w:bookmarkStart w:id="66" w:name="_Toc233624838_Copy_8"/>
      <w:r>
        <w:rPr>
          <w:b/>
          <w:i w:val="0"/>
          <w:color w:val="000000" w:themeColor="text1"/>
          <w:sz w:val="24"/>
          <w:szCs w:val="32"/>
        </w:rPr>
        <w:t xml:space="preserve">3.6. Требования к входным наборам данных</w:t>
      </w:r>
      <w:bookmarkEnd w:id="64"/>
      <w:r/>
      <w:bookmarkEnd w:id="65"/>
      <w:r/>
      <w:bookmarkEnd w:id="66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Входные наборы данных представляются в виде CSV-файлов и загружаются методом POST /api/data/file с ука</w:t>
      </w:r>
      <w:r>
        <w:rPr>
          <w:sz w:val="24"/>
        </w:rPr>
        <w:t xml:space="preserve">занием типа файла (RAW – данные измерений, LOADS – данные разметки). Файлы моделей (H5) и архивы отчётов формируются комплексом и загружаются методом загрузки модели (п. 4.2.11); вручную через метод загрузки файла передаются только файлы типов RAW и LOADS.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Требования к файлам данных: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расширение файла – .csv; иные расширения отклоняются с кодом ответа 400;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кодировка – UTF-8;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разделитель полей – точка с запятой (;);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первая строка – строка заголовка с именами полей; регистр имён не важен; отсутствие обязательного поля приводит к отказу в загрузке (код ответа 400) с перечислением отсутствующих полей;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загрузка выполняется по одному файлу; пакетная загрузка (архивом) не поддерживается.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67" w:name="_Toc256000033_Copy_1"/>
      <w:r/>
      <w:bookmarkStart w:id="68" w:name="scroll-bookmark-11_Copy_1"/>
      <w:r/>
      <w:bookmarkStart w:id="69" w:name="_Toc233624842_Copy_1"/>
      <w:r>
        <w:rPr>
          <w:b/>
          <w:i w:val="0"/>
          <w:color w:val="000000" w:themeColor="text1"/>
          <w:sz w:val="24"/>
          <w:szCs w:val="28"/>
        </w:rPr>
        <w:t xml:space="preserve">Файлы данных измерений (RAW)</w:t>
      </w:r>
      <w:bookmarkEnd w:id="67"/>
      <w:r/>
      <w:bookmarkEnd w:id="68"/>
      <w:r/>
      <w:bookmarkEnd w:id="69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Состав пол</w:t>
      </w:r>
      <w:r>
        <w:rPr>
          <w:sz w:val="24"/>
        </w:rPr>
        <w:t xml:space="preserve">ей файла данных измерений (RAW) приведён в таблице 7. Обязательными являются поля от chunkID до I_C_signal включительно, за исключением ADC_scale и ADC_max: эти два поля могут отсутствовать, при их отсутствии принимаются значения по умолчанию (см. п. 3.5).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7. </w:t>
      </w:r>
      <w:r>
        <w:rPr>
          <w:sz w:val="24"/>
        </w:rPr>
        <w:t xml:space="preserve">Состав полей файла данных измерений (RAW)</w:t>
      </w:r>
      <w:r/>
    </w:p>
    <w:tbl>
      <w:tblPr>
        <w:tblInd w:w="0" w:type="dxa"/>
        <w:tblW w:w="1019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8"/>
      </w:tblGrid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Поле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Тип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Пример значения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Пояснение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chunkID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GUID128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8e123cc0-bf1d-4109-bdf9-17cee41ea522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Уникальный идентификатор записи (строки) во входном наборе данных. Назначается стендом разметки данных при записи исходного набора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timestamp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 (Unix-время)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1744903515648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Время начала записи, Unix Timestamp UTC+0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U_A_rms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223.05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Напряжение фазы A, В, в диапазоне 0…300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U_B_rms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223.06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Напряжение фазы B, В, в диапазоне 0…300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U_C_rms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223.07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Напряжение фазы C, В, в диапазоне 0…300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I_A_rms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0.55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Ток фазы A, А, в диапазоне 0…100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I_B_rms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20.56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Ток фазы B, А, в диапазоне 0…100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I_C_rms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10.67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Ток фазы C, А, в диапазоне 0…100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sample_rate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целое, Гц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25600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Частота дискретизации АЦП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signal_length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2048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Количество отсчётов в окне выборки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channel_mask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b00111111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Указывает, по скольким каналам переданы сигналы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signal_bytes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3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 байт в одном отсчёте канала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byte_order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Little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Порядок байт при кодировании сигналов: Little, Big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coding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Base64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Способ кодирования сигналов: Base64, Hex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ADC_scale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число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0.93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Максимальное напряжение на входе АЦП, В. Поле необязательное; при отсутствии принимается значение 0,93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ADC_max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2097152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Максимальное «сырое» значение на выходе АЦП. Поле необязательное; при отсутствии принимается значение 2097152 (2 в 21-й степени)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U_mult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23147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Множитель перевода сигналов напряжения в вольты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U_dev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47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Делитель перевода сигналов напряжения в вольты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I_mult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25000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Множитель перевода сигналов тока в амперы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I_dev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целое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66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Делитель перевода сигналов тока в амперы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U_A_signal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(Base64 или Hex)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[…]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Канал измерения напряжения, фаза A: signal_bytes × signal_length байт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U_B_signal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(Base64 или Hex)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[…]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Канал измерения напряжения, фаза B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U_C_signal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(Base64 или Hex)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[…]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Канал измерения напряжения, фаза C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I_A_signal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(Base64 или Hex)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[…]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Канал измерения тока, фаза A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I_B_signal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(Base64 или Hex)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[…]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Канал измерения тока, фаза B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I_C_signal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(Base64 или Hex)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[…]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Канал измерения тока, фаза C</w:t>
            </w:r>
            <w:r/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70" w:name="_Toc233624842_Copy_2"/>
      <w:r/>
      <w:bookmarkStart w:id="71" w:name="scroll-bookmark-11_Copy_2"/>
      <w:r/>
      <w:bookmarkStart w:id="72" w:name="_Toc256000033_Copy_2"/>
      <w:r>
        <w:rPr>
          <w:b/>
          <w:i w:val="0"/>
          <w:color w:val="000000" w:themeColor="text1"/>
          <w:sz w:val="24"/>
          <w:szCs w:val="28"/>
        </w:rPr>
        <w:t xml:space="preserve">Файлы разметки (LOADS)</w:t>
      </w:r>
      <w:bookmarkEnd w:id="70"/>
      <w:r/>
      <w:bookmarkEnd w:id="71"/>
      <w:r/>
      <w:bookmarkEnd w:id="72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Состав полей файла разметки (LOADS) приведён в таблице 8. Допустимые значения поля Ph_n – Ph_A, Ph_B, Ph_C, Ph_E; строчные кириллические гомоглифы букв фаз (А, В, С, Е) автоматически приводятся к латинским. Записи разметки с недопустимым значением фазы </w:t>
      </w:r>
      <w:r>
        <w:rPr>
          <w:sz w:val="24"/>
        </w:rPr>
        <w:t xml:space="preserve">при заполнении датасета пропускаются, их число возвращается в результате задачи заполнения (п. 4.2.2). Значение поля Category – свободная строка; перечень классов нагрузки формируется по мере набора датасетов и уточняется по Приложению №2, таблица 1 к ЧТЗ.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8. </w:t>
      </w:r>
      <w:r>
        <w:rPr>
          <w:sz w:val="24"/>
        </w:rPr>
        <w:t xml:space="preserve">Состав полей файла разметки (LOADS)</w:t>
      </w:r>
      <w:r/>
    </w:p>
    <w:tbl>
      <w:tblPr>
        <w:tblInd w:w="0" w:type="dxa"/>
        <w:tblW w:w="1019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8"/>
      </w:tblGrid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Поле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Тип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Пример значения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Пояснение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markupID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GUID128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8e123cc0-bf1d-4109-bdf9-17cee41ea522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Уникальный идентификатор строки разметки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chunkID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GUID128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8e123cc0-bf1d-4109-bdf9-17cee41ea522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Ссылка на идентификатор записи (строки) в файле данных измерений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LoadID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GUID128 или строка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5090b651-3d60-4d72-9d8e-8539f2cce8d7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Идентификатор стендовой электрической нагрузки (запись справочника нагрузок)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Ph_n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UTF-8 (4 символа)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Ph_A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Фаза подключения: Ph_A, Ph_B, Ph_C, Ph_E (для трёхфазной разметки используется Ph_E)</w:t>
            </w:r>
            <w:r/>
          </w:p>
        </w:tc>
      </w:tr>
      <w:tr>
        <w:trPr/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Category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строка UTF-8</w:t>
            </w:r>
            <w:r/>
          </w:p>
        </w:tc>
        <w:tc>
          <w:tcPr>
            <w:tcBorders/>
            <w:tcW w:w="254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Электроотопительный прибор</w:t>
            </w:r>
            <w:r/>
          </w:p>
        </w:tc>
        <w:tc>
          <w:tcPr>
            <w:tcBorders/>
            <w:tcW w:w="2548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Категория (класс) нагрузки; перечень классов уточняется по Приложению №2, таблица 1 к ЧТЗ</w:t>
            </w:r>
            <w:r/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Связь файлов разметки с записями файла измерений выполняется по полю chunkID: значение поля chunkID строки разметки должно совпадать со значением поля chunkID соответству</w:t>
      </w:r>
      <w:r>
        <w:rPr>
          <w:sz w:val="24"/>
        </w:rPr>
        <w:t xml:space="preserve">ющей строки файла измерений. Значение поля LoadID должно соответствовать записи справочника нагрузок (п. 4.2.7); при отсутствии такой записи разметка сохраняется без привязки к справочнику, а число таких записей возвращается в результате задачи заполнения.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Сигналы передаются в полях U_A_signal … I_C_signal в виде текстовой строки с кодированием, указанным в поле coding (Base64 или Hex). Размер о</w:t>
      </w:r>
      <w:r>
        <w:rPr>
          <w:sz w:val="24"/>
        </w:rPr>
        <w:t xml:space="preserve">дного сигнала – signal_bytes × signal_length байт; длина строки кодирования определяется этими значениями (при кодировании Base64 длина строки приблизительно на треть больше размера сигнала). Все шесть сигналов в одной записи должны иметь одинаковую длину.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73" w:name="_Toc233624838_Copy_9"/>
      <w:r/>
      <w:bookmarkStart w:id="74" w:name="scroll-bookmark-7_Copy_9"/>
      <w:r/>
      <w:bookmarkStart w:id="75" w:name="_Toc256000029_Copy_9"/>
      <w:r>
        <w:rPr>
          <w:b/>
          <w:i w:val="0"/>
          <w:color w:val="000000" w:themeColor="text1"/>
          <w:sz w:val="24"/>
          <w:szCs w:val="32"/>
        </w:rPr>
        <w:t xml:space="preserve">3.7. Основы работы с комплексом: объекты и порядок действий</w:t>
      </w:r>
      <w:bookmarkEnd w:id="73"/>
      <w:r/>
      <w:bookmarkEnd w:id="74"/>
      <w:r/>
      <w:bookmarkEnd w:id="75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Работа оператора сводится к последовательности операций над взаимосвязанн</w:t>
      </w:r>
      <w:r>
        <w:rPr>
          <w:sz w:val="24"/>
        </w:rPr>
        <w:t xml:space="preserve">ыми объектами комплекса: файлами данных и разметки, набором данных (датасетом), ML-моделью, фоновыми задачами и отчётами. Ниже приведено назначение этих объектов и связи между ними; отдельные операции описаны в п. 4.2, комплексные примеры работ – в п. 4.3.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Файлы. Комплекс хранит файлы четырёх видов: RAW – данные измерений, LOADS – данные разметки, H5 – файлы ML-моделей, REPORT_ZIP – архивы отчётов, формируемые комплексом. Файлы RAW и LOADS загружает оператор (п. 4.2.1); файл H5 создаётся при обуч</w:t>
      </w:r>
      <w:r>
        <w:rPr>
          <w:sz w:val="24"/>
        </w:rPr>
        <w:t xml:space="preserve">ении модели либо загружается готовым (п. 4.2.8); архивы отчётов формируются автоматически при проверке модели и при инференсе. Перечень файлов с фильтрами возвращает метод GET /api/data/files, скачивание файла – метод GET /api/data/file/{file_id}/download.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Датасет. Набор данных формируетс</w:t>
      </w:r>
      <w:r>
        <w:rPr>
          <w:sz w:val="24"/>
        </w:rPr>
        <w:t xml:space="preserve">я из загруженных файлов: данные измерений декодируются, к ним сопоставляется разметка. Датасет с разметкой используется для обучения и проверки модели, датасет без разметки – только для инференса. Заполнение датасета выполняется фоновой задачей (п. 4.2.2).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Модель</w:t>
      </w:r>
      <w:r>
        <w:rPr>
          <w:sz w:val="24"/>
        </w:rPr>
        <w:t xml:space="preserve">. ML-модель – обученная искусственная нейронная сеть с фиксированным числом выходов; каждый выход соответствует одному типу нагрузки (классу), который различает модель. Число выходов (output_size) определяется составом классов в разметке обучающего датасет</w:t>
      </w:r>
      <w:r>
        <w:rPr>
          <w:sz w:val="24"/>
        </w:rPr>
        <w:t xml:space="preserve">а, перечень классов уточняется по Приложению №2 к ЧТЗ. Закрепление выходов за конкретными устройствами учёта (связи выходов) задаётся при создании модели, человекочитаемые имена выходов (signal_aliases) используются в отчётах и в результатах идентификации.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Обучение создаё</w:t>
      </w:r>
      <w:r>
        <w:rPr>
          <w:sz w:val="24"/>
        </w:rPr>
        <w:t xml:space="preserve">т новую модель. Результатом обучения является новая сущность модели: исходная модель не изменяется и остаётся доступной. Поэтому в комплексе одновременно существуют несколько версий одной модели – их можно сравнивать между собой и применять по отдельности.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Фоновые задачи. Заполнение датасета, обучение, проверка модели, инференс и подбор гиперпараметров выполняются в фоне: метод запуска возвращае</w:t>
      </w:r>
      <w:r>
        <w:rPr>
          <w:sz w:val="24"/>
        </w:rPr>
        <w:t xml:space="preserve">т идентификатор задачи (task_id), а сведения о ходе выполнения и результат оператор получает методом GET /api/tasks/{task_id}. Выполнение задачи можно приостановить, возобновить и аварийно прервать; статусы задач и действия оператора приведены в п. 4.2.11.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Проверка модели и инференс – разные операции. Проверка (тестирование) выполняется на датасете с разметкой и отвечает на вопрос, насколько верно модель различает н</w:t>
      </w:r>
      <w:r>
        <w:rPr>
          <w:sz w:val="24"/>
        </w:rPr>
        <w:t xml:space="preserve">агрузки: её результат – показатели качества и отчёт с разбором ошибок (п. 3.8). Инференс выполняется на датасете без разметки и отвечает на вопрос, что модель определила в этих данных: его результат – таблица предсказаний по проверенным записям (п. 4.2.5).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Синхронный предикт. Для проверки работы модели на одном измерении, без формирования датасета, использует</w:t>
      </w:r>
      <w:r>
        <w:rPr>
          <w:sz w:val="24"/>
        </w:rPr>
        <w:t xml:space="preserve">ся синхронный предикт: в запросе передаются шесть сигналов одного измерения, в ответе по каждому выходу модели возвращаются фаза подключения, оценка достоверности и признак срабатывания (п. 4.2.6). Запрос обрабатывается сразу, задача в очередь не ставится.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Режимы применения модели. Обучение, проверка и эксп</w:t>
      </w:r>
      <w:r>
        <w:rPr>
          <w:sz w:val="24"/>
        </w:rPr>
        <w:t xml:space="preserve">орт модели выполняются на сервере комплекса; применение модели на приборе учёта относится к режиму «Идентификация.Эксплуатация» и выполняется вне границ ПК ОТН. Комплекс готовит модель и передаёт её Индустриальному партнёру в форматах H5 и ONNX (п. 4.2.7).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Роли и разграничение доступа. Комплекс</w:t>
      </w:r>
      <w:r>
        <w:rPr>
          <w:sz w:val="24"/>
        </w:rPr>
        <w:t xml:space="preserve"> поддерживает три роли: Администратор (учётные записи и матрица прав), Менеджер (операции с файлами, датасетами, моделями и задачами), Абонент (просмотр сведений и результатов) – таблица 2. Оператор, выполняющий полный цикл работ, работает в роли Менеджер.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Типовой порядок работ: загрузить файлы данных измерений и разметки (п. 4.2.1); заполнить датасет (п. 4.2.2); создать модель и запустить о</w:t>
      </w:r>
      <w:r>
        <w:rPr>
          <w:sz w:val="24"/>
        </w:rPr>
        <w:t xml:space="preserve">бучение (п. 4.2.3); проверить модель на датасете с разметкой и оценить показатели качества (пп. 4.2.4, 3.8); при приемлемом качестве применить модель (инференс, синхронный предикт) и (или) экспортировать её для передачи Индустриальному партнёру (п. 4.2.7).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76" w:name="_Toc233624838_Copy_10"/>
      <w:r/>
      <w:bookmarkStart w:id="77" w:name="scroll-bookmark-7_Copy_10"/>
      <w:r/>
      <w:bookmarkStart w:id="78" w:name="_Toc256000029_Copy_10"/>
      <w:r>
        <w:rPr>
          <w:b/>
          <w:i w:val="0"/>
          <w:color w:val="000000" w:themeColor="text1"/>
          <w:sz w:val="24"/>
          <w:szCs w:val="32"/>
        </w:rPr>
        <w:t xml:space="preserve">3.8. Показатели качества модели и отчёт тестирования</w:t>
      </w:r>
      <w:bookmarkEnd w:id="76"/>
      <w:r/>
      <w:bookmarkEnd w:id="77"/>
      <w:r/>
      <w:bookmarkEnd w:id="78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Показатели качества мо</w:t>
      </w:r>
      <w:r>
        <w:rPr>
          <w:sz w:val="24"/>
        </w:rPr>
        <w:t xml:space="preserve">дели формируются при её проверке (тестировании) – п. 4.2.4. Проверка выполняется на датасете с разметкой при заданном пороге классификации; обучение модели показателей качества не формирует, поэтому для оценки качества модель необходимо проверить отдельно.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Где посмотреть результат. Показатели доступны в трёх местах: в ре</w:t>
      </w:r>
      <w:r>
        <w:rPr>
          <w:sz w:val="24"/>
        </w:rPr>
        <w:t xml:space="preserve">зультате задачи проверки (GET /api/tasks/{task_id}) – поле accuracies (точность по каждой проверенной модели), поле counters (счётчики проверки, в том числе ложные срабатывания и пропуски в целом по модели) и перечень файлов отчётов (file_ids, file_names);</w:t>
      </w:r>
      <w:r>
        <w:rPr>
          <w:sz w:val="24"/>
        </w:rPr>
        <w:t xml:space="preserve"> в сведениях о модели (GET /api/ml_models/models/{model_id}) – история проверок модели (дата, идентификатор датасета, точность, идентификатор файла отчёта); в самом отчёте – архив REPORT_ZIP, который скачивается по идентификатору файла (пп. 4.2.4, 4.2.13).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Состав отчёта. Отчёт содержит сведения о модели и условиях проверки (архитектура, тип фазы, версия, число выходов, целевые устройства, датасет, дата проверки, порог, параметры модели, статистика датасета, перечень выходов с имена</w:t>
      </w:r>
      <w:r>
        <w:rPr>
          <w:sz w:val="24"/>
        </w:rPr>
        <w:t xml:space="preserve">ми и закреплёнными устройствами учёта); перечень неверно распознанных чанков с указанием идентификатора данных, фактических и предсказанных классов; итоговую статистику (всего чанков, чанков с разметкой, правильно распознано, ошибок распознавания, точность</w:t>
      </w:r>
      <w:r>
        <w:rPr>
          <w:sz w:val="24"/>
        </w:rPr>
        <w:t xml:space="preserve">, время выполнения); статистику по выходам; при числе выходов не более четырёх – дополнительно разбивку ошибок по полному выходному вектору модели (сколько раз ошибка по данному выходу сопровождалась тем или иным сочетанием срабатываний остальных выходов).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Как читать показатели. Точность – доля правильно распознанных чанков от общего числа проверенных; она приведена в итоговой статистике отчёта и в истории проверок модели. Ложноположительное срабатывание (FP) – модель определила нагрузку там, где </w:t>
      </w:r>
      <w:r>
        <w:rPr>
          <w:sz w:val="24"/>
        </w:rPr>
        <w:t xml:space="preserve">её нет; ложноотрицательное (FN) – не определила фактически присутствующую. Разбивка по выходам показывает, какие именно типы нагрузки модель различает хуже; разбивка по выходному вектору – с какими сочетаниями срабатываний связана ошибка по данному выходу.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Условия сопоставимости. Показатели сравнимы только при одинаковых условиях проверки: один и тот же датасет,</w:t>
      </w:r>
      <w:r>
        <w:rPr>
          <w:sz w:val="24"/>
        </w:rPr>
        <w:t xml:space="preserve"> один и тот же порог, одна и та же модель. Сравнивать значения точности, полученные на разных датасетах, нельзя: значение точности определяется в том числе составом и сложностью датасета. Для сравнения версий модели их проверяют на одном и том же датасете.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Влияние порога. Порог классификации (п. 3.5) определяет, при какой оценке достоверности срабатывание считается состоявшимся. Увеличение порога уменьшает число </w:t>
      </w:r>
      <w:r>
        <w:rPr>
          <w:sz w:val="24"/>
        </w:rPr>
        <w:t xml:space="preserve">срабатываний и долю ложноположительных, но увеличивает долю ложноотрицательных; уменьшение действует обратно. Порог задаётся в запросе проверки и инференса, поэтому одну и ту же модель можно проверить несколько раз при разных порогах и сравнить результаты.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Чт</w:t>
      </w:r>
      <w:r>
        <w:rPr>
          <w:sz w:val="24"/>
        </w:rPr>
        <w:t xml:space="preserve">о влияет на качество и что делать при низких показателях. На качество влияют состав и объём датасета, полнота и правильность разметки, параметры обучения (число эпох, размер порции, аугментация, квантование). Если показатели ниже ожидаемых: убедиться, что </w:t>
      </w:r>
      <w:r>
        <w:rPr>
          <w:sz w:val="24"/>
        </w:rPr>
        <w:t xml:space="preserve">датасет проверки не использовался при обучении модели; проверить разметку на пропуски и ошибочные метки; оценить представительность классов (редкие классы распознаются хуже); при необходимости изменить параметры обучения и обучить модель заново (п. 4.2.3).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Критериальные значения. Числовые критерии по типам</w:t>
      </w:r>
      <w:r>
        <w:rPr>
          <w:sz w:val="24"/>
        </w:rPr>
        <w:t xml:space="preserve"> нагрузки (достоверность оценки) устанавливает Заказчик; они приводятся в Приложении №2 к ЧТЗ и уточняются на этапе технического проектирования. Показатели используются для сравнения моделей между собой и для контроля изменения качества от версии к версии.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Ограничение. Точность, приведённая в отчёте, получена на конкретном датасете проверки и при конкретном пороге; она не гарантирует такое же качество на других данных. Изменение состава классов (разметки) или условий съёмки требует повторной проверки модели.</w:t>
      </w:r>
      <w:r>
        <w:br w:type="page" w:clear="all"/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b/>
          <w:color w:val="000000" w:themeColor="text1"/>
          <w:sz w:val="36"/>
          <w:szCs w:val="36"/>
        </w:rPr>
      </w:pPr>
      <w:r/>
      <w:bookmarkStart w:id="79" w:name="_Toc256000038"/>
      <w:r/>
      <w:bookmarkStart w:id="80" w:name="scroll-bookmark-16"/>
      <w:r/>
      <w:bookmarkStart w:id="81" w:name="_Toc233624847"/>
      <w:r>
        <w:rPr>
          <w:b/>
          <w:i w:val="0"/>
          <w:color w:val="000000" w:themeColor="text1"/>
          <w:sz w:val="24"/>
          <w:szCs w:val="36"/>
        </w:rPr>
        <w:t xml:space="preserve">4. ОСНОВНЫЕ СЦЕНАРИИ ПРИМЕНЕНИЯ</w:t>
      </w:r>
      <w:bookmarkEnd w:id="79"/>
      <w:r/>
      <w:bookmarkEnd w:id="80"/>
      <w:r/>
      <w:bookmarkEnd w:id="81"/>
      <w:r>
        <w:rPr>
          <w:b/>
          <w:color w:val="000000" w:themeColor="text1"/>
          <w:sz w:val="36"/>
          <w:szCs w:val="36"/>
        </w:rPr>
      </w:r>
      <w:r>
        <w:rPr>
          <w:b/>
          <w:color w:val="000000" w:themeColor="text1"/>
          <w:sz w:val="36"/>
          <w:szCs w:val="36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В разделе приведены типовые сценарии работы оператора с комплексом. Каждый сценарий опи</w:t>
      </w:r>
      <w:r>
        <w:rPr>
          <w:sz w:val="24"/>
        </w:rPr>
        <w:t xml:space="preserve">сан таблицей со следующими строками: название, участники и требуемая роль, предусловия, основной поток (последовательность действий с указанием методов API), результат, пост-условие и отказные ситуации (наиболее частые причины отказа и действия оператора).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82" w:name="_Toc233624838_Copy_11"/>
      <w:r/>
      <w:bookmarkStart w:id="83" w:name="scroll-bookmark-7_Copy_11"/>
      <w:r/>
      <w:bookmarkStart w:id="84" w:name="_Toc256000029_Copy_11"/>
      <w:r>
        <w:rPr>
          <w:b/>
          <w:i w:val="0"/>
          <w:color w:val="000000" w:themeColor="text1"/>
          <w:sz w:val="24"/>
          <w:szCs w:val="32"/>
        </w:rPr>
        <w:t xml:space="preserve">4.1. Перечень сценариев</w:t>
      </w:r>
      <w:bookmarkEnd w:id="82"/>
      <w:r/>
      <w:bookmarkEnd w:id="83"/>
      <w:r/>
      <w:bookmarkEnd w:id="84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Перечень основных сценариев работы оператора приведён в таблице 9.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9. </w:t>
      </w:r>
      <w:r>
        <w:rPr>
          <w:sz w:val="24"/>
        </w:rPr>
        <w:t xml:space="preserve">Перечень сценариев работы оператора</w:t>
      </w:r>
      <w:r/>
    </w:p>
    <w:tbl>
      <w:tblPr>
        <w:tblInd w:w="0" w:type="dxa"/>
        <w:tblW w:w="1019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6"/>
        <w:gridCol w:w="2459"/>
        <w:gridCol w:w="2786"/>
        <w:gridCol w:w="2786"/>
        <w:gridCol w:w="1716"/>
      </w:tblGrid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№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Название сценария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Цель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Результат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b/>
                <w:sz w:val="18"/>
              </w:rPr>
              <w:t xml:space="preserve">Роль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Загрузка входных данных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Загрузить файлы данных измерений и разметки в хранилище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Файлы доступны в системе (список файлов)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2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Создание и заполнение датасета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Сформировать датасет из загруженных файлов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Датасет с декодированными данными и разметкой, готовый к обучению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3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Создание и обучение ML-модели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Создать модель и обучить её на датасете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Новая обученная модель (сущность модели с метриками обучения)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4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Проверка (тестирование) модели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Оценить качество модели на тестовом датасете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Метрики качества и архив отчёта тестирования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5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Инференс модели на датасете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Получить результаты классификации по всем записям датасета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Результаты классификации и архив отчёта инференса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6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Проверка определения типа нагрузки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Получить результат идентификации по одному измерению (6 сигналов)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Оценки достоверности и признак срабатывания по выходам модели с перечнем устройств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7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Экспорт ML-модели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Получить модель в форматах H5 и ONNX для передачи Индустриальному партнёру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Файлы модели H5 и ONNX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8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Загрузка готовой ML-модели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Зарегистрировать в системе модель, полученную вне комплекса (например, после сжатия)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Сущность модели с метаданными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9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Управление нагрузками (Loads)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Создать и изменить записи справочника нагрузок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Актуализированный справочник нагрузок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10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Подбор гиперпараметров (AutoML)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Подобрать конфигурацию модели по сетке правил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Популяция конфигураций, результаты селекции, сетка конфигураций в формате CSV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11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Управление фоновыми задачами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Наблюдать за выполнением задач, приостанавливать, возобновлять и аварийно прерывать их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Сведения о состоянии и результатах задач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Абонент (управление – Менеджер)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12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Удаление ресурсов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Удалить файлы, датасеты, модели и популяции, выведенные из работы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Ресурсы удалены из системы и хранилища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44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13</w:t>
            </w:r>
            <w:r/>
          </w:p>
        </w:tc>
        <w:tc>
          <w:tcPr>
            <w:tcBorders/>
            <w:tcW w:w="2459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Просмотр результатов и отчётов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Получить результаты идентификации, метрики и архивы отчётов</w:t>
            </w:r>
            <w:r/>
          </w:p>
        </w:tc>
        <w:tc>
          <w:tcPr>
            <w:tcBorders/>
            <w:tcW w:w="278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Файлы отчётов и результаты в системе</w:t>
            </w:r>
            <w:r/>
          </w:p>
        </w:tc>
        <w:tc>
          <w:tcPr>
            <w:tcBorders/>
            <w:tcW w:w="1716" w:type="dxa"/>
            <w:textDirection w:val="lrTb"/>
            <w:noWrap w:val="false"/>
          </w:tcPr>
          <w:p>
            <w:pPr>
              <w:pStyle w:val="1720"/>
              <w:pBdr/>
              <w:spacing/>
              <w:ind w:firstLine="0"/>
              <w:rPr/>
            </w:pPr>
            <w:r>
              <w:rPr>
                <w:sz w:val="18"/>
              </w:rPr>
              <w:t xml:space="preserve">Абонент</w:t>
            </w:r>
            <w:r/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85" w:name="_Toc233624838_Copy_12"/>
      <w:r/>
      <w:bookmarkStart w:id="86" w:name="_Toc256000029_Copy_12"/>
      <w:r/>
      <w:bookmarkStart w:id="87" w:name="scroll-bookmark-7_Copy_12"/>
      <w:r>
        <w:rPr>
          <w:b/>
          <w:i w:val="0"/>
          <w:color w:val="000000" w:themeColor="text1"/>
          <w:sz w:val="24"/>
          <w:szCs w:val="32"/>
        </w:rPr>
        <w:t xml:space="preserve">4.2. Описание сценариев</w:t>
      </w:r>
      <w:bookmarkEnd w:id="85"/>
      <w:r/>
      <w:bookmarkEnd w:id="86"/>
      <w:r/>
      <w:bookmarkEnd w:id="87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Описание сценариев приведено в пп. 4.2.1–4.2.13. Примеры запросов приведены для отладочного развёртывания: адрес сервиса-шлюза – http://localhost:8082, запросы к методам комплекса вы</w:t>
      </w:r>
      <w:r>
        <w:rPr>
          <w:sz w:val="24"/>
        </w:rPr>
        <w:t xml:space="preserve">полняются по пути /api/* с заголовком Authorization: Bearer &lt;токен доступа&gt;. Идентификаторы ресурсов (файлов, датасетов, моделей, задач) – значения типа UUID; они возвращаются методами создания соответствующих ресурсов и указываются в последующих запросах.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Для методов, запускающих фоновые задачи, дальнейшая работа выполняется по идентификатору задачи (task_id): наблюде</w:t>
      </w:r>
      <w:r>
        <w:rPr>
          <w:sz w:val="24"/>
        </w:rPr>
        <w:t xml:space="preserve">ние за выполнением – методом GET /api/tasks/{task_id} (п. 4.2.11). Задачи обучения, проверки модели, инференса и заполнения датасета могут выполняться длительное время; продолжительность зависит от объёма датасета, архитектуры модели и числа эпох обучения.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88" w:name="_Toc233624842_Copy_3"/>
      <w:r/>
      <w:bookmarkStart w:id="89" w:name="scroll-bookmark-11_Copy_3"/>
      <w:r/>
      <w:bookmarkStart w:id="90" w:name="_Toc256000033_Copy_3"/>
      <w:r>
        <w:rPr>
          <w:b/>
          <w:i w:val="0"/>
          <w:color w:val="000000" w:themeColor="text1"/>
          <w:sz w:val="24"/>
          <w:szCs w:val="28"/>
        </w:rPr>
        <w:t xml:space="preserve">4.2.1. Загрузка входных данных</w:t>
      </w:r>
      <w:bookmarkEnd w:id="88"/>
      <w:r/>
      <w:bookmarkEnd w:id="89"/>
      <w:r/>
      <w:bookmarkEnd w:id="90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10. </w:t>
      </w:r>
      <w:r>
        <w:rPr>
          <w:sz w:val="24"/>
        </w:rPr>
        <w:t xml:space="preserve">Загрузка входных данных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Загрузка входных данных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Выполнен вход и получен токен доступа; подготовлены CSV-файлы данных измерений (RAW) и (при наличии) файлы разметки (LOADS), удовлетворяющие требованиям п. 3.6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Загрузить файл данных измерений: POST /api/data/file, в форме запроса указать file (файл), </w:t>
            </w:r>
            <w:r>
              <w:rPr>
                <w:rFonts w:eastAsia="Times New Roman"/>
                <w:sz w:val="24"/>
                <w:lang w:val="en-US" w:bidi="ar-SA"/>
              </w:rPr>
              <w:t xml:space="preserve">file_type = RAW, description (произвольное описание). 2. Повторить шаг 1 для каждого файла данных измерений. 3. Загрузить файлы разметки, указав file_type = LOADS. 4. Проверить состав загруженных файлов: GET /api/data/files (фильтры по типу и дате импорта)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Файлы сохранены в объектном хранилище, их метаданные доступны в списке файлов (код ответа 201, в теле ответа – id файла)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Идентификаторы файлов известны и используются при заполнении датасета (п. 4.2.2)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Файл не имеет расширения .csv, тип содержимо</w:t>
            </w:r>
            <w:r>
              <w:rPr>
                <w:rFonts w:eastAsia="Times New Roman"/>
                <w:sz w:val="24"/>
                <w:lang w:bidi="ar-SA"/>
              </w:rPr>
              <w:t xml:space="preserve">го не text/csv, в заголовке отсутствуют обязательные поля либо указан недопустимый file_type – код ответа 400, файл не сохраняется (см. таблицу 27). Пакетная загрузка нескольких файлов одним запросом (архивом) не поддерживается: файлы загружаются по одному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91" w:name="_Toc233624842_Copy_4"/>
      <w:r/>
      <w:bookmarkStart w:id="92" w:name="scroll-bookmark-11_Copy_4"/>
      <w:r/>
      <w:bookmarkStart w:id="93" w:name="_Toc256000033_Copy_4"/>
      <w:r>
        <w:rPr>
          <w:b/>
          <w:i w:val="0"/>
          <w:color w:val="000000" w:themeColor="text1"/>
          <w:sz w:val="24"/>
          <w:szCs w:val="28"/>
        </w:rPr>
        <w:t xml:space="preserve">4.2.2. Создание и заполнение датасета</w:t>
      </w:r>
      <w:bookmarkEnd w:id="91"/>
      <w:r/>
      <w:bookmarkEnd w:id="92"/>
      <w:r/>
      <w:bookmarkEnd w:id="93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11. </w:t>
      </w:r>
      <w:r>
        <w:rPr>
          <w:sz w:val="24"/>
        </w:rPr>
        <w:t xml:space="preserve">Создание и заполнение датасета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Создание и заполнение датасета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Загружены файлы данных измерений (RAW) и, при наличии разметки, файлы разметки (LOADS)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Создать датасет: POST /api/datasets/, тело запроса – {"name": "&lt;имя&gt;", "type": "direct_fill"} (поле type обязательно, единственное допустимое значение – direct_fill; поле descr</w:t>
            </w:r>
            <w:r>
              <w:rPr>
                <w:rFonts w:eastAsia="Times New Roman"/>
                <w:sz w:val="24"/>
                <w:lang w:val="en-US" w:bidi="ar-SA"/>
              </w:rPr>
              <w:t xml:space="preserve">iption необязательно). 2. Запустить заполнение: POST /api/datasets/fill/{dataset_id}, тело запроса – {"raw_file_ids": ["&lt;идентификатор файла&gt;", …], "markup_file_ids": ["&lt;идентификатор файла&gt;", …]} (поле markup_file_ids можно не указывать или передать пусты</w:t>
            </w:r>
            <w:r>
              <w:rPr>
                <w:rFonts w:eastAsia="Times New Roman"/>
                <w:sz w:val="24"/>
                <w:lang w:val="en-US" w:bidi="ar-SA"/>
              </w:rPr>
              <w:t xml:space="preserve">м – тогда датасет заполняется без разметки, что допускается для инференса, но не для обучения). 3. Отслеживать выполнение задачи: GET /api/tasks/{task_id} – ожидать статус completed в последней записи запуска. 4. Просмотреть результат заполнения (см. ниже)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Датасет заполнен: данные измерений декодированы, разметка сохранена (код ответа 202 на шаге 2, в теле ответа – task_id задачи типа dataset-fill)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Датасет пригоден для создания и обучения модели (п. 4.2.3)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Указаны несуществующие файлы или перепутаны списки файлов данных и разметки – код ответа 400, задача не с</w:t>
            </w:r>
            <w:r>
              <w:rPr>
                <w:rFonts w:eastAsia="Times New Roman"/>
                <w:sz w:val="24"/>
                <w:lang w:bidi="ar-SA"/>
              </w:rPr>
              <w:t xml:space="preserve">оздаётся (см. таблицу 27). Задача завершилась со статусом failed – причина в поле result записи запуска. В результате заполнения приводится: по данным измерений – число обработанных записей (total_records), перечень обработанных (loaded_files) и неуспешных</w:t>
            </w:r>
            <w:r>
              <w:rPr>
                <w:rFonts w:eastAsia="Times New Roman"/>
                <w:sz w:val="24"/>
                <w:lang w:bidi="ar-SA"/>
              </w:rPr>
              <w:t xml:space="preserve"> (failed_files) файлов; по разметке – число записей (total_records), число сохранённых записей (saved_records), число записей с недопустимой фазой (skipped_invalid_phase) и число записей, для которых не найдена нагрузка в справочнике (missing_external_ids)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94" w:name="_Toc233624842_Copy_5"/>
      <w:r/>
      <w:bookmarkStart w:id="95" w:name="scroll-bookmark-11_Copy_5"/>
      <w:r/>
      <w:bookmarkStart w:id="96" w:name="_Toc256000033_Copy_5"/>
      <w:r>
        <w:rPr>
          <w:b/>
          <w:i w:val="0"/>
          <w:color w:val="000000" w:themeColor="text1"/>
          <w:sz w:val="24"/>
          <w:szCs w:val="28"/>
        </w:rPr>
        <w:t xml:space="preserve">4.2.3. Создание и обучение ML-модели</w:t>
      </w:r>
      <w:bookmarkEnd w:id="94"/>
      <w:r/>
      <w:bookmarkEnd w:id="95"/>
      <w:r/>
      <w:bookmarkEnd w:id="96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12. </w:t>
      </w:r>
      <w:r>
        <w:rPr>
          <w:sz w:val="24"/>
        </w:rPr>
        <w:t xml:space="preserve">Создание и обучение ML-модели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Создание и обучение ML-модели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Заполнен датасет с разметкой; известна целевая архитектура модели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Получить перечень архитектур: GET /api/ml_models/architectures. 2. Создать модель: POST /api/ml_models/models, тело запроса – {"architecture": "&lt;архитектура&gt;", "name": "&lt;имя модели&gt;", "output_size": &lt;число выходов&gt;, "phase_type": "</w:t>
            </w:r>
            <w:r>
              <w:rPr>
                <w:rFonts w:eastAsia="Times New Roman"/>
                <w:sz w:val="24"/>
                <w:lang w:val="en-US" w:bidi="ar-SA"/>
              </w:rPr>
              <w:t xml:space="preserve">three", "signals": {"0": ["&lt;идентификатор нагрузки&gt;"]}, "signal_aliases": {"0": "&lt;имя выхода&gt;"}} (поля signals и signal_aliases необязательны). 3. Запустить обучение: POST /api/ml_models/models/{model_id}/train, тело запроса – {"dataset_id": "&lt;идентификато</w:t>
            </w:r>
            <w:r>
              <w:rPr>
                <w:rFonts w:eastAsia="Times New Roman"/>
                <w:sz w:val="24"/>
                <w:lang w:val="en-US" w:bidi="ar-SA"/>
              </w:rPr>
              <w:t xml:space="preserve">р датасета&gt;", "epochs": 50, "batch_size": 32} и, при необходимости, остальные параметры по таблице 4. 4. Отслеживать выполнение: GET /api/tasks/{task_id} – поле intermediate_result содержит этап, прогресс и номер текущей эпохи, поле status – текущий статус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 итогам обучения создаётся НОВАЯ сущность модели (исходная модель остаётся без изменений): сохраняется файл модели в формате H5, формируются метаданные новой модели и метрики обучения. В ответе на шаг</w:t>
            </w:r>
            <w:r>
              <w:rPr>
                <w:rFonts w:eastAsia="Times New Roman"/>
                <w:sz w:val="24"/>
                <w:lang w:bidi="ar-SA"/>
              </w:rPr>
              <w:t xml:space="preserve"> 3 возвращаются статус training_started, идентификатор задачи (task_id) и запрошенные параметры; в результате задачи – идентификаторы исходной и новой моделей (model_ids, new_model_ids), идентификаторы файлов моделей (file_ids) и метрики обучения (metrics)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Обученная модель доступна по идентификатору из поля new_model_ids: её можно проверить на тестовом датасете (п. 4.2.4), применить для инференса (пп. 4.2.5, 4.2.6) или экспортировать (п. 4.2.7)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Число выходов модели (output_size) определяется составом классов в разметке обучающего датасета: фиксированного соответствия «классы перечня нагрузок – номера выходов» </w:t>
            </w:r>
            <w:r>
              <w:rPr>
                <w:rFonts w:eastAsia="Times New Roman"/>
                <w:sz w:val="24"/>
                <w:lang w:bidi="ar-SA"/>
              </w:rPr>
              <w:t xml:space="preserve">нет, привязка выходов к устройствам учёта задаётся параметром signals (номер выхода – список идентификаторов нагрузок), человекочитаемые имена выходов – параметром signal_aliases. Неверная архитектура, тип фазы или недопустимые параметры обучения – код отв</w:t>
            </w:r>
            <w:r>
              <w:rPr>
                <w:rFonts w:eastAsia="Times New Roman"/>
                <w:sz w:val="24"/>
                <w:lang w:bidi="ar-SA"/>
              </w:rPr>
              <w:t xml:space="preserve">ета 422; отсутствие датасета или модели – код ответа 404; датасет без пригодных для обучения данных – код ответа 400. Параметры аугментации задаются только парно. Обучение может быть длительным; его можно приостановить, возобновить или прервать (п. 4.2.11)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97" w:name="_Toc233624842_Copy_6"/>
      <w:r/>
      <w:bookmarkStart w:id="98" w:name="_Toc256000033_Copy_6"/>
      <w:r/>
      <w:bookmarkStart w:id="99" w:name="scroll-bookmark-11_Copy_6"/>
      <w:r>
        <w:rPr>
          <w:b/>
          <w:i w:val="0"/>
          <w:color w:val="000000" w:themeColor="text1"/>
          <w:sz w:val="24"/>
          <w:szCs w:val="28"/>
        </w:rPr>
        <w:t xml:space="preserve">4.2.4. Проверка (тестирование) модели</w:t>
      </w:r>
      <w:bookmarkEnd w:id="97"/>
      <w:r/>
      <w:bookmarkEnd w:id="98"/>
      <w:r/>
      <w:bookmarkEnd w:id="99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13. </w:t>
      </w:r>
      <w:r>
        <w:rPr>
          <w:sz w:val="24"/>
        </w:rPr>
        <w:t xml:space="preserve">Проверка (тестирование) модели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Проверка (тестирование) модели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Есть обученная модель и датасет с разметкой, не использованный (или использованный отдельно) при обучении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Запустить проверку: POST /api/ml_models/{model_id}/check, тело запроса – {"dataset_id": "&lt;идентификатор датасета&gt;", "threshold": 0.5} (порог можно не указывать – принимается значение 0.5). 2. Отслеживать выполнение: GET /ap</w:t>
            </w:r>
            <w:r>
              <w:rPr>
                <w:rFonts w:eastAsia="Times New Roman"/>
                <w:sz w:val="24"/>
                <w:lang w:val="en-US" w:bidi="ar-SA"/>
              </w:rPr>
              <w:t xml:space="preserve">i/tasks/{task_id} (статус в ответе на шаг 1 – PENDING, тип задачи – model-testing). 3. По завершении задачи получить из её результата метрики (accuracies – точность по каждой проверенной модели, counters – счётчики по выходам, включая ложные срабатывания и</w:t>
            </w:r>
            <w:r>
              <w:rPr>
                <w:rFonts w:eastAsia="Times New Roman"/>
                <w:sz w:val="24"/>
                <w:lang w:val="en-US" w:bidi="ar-SA"/>
              </w:rPr>
              <w:t xml:space="preserve"> пропуски) и перечень файлов отчётов (file_ids, file_names). 4. Скачать архив отчёта: GET /api/data/file/{file_id}/download (файл вида model-&lt;идентификатор&gt;-&lt;дата-время&gt;.zip, содержит текстовый отчёт с итоговой статистикой и разбивкой по выходам и классам)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Получены метрики качества модели и архив отчёта тестирования (код ответа 202 на шаг 1)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Метрики сохранены в истории тестирования модели; архив отчёта доступен в списке файлов (тип REPORT_ZIP)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Отсутствие модели или датасета – код ответа 404; датасет без данных, пригодных для проверки – код ответа 400. Метрики формируются по завершении задачи; отдельного метода получения отчёта нет – архив скачивается по идентификатору файла из результата задачи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00" w:name="_Toc233624842_Copy_7"/>
      <w:r/>
      <w:bookmarkStart w:id="101" w:name="_Toc256000033_Copy_7"/>
      <w:r/>
      <w:bookmarkStart w:id="102" w:name="scroll-bookmark-11_Copy_7"/>
      <w:r>
        <w:rPr>
          <w:b/>
          <w:i w:val="0"/>
          <w:color w:val="000000" w:themeColor="text1"/>
          <w:sz w:val="24"/>
          <w:szCs w:val="28"/>
        </w:rPr>
        <w:t xml:space="preserve">4.2.5. Инференс модели на датасете</w:t>
      </w:r>
      <w:bookmarkEnd w:id="100"/>
      <w:r/>
      <w:bookmarkEnd w:id="101"/>
      <w:r/>
      <w:bookmarkEnd w:id="102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14. </w:t>
      </w:r>
      <w:r>
        <w:rPr>
          <w:sz w:val="24"/>
        </w:rPr>
        <w:t xml:space="preserve">Инференс модели на датасете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Инференс модели на датасете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Есть обученная модель и заполненный датасет (разметка не требуется)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Запустить инференс: POST /api/ml_models/</w:t>
            </w:r>
            <w:r>
              <w:rPr>
                <w:rFonts w:eastAsia="Times New Roman"/>
                <w:sz w:val="24"/>
                <w:lang w:val="en-US" w:bidi="ar-SA"/>
              </w:rPr>
              <w:t xml:space="preserve">models/{model_id}/inference, тело запроса – {"dataset_id": "&lt;идентификатор датасета&gt;", "threshold": 0.5}. 2. Отслеживать выполнение: GET /api/tasks/{task_id} (тип задачи – inference; промежуточный результат содержит этап: обработка данных или формирование </w:t>
            </w:r>
            <w:r>
              <w:rPr>
                <w:rFonts w:eastAsia="Times New Roman"/>
                <w:sz w:val="24"/>
                <w:lang w:val="en-US" w:bidi="ar-SA"/>
              </w:rPr>
              <w:t xml:space="preserve">отчёта, и число обработанных записей). 3. По завершении получить из результата задачи идентификатор архива отчёта (file_id) и число результатов классификации (total_predictions). 4. Скачать архив: GET /api/data/file/{file_id}/download (файл вида inference-</w:t>
            </w:r>
            <w:r>
              <w:rPr>
                <w:rFonts w:eastAsia="Times New Roman"/>
                <w:sz w:val="24"/>
                <w:lang w:val="en-US" w:bidi="ar-SA"/>
              </w:rPr>
              <w:t xml:space="preserve">&lt;идентификатор&gt;-&lt;дата-время&gt;.zip, содержит отчёт report.md и таблицу результатов предсказаний predictions.csv; по каждому обработанному фрагменту в таблице приведены номер выхода модели, фаза подключения, оценка достоверности и признак срабатывания порога)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Результаты классификации сохранены в системе (по каждому предсказанию – номер выхода модели, фаза подключения, оценка достоверности и признак срабатывания), сформирован архив отчёта инференса (код ответа 200 на шаг 1, статус в ответе – inference_started)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Архив отчёта доступен в списке файлов (тип REPORT_ZIP); результаты могут быть переданы внешней системе (ИСУЭ «ceCloud») в соответствии с регламентом информационного обмена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Отсутствие модели или датасета – код ответа 404. Инференс – длительная операция: её можно приостановить, возобновить или прервать (п. 4.2.11). При недостатке памяти обработчика задач задача завершается со статусом failed (см. таблицу 27)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03" w:name="_Toc233624842_Copy_8"/>
      <w:r/>
      <w:bookmarkStart w:id="104" w:name="scroll-bookmark-11_Copy_8"/>
      <w:r/>
      <w:bookmarkStart w:id="105" w:name="_Toc256000033_Copy_8"/>
      <w:r>
        <w:rPr>
          <w:b/>
          <w:i w:val="0"/>
          <w:color w:val="000000" w:themeColor="text1"/>
          <w:sz w:val="24"/>
          <w:szCs w:val="28"/>
        </w:rPr>
        <w:t xml:space="preserve">4.2.6. Проверка определения типа нагрузки (синхронный предикт)</w:t>
      </w:r>
      <w:bookmarkEnd w:id="103"/>
      <w:r/>
      <w:bookmarkEnd w:id="104"/>
      <w:r/>
      <w:bookmarkEnd w:id="105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15. </w:t>
      </w:r>
      <w:r>
        <w:rPr>
          <w:sz w:val="24"/>
        </w:rPr>
        <w:t xml:space="preserve">Проверка определения типа нагрузки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Проверка определения типа нагрузки (синхронный предикт)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Менеджер), внешняя система через REST API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Есть обученная модель; подготовлены шесть сигналов одного измерения (U_A, U_B, U_C, I_A, I_B, I_C) в кодировании Base64, одинаковой длины, не пустые; параметры пересчёта АЦП соответствуют реальной съёмке (таблица 5)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Выполнить запрос: POST /api/ml_models/models/{model_id}/inference/single, тело запроса – {"U_A_signal": "&lt;Base64&gt;", "U_B_signal": "&lt;Base64&gt;", "U_C_signal": "&lt;Base64&gt;", "I_A_signal": "&lt;Base64&gt;", "I_B_signal": "&lt;Base64&gt;", </w:t>
            </w:r>
            <w:r>
              <w:rPr>
                <w:rFonts w:eastAsia="Times New Roman"/>
                <w:sz w:val="24"/>
                <w:lang w:val="en-US" w:bidi="ar-SA"/>
              </w:rPr>
              <w:t xml:space="preserve">"I_C_signal": "&lt;Base64&gt;", "U_mult": …, "U_dev": …, "I_mult": …, "I_dev": …, "byte_order": "Little", "signal_bytes": 3, "threshold": 0.5}. 2. Разобрать ответ: для каждого выхода модели возвращается объект {ph_n, signal_num, device_ids, confidence, detected}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Список результатов по каждому выходу модели: фаза подключения (ph_n – Ph_A, Ph_B или Ph_C для однофазной модели: результат отнесён к фазе, на которой выполнено измерение; Ph_E для тр</w:t>
            </w:r>
            <w:r>
              <w:rPr>
                <w:rFonts w:eastAsia="Times New Roman"/>
                <w:sz w:val="24"/>
                <w:lang w:bidi="ar-SA"/>
              </w:rPr>
              <w:t xml:space="preserve">ёхфазной модели), номер выхода (signal_num), перечень устройств учёта, закреплённых за выходом (device_ids), оценка достоверности (confidence) и признак срабатывания (detected). Запрос обрабатывается синхронно, задача в очередь не ставится (код ответа 200)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Результат может быть передан внешней системе; для интерпретации результата используется справочник нагрузок и привязка выходов модели к устройствам (п. 4.2.7)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Сигналы разной длины, пустые сигналы или некорректный Base64 – код ответа 422 (см. таблицу 27). Несуществующая модель – код ответа 404. Признак detected формируется сравнением confidence с порогом: detected = true, если confidence больше или ра</w:t>
            </w:r>
            <w:r>
              <w:rPr>
                <w:rFonts w:eastAsia="Times New Roman"/>
                <w:sz w:val="24"/>
                <w:lang w:bidi="ar-SA"/>
              </w:rPr>
              <w:t xml:space="preserve">вен threshold. Если для выхода модели не заданы связи с устройствами (параметр signals), поле device_ids в ответе будет пустым, хотя результат формально корректен – такие результаты следует трактовать только по значению confidence и его сравнению с порогом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06" w:name="_Toc233624842_Copy_9"/>
      <w:r/>
      <w:bookmarkStart w:id="107" w:name="scroll-bookmark-11_Copy_9"/>
      <w:r/>
      <w:bookmarkStart w:id="108" w:name="_Toc256000033_Copy_9"/>
      <w:r>
        <w:rPr>
          <w:b/>
          <w:i w:val="0"/>
          <w:color w:val="000000" w:themeColor="text1"/>
          <w:sz w:val="24"/>
          <w:szCs w:val="28"/>
        </w:rPr>
        <w:t xml:space="preserve">4.2.7. Экспорт ML-модели</w:t>
      </w:r>
      <w:bookmarkEnd w:id="106"/>
      <w:r/>
      <w:bookmarkEnd w:id="107"/>
      <w:r/>
      <w:bookmarkEnd w:id="108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16. </w:t>
      </w:r>
      <w:r>
        <w:rPr>
          <w:sz w:val="24"/>
        </w:rPr>
        <w:t xml:space="preserve">Экспорт ML-модели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Экспорт ML-модели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Определена модель-кандидат для экспорта; сохранён основной файл модели в формате H5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Определить идентификатор модели: GET /api/ml_models/models (фильтры по имени, архитектуре, версии). 2. Получить идентификатор фа</w:t>
            </w:r>
            <w:r>
              <w:rPr>
                <w:rFonts w:eastAsia="Times New Roman"/>
                <w:sz w:val="24"/>
                <w:lang w:val="en-US" w:bidi="ar-SA"/>
              </w:rPr>
              <w:t xml:space="preserve">йла модели (поле file_id в сведениях о модели: GET /api/ml_models/models/{model_id}). 3. Скачать основной файл модели в формате H5: GET /api/data/file/{file_id}/download. 4. Получить модель в формате ONNX: GET /api/ml_models/models/{model_id}/download_onnx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Получены два файла модели: H5 (основной формат хранения) и ONNX (экспортный формат, имя файла – имя файла H5 с расширением .onnx)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Файлы модели передаются Индустриальному партнёру для загрузки в модули ИИ приборов учёта; сжатие модели и формирование встраиваемого кода выполняются вне границ ПК ОТН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Экспортная конвертация в формат ONNX выполняется синхронно в ходе запроса и может занимать за</w:t>
            </w:r>
            <w:r>
              <w:rPr>
                <w:rFonts w:eastAsia="Times New Roman"/>
                <w:sz w:val="24"/>
                <w:lang w:bidi="ar-SA"/>
              </w:rPr>
              <w:t xml:space="preserve">метное время; сведения о ходе конвертации и идентификатор задачи не формируются. Отсутствие модели или файла модели – код ответа 404; ошибка конвертации – код ответа 500 (повторить запрос позднее, при повторении – передать сведения системному программисту)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09" w:name="_Toc256000033_Copy_10"/>
      <w:r/>
      <w:bookmarkStart w:id="110" w:name="_Toc233624842_Copy_10"/>
      <w:r/>
      <w:bookmarkStart w:id="111" w:name="scroll-bookmark-11_Copy_10"/>
      <w:r>
        <w:rPr>
          <w:b/>
          <w:i w:val="0"/>
          <w:color w:val="000000" w:themeColor="text1"/>
          <w:sz w:val="24"/>
          <w:szCs w:val="28"/>
        </w:rPr>
        <w:t xml:space="preserve">4.2.8. Загрузка готовой ML-модели</w:t>
      </w:r>
      <w:bookmarkEnd w:id="109"/>
      <w:r/>
      <w:bookmarkEnd w:id="110"/>
      <w:r/>
      <w:bookmarkEnd w:id="111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17. </w:t>
      </w:r>
      <w:r>
        <w:rPr>
          <w:sz w:val="24"/>
        </w:rPr>
        <w:t xml:space="preserve">Загрузка готовой ML-модели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Загрузка готовой ML-модели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Получен файл модели в формате H5 (например, после сжатия вне границ комплекса); известны требуемые метаданные модели (архитектура, имя, число выходов, тип фазы, привязка выходов к устройствам)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Выполнить запрос: POST /api/ml_models/models/upload, передать файл модели (.h5) в поле file и метаданные модели в поле metadata (строка JSON с полями, соответствующими параметрам создания модели, кроме поля version – версия формируется комплексом)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Файл модели сохранён в хранилище, создана сущность модели с метаданными (код ответа 201)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Модель доступна для проверки (п. 4.2.4), инференса (пп. 4.2.5, 4.2.6) и экспорта (п. 4.2.7)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Некорректный JSON в поле metadata – код ответа 400; несоответствие состава метаданных схеме запроса – код ответа 422 с перечнем ошибок; внутренняя ошибка сохранения файла – код ответа 500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12" w:name="_Toc256000033_Copy_11"/>
      <w:r/>
      <w:bookmarkStart w:id="113" w:name="scroll-bookmark-11_Copy_11"/>
      <w:r/>
      <w:bookmarkStart w:id="114" w:name="_Toc233624842_Copy_11"/>
      <w:r>
        <w:rPr>
          <w:b/>
          <w:i w:val="0"/>
          <w:color w:val="000000" w:themeColor="text1"/>
          <w:sz w:val="24"/>
          <w:szCs w:val="28"/>
        </w:rPr>
        <w:t xml:space="preserve">4.2.9. Управление нагрузками (Loads)</w:t>
      </w:r>
      <w:bookmarkEnd w:id="112"/>
      <w:r/>
      <w:bookmarkEnd w:id="113"/>
      <w:r/>
      <w:bookmarkEnd w:id="114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18. </w:t>
      </w:r>
      <w:r>
        <w:rPr>
          <w:sz w:val="24"/>
        </w:rPr>
        <w:t xml:space="preserve">Управление нагрузками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Управление нагрузками (Loads)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Выполнен вход и получен токен доступа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Создать запись справочника нагрузок: POST /api/loads, тело запроса – {"load_id": "&lt;идентификатор нагрузки&gt;", "category": "&lt;категория&gt;", "description": "&lt;описание&gt;"}. 2. Получить перечень нагрузок: GET /api</w:t>
            </w:r>
            <w:r>
              <w:rPr>
                <w:rFonts w:eastAsia="Times New Roman"/>
                <w:sz w:val="24"/>
                <w:lang w:val="en-US" w:bidi="ar-SA"/>
              </w:rPr>
              <w:t xml:space="preserve">/loads/list (фильтры category, load_id, description_search; limit и offset – для постраничной выдачи). 3. Изменить запись: PUT /api/loads/{load_id}, тело запроса – {"category": "&lt;категория&gt;", "description": "&lt;описание&gt;"} (изменяются только переданные поля)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Актуализированный справочник нагрузок, доступный для разметки данных и интерпретации результатов идентификации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Записи справочника связываются с выходами модели параметром signals (номер выхода – список идентификаторов нагрузок): закреплённые за выходом нагрузки возвращаются в поле device_ids результата идентификации (п. 4.2.6)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Удаление записей справочника через API не предусмотрено (метод отсутствует). Поле фазы (Ph_n) в справочнике нагрузок не хранится – фаза указывается только в файлах разметки (п. 3.6). Поле c</w:t>
            </w:r>
            <w:r>
              <w:rPr>
                <w:rFonts w:eastAsia="Times New Roman"/>
                <w:sz w:val="24"/>
                <w:lang w:bidi="ar-SA"/>
              </w:rPr>
              <w:t xml:space="preserve">ategory – свободная строка; перечень категорий формируется по мере набора датасетов. При попытке изменить защищённую запись справочника (запись «прочие виды нагрузок», load_id = __OTHER__) возвращается код ответа 403; несуществующая запись – код ответа 404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15" w:name="_Toc233624842_Copy_12"/>
      <w:r/>
      <w:bookmarkStart w:id="116" w:name="scroll-bookmark-11_Copy_12"/>
      <w:r/>
      <w:bookmarkStart w:id="117" w:name="_Toc256000033_Copy_12"/>
      <w:r>
        <w:rPr>
          <w:b/>
          <w:i w:val="0"/>
          <w:color w:val="000000" w:themeColor="text1"/>
          <w:sz w:val="24"/>
          <w:szCs w:val="28"/>
        </w:rPr>
        <w:t xml:space="preserve">4.2.10. Подбор гиперпараметров (AutoML)</w:t>
      </w:r>
      <w:bookmarkEnd w:id="115"/>
      <w:r/>
      <w:bookmarkEnd w:id="116"/>
      <w:r/>
      <w:bookmarkEnd w:id="117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19. </w:t>
      </w:r>
      <w:r>
        <w:rPr>
          <w:sz w:val="24"/>
        </w:rPr>
        <w:t xml:space="preserve">Подбор гиперпараметров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Подбор гиперпараметров (AutoML)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Есть базовая модель с заполненной конфигурацией; подготовлены датасеты для обучения и проверки конфигураций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Сформировать популяцию конфигураций: POST /api/ml_models/models/{model_id}/find_params/population, тело запроса – имя популяции, описание и правила варьирования гиперпараметров (оси варьирования и значения, режимы измен</w:t>
            </w:r>
            <w:r>
              <w:rPr>
                <w:rFonts w:eastAsia="Times New Roman"/>
                <w:sz w:val="24"/>
                <w:lang w:val="en-US" w:bidi="ar-SA"/>
              </w:rPr>
              <w:t xml:space="preserve">ения, границы и округление значений, признак включения базовой модели в популяцию). 2. Запустить селекцию: POST /api/ml_models/find_params/population/{population_id}/selection, тело запроса – датасеты обучения и проверки, параметры обучения и проверки, пар</w:t>
            </w:r>
            <w:r>
              <w:rPr>
                <w:rFonts w:eastAsia="Times New Roman"/>
                <w:sz w:val="24"/>
                <w:lang w:val="en-US" w:bidi="ar-SA"/>
              </w:rPr>
              <w:t xml:space="preserve">аметры отбора. 3. Отслеживать выполнение: GET /api/tasks/{task_id} (тип задачи – find-params). 4. Просмотреть результаты: GET /api/ml_models/find_params/population/{population_id}/selections (итерации отбора) и GET /api/ml_models/find_params/population/{po</w:t>
            </w:r>
            <w:r>
              <w:rPr>
                <w:rFonts w:eastAsia="Times New Roman"/>
                <w:sz w:val="24"/>
                <w:lang w:val="en-US" w:bidi="ar-SA"/>
              </w:rPr>
              <w:t xml:space="preserve">pulation_id}/mutated_models (конфигурации с метками отбора и рангом). 5. Выгрузить сетку конфигураций: GET /api/ml_models/find_params/population/{population_id}/grid.csv (одна строка на конфигурацию; при необходимости указать идентификатор итерации отбора)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Популяция конфигураций модели, результаты селекции (метки best, normal, discarded, failed и ранг по каждой конфигурации) и файл сетки конфигураций в формате CSV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Лучшая по результатам отбора конфигурация используется как основа для последующего обучения и экспорта модели (пп. 4.2.3, 4.2.7)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Отсутствие базовой мод</w:t>
            </w:r>
            <w:r>
              <w:rPr>
                <w:rFonts w:eastAsia="Times New Roman"/>
                <w:sz w:val="24"/>
                <w:lang w:bidi="ar-SA"/>
              </w:rPr>
              <w:t xml:space="preserve">ели или популяции – код ответа 404; пустая конфигурация базовой модели, ошибка правил варьирования или ошибка создания одной из конфигураций – код ответа 400; при сбое создания популяции все частично созданные модели удаляются автоматически, базовая модель</w:t>
            </w:r>
            <w:r>
              <w:rPr>
                <w:rFonts w:eastAsia="Times New Roman"/>
                <w:sz w:val="24"/>
                <w:lang w:bidi="ar-SA"/>
              </w:rPr>
              <w:t xml:space="preserve"> сохраняется. Удаление популяции: DELETE /api/ml_models/find_params/population/{population_id} – удаляются конфигурации популяции, порождённые модели, архивы отчётов и записи запусков задач; базовая модель сохраняется (код ответа 200 со сводкой удалённого)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18" w:name="_Toc233624842_Copy_13"/>
      <w:r/>
      <w:bookmarkStart w:id="119" w:name="scroll-bookmark-11_Copy_13"/>
      <w:r/>
      <w:bookmarkStart w:id="120" w:name="_Toc256000033_Copy_13"/>
      <w:r>
        <w:rPr>
          <w:b/>
          <w:i w:val="0"/>
          <w:color w:val="000000" w:themeColor="text1"/>
          <w:sz w:val="24"/>
          <w:szCs w:val="28"/>
        </w:rPr>
        <w:t xml:space="preserve">4.2.11. Управление фоновыми задачами</w:t>
      </w:r>
      <w:bookmarkEnd w:id="118"/>
      <w:r/>
      <w:bookmarkEnd w:id="119"/>
      <w:r/>
      <w:bookmarkEnd w:id="120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20. </w:t>
      </w:r>
      <w:r>
        <w:rPr>
          <w:sz w:val="24"/>
        </w:rPr>
        <w:t xml:space="preserve">Управление фоновыми задачами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Управление фоновыми задачами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Абонент – наблюдение; роль Менеджер – управление выполнением)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Задача создана профильным методом (заполнение датасета, обучение, проверка модели, инференс, селекция популяции) либо методом запуска тестовой задачи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Получить перечень задач: GET /api/tasks/ (фильтры task_type, status, start_date, end_date; постраничная выд</w:t>
            </w:r>
            <w:r>
              <w:rPr>
                <w:rFonts w:eastAsia="Times New Roman"/>
                <w:sz w:val="24"/>
                <w:lang w:val="en-US" w:bidi="ar-SA"/>
              </w:rPr>
              <w:t xml:space="preserve">ача limit и offset). 2. Получить сведения о задаче: GET /api/tasks/{task_id} – в истории запусков (runtimes) возвращаются статус, идентификатор задачи очереди, переданные параметры, время начала и завершения, промежуточный результат (этап, прогресс, номер </w:t>
            </w:r>
            <w:r>
              <w:rPr>
                <w:rFonts w:eastAsia="Times New Roman"/>
                <w:sz w:val="24"/>
                <w:lang w:val="en-US" w:bidi="ar-SA"/>
              </w:rPr>
              <w:t xml:space="preserve">эпохи) и итоговый результат. 3. При необходимости приостановить выполнение: POST /api/tasks/{task_id}/pause. 4. Возобновить выполнение: POST /api/tasks/{task_id}/resume. 5. При необходимости аварийно прервать выполнение: POST /api/tasks/{task_id}/interrupt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Сведения о состоянии и результатах выполнения задач; выполненные операции приостановки, возобновления и аварийного прерывания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После </w:t>
            </w:r>
            <w:r>
              <w:rPr>
                <w:rFonts w:eastAsia="Times New Roman"/>
                <w:sz w:val="24"/>
                <w:lang w:bidi="ar-SA"/>
              </w:rPr>
              <w:t xml:space="preserve">возобновления приостановленной задачи создаётся новая запись запуска: предыдущие результаты и прогресс сохраняются; после аварийного прерывания задача завершается со статусом interrupted, её повторный запуск выполняется повторным вызовом профильного метода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Статусы задачи: new (создана), running (выполняется), pausing (запрошена приостановка, обработчик ещё не подтвердил остановку), paused (приостановлена), completed (завершена успешно), failed (завершена с о</w:t>
            </w:r>
            <w:r>
              <w:rPr>
                <w:rFonts w:eastAsia="Times New Roman"/>
                <w:sz w:val="24"/>
                <w:lang w:bidi="ar-SA"/>
              </w:rPr>
              <w:t xml:space="preserve">шибкой; причина – в поле result), interrupted (аварийно прервана), not_found (запись запуска не найдена). Приостановка применима к задачам в статусе running (ожидание подтверждения остановки – до 30 секунд, возможные ответы: paused, not_running, терминальн</w:t>
            </w:r>
            <w:r>
              <w:rPr>
                <w:rFonts w:eastAsia="Times New Roman"/>
                <w:sz w:val="24"/>
                <w:lang w:bidi="ar-SA"/>
              </w:rPr>
              <w:t xml:space="preserve">ый статус, pausing при отсутствии подтверждения); возобновление – к задачам в статусе paused (ответы: resumed, not_paused, error); аварийное прерывание – к задачам в статусах running, pausing или paused (ответы: interrupted, not_active, error). Несуществую</w:t>
            </w:r>
            <w:r>
              <w:rPr>
                <w:rFonts w:eastAsia="Times New Roman"/>
                <w:sz w:val="24"/>
                <w:lang w:bidi="ar-SA"/>
              </w:rPr>
              <w:t xml:space="preserve">щий идентификатор задачи – код ответа 404. Отдельного метода перезапуска задачи нет. Для длительных задач периодически увеличивайте интервал опроса: частое обращение к методам комплекса ограничено по частоте (не более 10 запросов в секунду с одного адреса)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21" w:name="_Toc233624842_Copy_14"/>
      <w:r/>
      <w:bookmarkStart w:id="122" w:name="scroll-bookmark-11_Copy_14"/>
      <w:r/>
      <w:bookmarkStart w:id="123" w:name="_Toc256000033_Copy_14"/>
      <w:r>
        <w:rPr>
          <w:b/>
          <w:i w:val="0"/>
          <w:color w:val="000000" w:themeColor="text1"/>
          <w:sz w:val="24"/>
          <w:szCs w:val="28"/>
        </w:rPr>
        <w:t xml:space="preserve">4.2.12. Удаление ресурсов</w:t>
      </w:r>
      <w:bookmarkEnd w:id="121"/>
      <w:r/>
      <w:bookmarkEnd w:id="122"/>
      <w:r/>
      <w:bookmarkEnd w:id="123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21. </w:t>
      </w:r>
      <w:r>
        <w:rPr>
          <w:sz w:val="24"/>
        </w:rPr>
        <w:t xml:space="preserve">Удаление ресурсов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Удаление ресурсов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Ресурс выведен из работы; получены его идентификаторы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Удалить файл: DELETE /api/{file_id} (файл удаляется из объектного хранилища вместе с метаданными; в теле ответа – сведения об удалении). 2. Удалить датасет: DELETE</w:t>
            </w:r>
            <w:r>
              <w:rPr>
                <w:rFonts w:eastAsia="Times New Roman"/>
                <w:sz w:val="24"/>
                <w:lang w:val="en-US" w:bidi="ar-SA"/>
              </w:rPr>
              <w:t xml:space="preserve"> /api/datasets/{dataset_id}. 3. Удалить модель: DELETE /api/ml_models/models/{model_id} (удаляются модель, её связи выходов с устройствами учёта и файл модели). 4. Удалить популяцию конфигураций: DELETE /api/ml_models/find_params/population/{population_id}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Ресурсы удалены из системы и объектного хранилища (коды ответов 204 – датасет и модель, 200 – файл и популяция)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Удалённые ресурсы недоступны для дальнейшей работы; удаление необратимо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Несуществующий идентификатор – код ответа 404. Перед удалением модели и датасета убедитесь, что с ними не связаны используемые результаты: удалённые ресурсы не восстанавливаются. Записи справочника нагрузок через API не удаляются (п. 4.2.9)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24" w:name="_Toc256000033_Copy_15"/>
      <w:r/>
      <w:bookmarkStart w:id="125" w:name="_Toc233624842_Copy_15"/>
      <w:r/>
      <w:bookmarkStart w:id="126" w:name="scroll-bookmark-11_Copy_15"/>
      <w:r>
        <w:rPr>
          <w:b/>
          <w:i w:val="0"/>
          <w:color w:val="000000" w:themeColor="text1"/>
          <w:sz w:val="24"/>
          <w:szCs w:val="28"/>
        </w:rPr>
        <w:t xml:space="preserve">4.2.13. Просмотр результатов и отчётов</w:t>
      </w:r>
      <w:bookmarkEnd w:id="124"/>
      <w:r/>
      <w:bookmarkEnd w:id="125"/>
      <w:r/>
      <w:bookmarkEnd w:id="126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22. </w:t>
      </w:r>
      <w:r>
        <w:rPr>
          <w:sz w:val="24"/>
        </w:rPr>
        <w:t xml:space="preserve">Просмотр результатов и отчётов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Название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Просмотр результатов и отчётов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Абонент или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Выполнены задачи проверки модели или инференса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Основной поток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Получить идентификаторы отчётов: из результата задачи (GET /api/tasks/{task_id}) – перечень file_ids и file_names либо из сп</w:t>
            </w:r>
            <w:r>
              <w:rPr>
                <w:rFonts w:eastAsia="Times New Roman"/>
                <w:sz w:val="24"/>
                <w:lang w:val="en-US" w:bidi="ar-SA"/>
              </w:rPr>
              <w:t xml:space="preserve">иска файлов с фильтром по типу: GET /api/data/files?file_type=REPORT_ZIP. 2. Скачать архив отчёта: GET /api/data/file/{file_id}/download. 3. При необходимости получить сведения о модели, включая историю её тестирования: GET /api/ml_models/models/{model_id}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Архивы отчётов (тип REPORT_ZIP) получены; содержание архивов: отчёт тестирования – текстовый отчёт с итоговой статистикой, точностью и разбивкой ошибок по выходам и классам; отчёт инференса – файл report.md и таблица предсказаний predictions.csv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Пост-условие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Результаты идентификации передаются внешней системе (ИСУЭ «ceCloud») в соответствии с регламентом информационного обмена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Отказные ситуации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Отсутствие файла отчёта – код ответа 404; при большом объёме отчёта скачивание занимает время, зависящее от пропускной способности сети между рабочим местом оператора и сервером комплекса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1"/>
        <w:rPr>
          <w:b/>
          <w:color w:val="000000" w:themeColor="text1"/>
          <w:sz w:val="32"/>
          <w:szCs w:val="32"/>
        </w:rPr>
      </w:pPr>
      <w:r/>
      <w:bookmarkStart w:id="127" w:name="scroll-bookmark-7_Copy_13"/>
      <w:r/>
      <w:bookmarkStart w:id="128" w:name="_Toc256000029_Copy_13"/>
      <w:r/>
      <w:bookmarkStart w:id="129" w:name="_Toc233624838_Copy_13"/>
      <w:r>
        <w:rPr>
          <w:b/>
          <w:i w:val="0"/>
          <w:color w:val="000000" w:themeColor="text1"/>
          <w:sz w:val="24"/>
          <w:szCs w:val="32"/>
        </w:rPr>
        <w:t xml:space="preserve">4.3. Типовые комплексные примеры работы</w:t>
      </w:r>
      <w:bookmarkEnd w:id="127"/>
      <w:r/>
      <w:bookmarkEnd w:id="128"/>
      <w:r/>
      <w:bookmarkEnd w:id="129"/>
      <w:r>
        <w:rPr>
          <w:b/>
          <w:color w:val="000000" w:themeColor="text1"/>
          <w:sz w:val="32"/>
          <w:szCs w:val="32"/>
        </w:rPr>
      </w:r>
      <w:r>
        <w:rPr>
          <w:b/>
          <w:color w:val="000000" w:themeColor="text1"/>
          <w:sz w:val="32"/>
          <w:szCs w:val="32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В пп. 4.2.1–4.2.13 приведены отдельные операции. Ниже приведены типовые комплексные примеры работы, в которых эти операции связаны в законченный цикл. Примеры приведены для отладочного развёртывания (адрес сервиса-шлюза – http://localhost:8082).</w:t>
      </w:r>
      <w:r/>
    </w:p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30" w:name="_Toc233624842_Copy_16"/>
      <w:r/>
      <w:bookmarkStart w:id="131" w:name="scroll-bookmark-11_Copy_16"/>
      <w:r/>
      <w:bookmarkStart w:id="132" w:name="_Toc256000033_Copy_16"/>
      <w:r>
        <w:rPr>
          <w:b/>
          <w:i w:val="0"/>
          <w:color w:val="000000" w:themeColor="text1"/>
          <w:sz w:val="24"/>
          <w:szCs w:val="28"/>
        </w:rPr>
        <w:t xml:space="preserve">4.3.1. От исходных данных до проверенной модели</w:t>
      </w:r>
      <w:bookmarkEnd w:id="130"/>
      <w:r/>
      <w:bookmarkEnd w:id="131"/>
      <w:r/>
      <w:bookmarkEnd w:id="132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23. </w:t>
      </w:r>
      <w:r>
        <w:rPr>
          <w:sz w:val="24"/>
        </w:rPr>
        <w:t xml:space="preserve">От исходных данных до проверенной модели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Цель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Получить обученную и проверенную модель, пригодную для применения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Получены учётные данные и токен доступа; подготовлены файлы данных измерений (RAW) и разметки (LOADS), удовлетворяющие требованиям п. 3.6; известна целевая архитектура модели и требуемый состав классов (число выходов)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Последовательность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Загрузить файлы данных измерений и разметки (п. 4.2.1). 2. Создать датасет, заполнить его данными измерений и разметкой, просмотреть результат заполнения: число обработанных записей, число пропущенных записей и записей с н</w:t>
            </w:r>
            <w:r>
              <w:rPr>
                <w:rFonts w:eastAsia="Times New Roman"/>
                <w:sz w:val="24"/>
                <w:lang w:val="en-US" w:bidi="ar-SA"/>
              </w:rPr>
              <w:t xml:space="preserve">едопустимой фазой (п. 4.2.2). 3. Создать модель: указать архитектуру, тип фазы, число выходов, при необходимости – связи выходов с устройствами учёта и имена выходов (п. 4.2.3, шаг 2). 4. Запустить обучение и дождаться статуса completed, наблюдая промежуто</w:t>
            </w:r>
            <w:r>
              <w:rPr>
                <w:rFonts w:eastAsia="Times New Roman"/>
                <w:sz w:val="24"/>
                <w:lang w:val="en-US" w:bidi="ar-SA"/>
              </w:rPr>
              <w:t xml:space="preserve">чный результат задачи (пп. 4.2.3, 4.2.11). Идентификаторы обученных моделей приведены в результате задачи в поле new_model_ids. 5. Проверить обученную модель на датасете с разметкой (п. 4.2.4). 6. Скачать архив отчёта и оценить показатели качества (п. 3.8)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Обученная модель с известными показателями качества и отчётом о проверке; модель готова к применению (инференс, синхронный предикт) и к экспорту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Что контролировать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Полноту заполнения датасета (отсутствие пропущенных файлов и записей); статусы задач (completed, а не failed); показатели качества в целом и разбивку ошибок по выходам; отсутствие использования датасета проверки при обучении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Если что-то не так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Задача завершилась со с</w:t>
            </w:r>
            <w:r>
              <w:rPr>
                <w:rFonts w:eastAsia="Times New Roman"/>
                <w:sz w:val="24"/>
                <w:lang w:bidi="ar-SA"/>
              </w:rPr>
              <w:t xml:space="preserve">татусом failed – причина приведена в поле result записи запуска (наиболее частая причина при обучении – недостаток памяти обработчика задач; в этом случае уменьшается объём датасета или размер порции данных). Показатели качества ниже ожидаемых – см. п. 3.8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33" w:name="_Toc233624842_Copy_17"/>
      <w:r/>
      <w:bookmarkStart w:id="134" w:name="_Toc256000033_Copy_17"/>
      <w:r/>
      <w:bookmarkStart w:id="135" w:name="scroll-bookmark-11_Copy_17"/>
      <w:r>
        <w:rPr>
          <w:b/>
          <w:i w:val="0"/>
          <w:color w:val="000000" w:themeColor="text1"/>
          <w:sz w:val="24"/>
          <w:szCs w:val="28"/>
        </w:rPr>
        <w:t xml:space="preserve">4.3.2. Оценка качества модели и выбор порога</w:t>
      </w:r>
      <w:bookmarkEnd w:id="133"/>
      <w:r/>
      <w:bookmarkEnd w:id="134"/>
      <w:r/>
      <w:bookmarkEnd w:id="135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24. </w:t>
      </w:r>
      <w:r>
        <w:rPr>
          <w:sz w:val="24"/>
        </w:rPr>
        <w:t xml:space="preserve">Оценка качества модели и выбор порога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Цель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Принять решение о применении модели и выбрать порог классификации для конкретных условий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Есть обученная модель и датасет с разметкой, представительный для условий применения модели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Последовательность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Проверить модель при пороге по умолчанию 0.5 (п. 4.2.4</w:t>
            </w:r>
            <w:r>
              <w:rPr>
                <w:rFonts w:eastAsia="Times New Roman"/>
                <w:sz w:val="24"/>
                <w:lang w:val="en-US" w:bidi="ar-SA"/>
              </w:rPr>
              <w:t xml:space="preserve">) и получить отчёт. 2. Изучить итоговую статистику и статистику по выходам: определить, по каким типам нагрузки преобладают ложноположительные и ложноотрицательные срабатывания. 3. При необходимости повторить проверку при другом значении порога и сравнить </w:t>
            </w:r>
            <w:r>
              <w:rPr>
                <w:rFonts w:eastAsia="Times New Roman"/>
                <w:sz w:val="24"/>
                <w:lang w:val="en-US" w:bidi="ar-SA"/>
              </w:rPr>
              <w:t xml:space="preserve">результаты (пп. 3.5, 3.8). 4. Использовать выбранный порог в запросах инференса и синхронного предикта (пп. 4.2.5, 4.2.6). 5. Сохранить отчёты, по которым принималось решение: они остаются в списке файлов (тип REPORT_ZIP) и доступны по идентификатору файла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Обоснованный выбор порога классификации; отчёты с показателями качества, на основании которых принято решение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Что контролировать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Сравнение выполняется на одном и том же датасете и при одной версии модели; выводы делаются по разбивке ошибок по выходам, а не только по общей точности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Если что-то не так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Преобладание ложных срабатываний по одному выходу – проверит</w:t>
            </w:r>
            <w:r>
              <w:rPr>
                <w:rFonts w:eastAsia="Times New Roman"/>
                <w:sz w:val="24"/>
                <w:lang w:bidi="ar-SA"/>
              </w:rPr>
              <w:t xml:space="preserve">ь разметку и представительность соответствующего класса; преобладание пропусков – рассмотреть уменьшение порога; если приемлемое качество не достигается ни при одном пороге – вернуться к подготовке данных (пп. 4.2.1, 4.2.2) или к обучению модели (п. 4.2.3)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240" w:before="240" w:line="360" w:lineRule="auto"/>
        <w:ind w:firstLine="709" w:left="567"/>
        <w:contextualSpacing w:val="false"/>
        <w:jc w:val="left"/>
        <w:outlineLvl w:val="2"/>
        <w:rPr>
          <w:b/>
          <w:color w:val="000000" w:themeColor="text1"/>
          <w:sz w:val="28"/>
          <w:szCs w:val="28"/>
        </w:rPr>
      </w:pPr>
      <w:r/>
      <w:bookmarkStart w:id="136" w:name="_Toc233624842_Copy_18"/>
      <w:r/>
      <w:bookmarkStart w:id="137" w:name="scroll-bookmark-11_Copy_18"/>
      <w:r/>
      <w:bookmarkStart w:id="138" w:name="_Toc256000033_Copy_18"/>
      <w:r>
        <w:rPr>
          <w:b/>
          <w:i w:val="0"/>
          <w:color w:val="000000" w:themeColor="text1"/>
          <w:sz w:val="24"/>
          <w:szCs w:val="28"/>
        </w:rPr>
        <w:t xml:space="preserve">4.3.3. Обновление модели на новых данных</w:t>
      </w:r>
      <w:bookmarkEnd w:id="136"/>
      <w:r/>
      <w:bookmarkEnd w:id="137"/>
      <w:r/>
      <w:bookmarkEnd w:id="138"/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25. </w:t>
      </w:r>
      <w:r>
        <w:rPr>
          <w:sz w:val="24"/>
        </w:rPr>
        <w:t xml:space="preserve">Обновление модели на новых данных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2124"/>
        <w:gridCol w:w="8080"/>
      </w:tblGrid>
      <w:tr>
        <w:trPr/>
        <w:tc>
          <w:tcPr>
            <w:shd w:val="clear" w:color="auto" w:fill="ffffff" w:themeFill="background1"/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Цель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Получить новую версию модели с учётом новых данных, убедиться в сохранении качества и передать модель Индустриальному партнёру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Участники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Оператор (роль Менеджер)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Предусловия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Есть модель предыдущей версии с известными показателями качества; накоплены новые данные измерений и разметки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Последовательность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1. Загрузить новые файлы данных измерений и разметки (п. 4.2.1). 2. Создать новый датасет из новых данных либо из но</w:t>
            </w:r>
            <w:r>
              <w:rPr>
                <w:rFonts w:eastAsia="Times New Roman"/>
                <w:sz w:val="24"/>
                <w:lang w:val="en-US" w:bidi="ar-SA"/>
              </w:rPr>
              <w:t xml:space="preserve">вых и ранее использованных данных (п. 4.2.2). 3. Запустить обучение: результатом будет новая модель (new_model_ids), модель предыдущей версии сохраняется (п. 4.2.3). 4. Проверить новую модель на том же датасете проверки и при том же пороге, что и модель пр</w:t>
            </w:r>
            <w:r>
              <w:rPr>
                <w:rFonts w:eastAsia="Times New Roman"/>
                <w:sz w:val="24"/>
                <w:lang w:val="en-US" w:bidi="ar-SA"/>
              </w:rPr>
              <w:t xml:space="preserve">едыдущей версии, и сравнить показатели (пп. 4.2.4, 3.8). 5. При подтверждённом качестве экспортировать новую модель в форматах H5 и ONNX для передачи Индустриальному партнёру (п. 4.2.7). 6. При необходимости удалить устаревшие модели и датасеты (п. 4.2.12)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Результат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Новая версия модели с подтверждёнными показателями качества; возможность вернуться к модели предыдущей версии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Что контролировать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Проверку обеих версий на одном датасете и при одном пороге; отсутствие ухудшения показателей у новой версии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2124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Если что-то не так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8080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Показатели новой версии хуже – расширить обучающий датасет либо изменить параметры обучения и повторить цикл; ошибка экспорта модели – повторить запрос, при повторении ошибки передать сведения системному программисту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keepNext w:val="true"/>
        <w:keepLines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b/>
          <w:color w:val="000000" w:themeColor="text1"/>
          <w:sz w:val="36"/>
          <w:szCs w:val="36"/>
        </w:rPr>
      </w:pPr>
      <w:r>
        <w:br w:type="page" w:clear="all"/>
      </w:r>
      <w:bookmarkStart w:id="139" w:name="_Toc233624857"/>
      <w:r>
        <w:rPr>
          <w:b/>
          <w:i w:val="0"/>
          <w:color w:val="000000" w:themeColor="text1"/>
          <w:sz w:val="24"/>
          <w:szCs w:val="36"/>
        </w:rPr>
        <w:t xml:space="preserve">5. СООБЩЕНИЯ ОПЕРАТОРУ</w:t>
      </w:r>
      <w:bookmarkEnd w:id="139"/>
      <w:r>
        <w:rPr>
          <w:b/>
          <w:color w:val="000000" w:themeColor="text1"/>
          <w:sz w:val="36"/>
          <w:szCs w:val="36"/>
        </w:rPr>
      </w:r>
      <w:r>
        <w:rPr>
          <w:b/>
          <w:color w:val="000000" w:themeColor="text1"/>
          <w:sz w:val="36"/>
          <w:szCs w:val="36"/>
        </w:rPr>
      </w:r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Комплекс возвращает коды состояния HTTP, приведённые в таблице 26, и текстовые </w:t>
      </w:r>
      <w:r>
        <w:rPr>
          <w:sz w:val="24"/>
        </w:rPr>
        <w:t xml:space="preserve">сообщения об ошибках в теле ответа. Формат тела ответа зависит от источника: сервер приложений возвращает объект с полем detail, сервис-шлюз приводит ответы к единому формату – успешные данные размещаются в поле data, ошибки – в полях error и errorMessage.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26. </w:t>
      </w:r>
      <w:r>
        <w:rPr>
          <w:sz w:val="24"/>
        </w:rPr>
        <w:t xml:space="preserve">Коды состояния HTTP и действия оператора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1828"/>
        <w:gridCol w:w="5772"/>
        <w:gridCol w:w="2605"/>
      </w:tblGrid>
      <w:tr>
        <w:trPr/>
        <w:tc>
          <w:tcPr>
            <w:shd w:val="clear" w:color="auto" w:fill="ffffff" w:themeFill="background1"/>
            <w:tcBorders/>
            <w:tcW w:w="1828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Код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5772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Описание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2605" w:type="dxa"/>
            <w:vAlign w:val="center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Действие оператора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200 OK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Запрос выполнен, данные – в теле ответа (для методов скачивания файла и экспорта модели – бинарный поток; для методов управления задачами – объект с полем status, описывающим применённое действие)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Не требуется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201 Created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Создан новый ресурс (файл, датасет, модель, популяция конфигураций)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Сохранить идентификатор созданного ресурса из тела ответа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202 Accepted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Задача принята к асинхронному выполнению в очередь задач (заполнение датасета, проверка модели, селекция популяции)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Отслеживать выполнение методом GET /api/tasks/{task_id} (п. 4.2.11)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204 No Content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Запрос выполнен, тело ответа отсутствует (удаление датасета, модели)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Не требуется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400 Bad Request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Недопустимые данные запроса и ошибки бизнес-правил: недопустимый тип файла, неверное расширение или заголовок CSV, отсутствие указанных файлов, недопустимые параметры обучения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Прочитать текст сообщения в поле detail и исправить запрос (см. таблицу 27)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401 Unauthorized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Токен доступа отсутствует, истёк или отозван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Выполнить вход методом POST /api/auth/login и повторить запрос с новым токеном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403 Forbidden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Права роли не покрывают запрошенный метод (в том числе попытка изменить защищённую запись справочника нагрузок)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Обратиться к администратору комплекса для изменения роли или матрицы прав; защищённую запись изменить нельзя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404 Not Found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Ресурс не найден: указан несуществующий идентификатор файла, датасета, модели, популяции или задачи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Проверить корректность идентификатора (UUID), получить актуальный список ресурсов соответствующим методом GET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422 Unprocessable Entity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Ошибка валидации схемы запроса: пропущено обязательное поле, недопустимое значение, лишнее поле, сигналы разной длины или некорректный Base64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Проверить состав и формат полей запроса по документации API: поле loc указывает на некорректное поле, поле msg – на причину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429 Too Many Requests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Превышено ограничение частоты запросов с одного адреса (по умолчанию 10 запросов в секунду)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Повторить запрос через указанное в сообщении время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500 Internal Server Error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Внутренняя ошибка сервера (в том числе ошибка конвертации модели в формат ONNX)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Повторить запрос позднее; при повторении – передать сведения системному программисту и указать время выполнения запроса (см. журналы, таблица 28)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502 Bad Gateway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Сервис-шлюз не смог вызвать сервер приложений либо путь запроса не покрыт правилами маршрутизации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Проверить адрес запроса (путь должен начинаться с /api/); при повторении – обратиться к системному программисту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2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503 Service Unavailable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5772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Cs w:val="0"/>
                <w:sz w:val="24"/>
                <w:lang w:bidi="ar-SA"/>
              </w:rPr>
              <w:t xml:space="preserve">Недоступен брокер задач (очередь задач): фоновая задача не может быть поставлена в очередь. Возвращается методом запуска тестовой задачи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2605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jc w:val="left"/>
              <w:rPr>
                <w:lang w:val="en-US"/>
              </w:rPr>
            </w:pPr>
            <w:r>
              <w:rPr>
                <w:rFonts w:eastAsia="Times New Roman"/>
                <w:bCs w:val="0"/>
                <w:sz w:val="24"/>
                <w:lang w:val="en-US" w:bidi="ar-SA"/>
              </w:rPr>
              <w:t xml:space="preserve">Повторить запрос позднее; при повторении – обратиться к системному программисту для проверки состояния брокера задач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Наиболее частые тексты сообщений и действия оператора по ним приведены в таблице 27. В сообщениях сервера приложений вместо &lt;...&gt; подставляются конкретные значения (идентификаторы, имена полей, перечень отсутствующих колонок).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27. </w:t>
      </w:r>
      <w:r>
        <w:rPr>
          <w:sz w:val="24"/>
        </w:rPr>
        <w:t xml:space="preserve">Типовые сообщения комплекса и действия оператора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3356"/>
        <w:gridCol w:w="6848"/>
      </w:tblGrid>
      <w:tr>
        <w:trPr/>
        <w:tc>
          <w:tcPr>
            <w:shd w:val="clear" w:color="auto" w:fill="ffffff" w:themeFill="background1"/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Текст сообщения (поле detail)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Причина и действие оператора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Invalid file type. Allowed types: RAW, LOADS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В поле file_type указан недопустимый тип файла. Указать RAW (данные измерений) или LOADS (данные разметки)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Only CSV files are allowed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Тип содержимого загружаемого файла не соответствует CSV. Загружать файлы с типом содержимого text/csv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Invalid file extension. Only .csv files are allowed. Got: &lt;имя файла&gt;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Файл имеет расширение, отличное от .csv. Пересохранить файл в формате CSV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CSV header is missing required columns: &lt;перечень полей&gt;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В строке заголовка файла отсутствуют обязательные поля (см. п. 3.6). Дополнить файл обязательными полями и загрузить повторно; ранее файл не сохранён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CSV file is empty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Файл не содержит строки заголовка. Проверить содержимое файла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RAW files not found: &lt;идентификаторы&gt; / LOADS files not found: &lt;идентификаторы&gt;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При заполнении датасета указаны идентификаторы несуществующих файлов. Получить актуальный список файлов методом GET /api/data/files и повторить запрос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Expected RAW file type for ids: &lt;идентификаторы&gt; / Expected LOADS file type for ids: &lt;идентификаторы&gt;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В запросе заполнения датасета файлы данных и разметки перепутаны: в списке raw_file_ids указан файл разметки либо наоборот. Исправить состав списков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Dataset with id &lt;идентификатор&gt; not found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Указан несуществующий идентификатор датасета. Проверить идентификатор методом GET /api/datasets/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Model metadata with id &lt;идентификатор&gt; not found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Указан несуществующий идентификатор модели. Проверить идентификатор методом GET /api/ml_models/models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Dataset contains no chunks / No valid chunks found in dataset for target devices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Датасет не содержит данных,</w:t>
            </w:r>
            <w:r>
              <w:rPr>
                <w:rFonts w:eastAsia="Times New Roman"/>
                <w:sz w:val="24"/>
                <w:lang w:bidi="ar-SA"/>
              </w:rPr>
              <w:t xml:space="preserve"> пригодных для обучения выбранной модели (данные не заполнены, разметка отсутствует или отсутствуют записи по устройствам, закреплённым за выходами модели). Проверить результат заполнения датасета (п. 4.2.2) и привязку устройств к выходам модели (п. 4.2.3)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Invalid base64 in signals: &lt;текст&gt;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Один или несколько сигналов в запросе синхронного предикта переданы с некорректным кодированием Base64. Перекодировать сигналы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All signals must have the same length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Сигналы в запросе синхронного предикта имеют разную длину. Привести все шесть сигналов к одинаковой длине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Signals must not be empty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В запросе синхронного предикта переданы пустые сигналы. Проверить состав данных измерения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System device '__OTHER__' cannot be modified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Запрошено изменение защищённой записи справочника нагрузок (запись «прочие виды нагрузок»). Изменение невозможно; создать отдельную запись нагрузки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Population &lt;идентификатор&gt; not found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Указан несуществующий идентификатор популяции конфигураций. Получить актуальный список методом GET /api/ml_models/find_params/population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Base model &lt;идентификатор&gt; has empty or non-dict config; cannot mutate.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Базовая модель не содержит конфигурации, необходимой для формирования популяции. Выбрать другую базовую модель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Failed to materialize mutant &lt;номер&gt;: &lt;текст&gt;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Конфигурация одной из моделей популяции отвергнута при создании. Скорректировать правила варьирования гиперпараметров и повторить создание популяции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Failed to materialize population; it has been rolled back.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Популяция не создана; все частично созданные модели удалены автоматически. Повторить запрос; при повторении – передать сведения системному программисту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Celery broker unavailable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Очередь задач недоступна, фоновая задача не поставлена. Повторить запрос позднее; при повторении – обратиться к системному программисту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File with id &lt;идентификатор&gt; not found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Указан несуществующий идентификатор файла. Получить актуальный список методом GET /api/data/files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{"error": "Файл version.json не найден"} (метод сведений о сборке)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Образ собран без формирования сведений о сборке. Передать сведения системному программисту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{"error": 401, "errorMessage": "Missing or invalid Authorization"}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Запрос выполнен без заголовка Authorization: Bearer &lt;токен доступа&gt; либо с истёкшим или отозванным токеном. Выполнить вход и повторить запрос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{"error": 403, "errorMessage": "Access denied: &lt;метод&gt; &lt;путь&gt;"}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Права роли не покрывают запрошенный метод и путь. Обратиться к администратору комплекса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{"error": 429, "errorMessage": "Rate limit exceeded. Retry after &lt;секунд&gt;s"}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Превышено ограничение частоты запросов. Повторить запрос через указанное число секунд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{"error": 502, "errorMessage": "Upstream unavailable" | "Upstream timeout" | "No adapter for path"}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Сервис-шлюз не смог вызвать сервер приложений либо путь не покрыт правилами маршрутизации (проверить, что путь начинается с /api/). При повторении – обратиться к системному программисту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35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MemoryError: &lt;текст&gt; (в результате задачи)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84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Задаче не хватило памяти при обучении модели, инференсе или подборе гиперпараметров. Уменьшить объём датасета или число эпох; увеличение предела памяти обработчика задач выполняет системный программист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Журналы работы комплекса ведутся на сервере комплекса в каталоге проекта (каталог logs монтируется в контейнеры сервера приложений</w:t>
      </w:r>
      <w:r>
        <w:rPr>
          <w:sz w:val="24"/>
        </w:rPr>
        <w:t xml:space="preserve"> и обработчика задач). Просмотр журналов выполняется системным программистом командами, приведёнными в таблице 28; в журналах указываются время события, уровень важности и текст сообщения, что позволяет сопоставить отказ запроса со временем его выполнения.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b/>
          <w:sz w:val="24"/>
        </w:rPr>
        <w:t xml:space="preserve">Таблица 28. </w:t>
      </w:r>
      <w:r>
        <w:rPr>
          <w:sz w:val="24"/>
        </w:rPr>
        <w:t xml:space="preserve">Просмотр журналов компонентов комплекса</w:t>
      </w:r>
      <w:r/>
    </w:p>
    <w:tbl>
      <w:tblPr>
        <w:tblStyle w:val="1864"/>
        <w:tblInd w:w="0" w:type="dxa"/>
        <w:tblW w:w="5000" w:type="pct"/>
        <w:tblCellMar>
          <w:left w:w="30" w:type="dxa"/>
          <w:top w:w="30" w:type="dxa"/>
          <w:right w:w="30" w:type="dxa"/>
          <w:bottom w:w="20" w:type="dxa"/>
        </w:tblCellMar>
        <w:tblBorders/>
        <w:tblLayout w:type="fixed"/>
        <w:tblLook w:val="0020" w:firstRow="1" w:lastRow="0" w:firstColumn="0" w:lastColumn="0" w:noHBand="0" w:noVBand="0"/>
      </w:tblPr>
      <w:tblGrid>
        <w:gridCol w:w="3268"/>
        <w:gridCol w:w="6936"/>
      </w:tblGrid>
      <w:tr>
        <w:trPr/>
        <w:tc>
          <w:tcPr>
            <w:shd w:val="clear" w:color="auto" w:fill="ffffff" w:themeFill="background1"/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Журнал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  <w:tc>
          <w:tcPr>
            <w:shd w:val="clear" w:color="auto" w:fill="ffffff" w:themeFill="background1"/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pP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4"/>
                <w:vertAlign w:val="baseline"/>
                <w:lang w:bidi="ar-SA"/>
              </w:rPr>
              <w:t xml:space="preserve">Расположение и команда просмотра</w:t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  <w:r>
              <w:rPr>
                <w:rFonts w:eastAsia="Times New Roman"/>
                <w:b w:val="0"/>
                <w:i w:val="0"/>
                <w:caps w:val="0"/>
                <w:smallCaps w:val="0"/>
                <w:strike w:val="0"/>
                <w:vanish w:val="0"/>
                <w:color w:val="262626" w:themeColor="text1" w:themeTint="D9"/>
                <w:position w:val="0"/>
                <w:sz w:val="20"/>
                <w:vertAlign w:val="baseline"/>
                <w:lang w:bidi="ar-SA"/>
              </w:rPr>
            </w:r>
          </w:p>
        </w:tc>
      </w:tr>
      <w:tr>
        <w:trPr/>
        <w:tc>
          <w:tcPr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Журнал сервера приложений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logs/app.log (каталог проекта на сервере комплекса); docker compose logs -f app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Журнал обработчика фоновых задач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logs/celery.log; docker compose logs -f celery-worker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Журнал базы данных сервера приложений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val="en-US" w:bidi="ar-SA"/>
              </w:rPr>
              <w:t xml:space="preserve">docker compose logs db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Объединённые журналы комплекса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./scripts/energomera.sh logs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Журнал сервиса-шлюза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docker compose logs -f gateway (каталог репозитория middleware)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Состояние контейнеров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./scripts/energomera.sh status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  <w:tr>
        <w:trPr/>
        <w:tc>
          <w:tcPr>
            <w:tcBorders/>
            <w:tcW w:w="3268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b/>
                <w:sz w:val="24"/>
                <w:lang w:bidi="ar-SA"/>
              </w:rPr>
              <w:t xml:space="preserve">Мониторинг очереди задач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  <w:tc>
          <w:tcPr>
            <w:tcBorders/>
            <w:tcW w:w="6936" w:type="dxa"/>
            <w:textDirection w:val="lrTb"/>
            <w:noWrap w:val="false"/>
          </w:tcPr>
          <w:p>
            <w:pPr>
              <w:pStyle w:val="1720"/>
              <w:widowControl w:val="true"/>
              <w:pBdr/>
              <w:spacing w:after="60" w:before="60"/>
              <w:ind w:firstLine="0"/>
              <w:contextualSpacing w:val="false"/>
              <w:rPr>
                <w:rFonts w:eastAsia="Times New Roman"/>
                <w:lang w:bidi="ar-SA"/>
              </w:rPr>
            </w:pPr>
            <w:r>
              <w:rPr>
                <w:rFonts w:eastAsia="Times New Roman"/>
                <w:sz w:val="24"/>
                <w:lang w:bidi="ar-SA"/>
              </w:rPr>
              <w:t xml:space="preserve">http://localhost:5555 (web-интерфейс Flower; порт не публикуется в промышленной эксплуатации)</w:t>
            </w:r>
            <w:r>
              <w:rPr>
                <w:rFonts w:eastAsia="Times New Roman"/>
                <w:lang w:bidi="ar-SA"/>
              </w:rPr>
            </w:r>
            <w:r>
              <w:rPr>
                <w:rFonts w:eastAsia="Times New Roman"/>
                <w:lang w:bidi="ar-SA"/>
              </w:rPr>
            </w:r>
          </w:p>
        </w:tc>
      </w:tr>
    </w:tbl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Файлы журналов app.log и celery.log ведутся с ротацией: размер файла – не более 10 МБ, хранится</w:t>
      </w:r>
      <w:r>
        <w:rPr>
          <w:sz w:val="24"/>
        </w:rPr>
        <w:t xml:space="preserve"> до 5 файлов. Пути к журналам указаны относительно каталога проекта на сервере комплекса (каталог logs монтируется в контейнеры); при обращении к журналам необходимо учитывать, что в контейнере каталог имеет то же содержимое, что и каталог проекта на узле.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</w:rPr>
        <w:t xml:space="preserve">Мониторинг очереди задач выполняется средствами web-интерфейса Flower (порт 5555). В отладочной поставке доступ к Flower защищён паролем (</w:t>
      </w:r>
      <w:r>
        <w:rPr>
          <w:sz w:val="24"/>
        </w:rPr>
        <w:t xml:space="preserve">параметр FLOWER_BASIC_AUTH); в промышленной эксплуатации порт мониторинга внешним потребителям не публикуется, доступ выполняется из внутренней сети. При отсутствии доступа к Flower состояние задач определяется методом GET /api/tasks/{task_id} (п. 4.2.11).</w:t>
      </w:r>
      <w:r/>
    </w:p>
    <w:p>
      <w:pPr>
        <w:pStyle w:val="1720"/>
        <w:pBdr/>
        <w:spacing w:after="60" w:before="60" w:line="240" w:lineRule="auto"/>
        <w:ind w:firstLine="709"/>
        <w:contextualSpacing w:val="false"/>
        <w:jc w:val="both"/>
        <w:rPr>
          <w:sz w:val="24"/>
          <w:szCs w:val="24"/>
          <w:highlight w:val="none"/>
        </w:rPr>
      </w:pPr>
      <w:r>
        <w:rPr>
          <w:sz w:val="24"/>
        </w:rPr>
        <w:t xml:space="preserve">Если задача завершилась со статусом failed, причина отказа приведена в поле result записи запуска задачи (текст </w:t>
      </w:r>
      <w:r>
        <w:rPr>
          <w:sz w:val="24"/>
        </w:rPr>
        <w:t xml:space="preserve">ошибки обработчика); при обучении моделей наиболее частая причина – недостаток памяти обработчика задач (сообщение MemoryError), при этом уменьшается объём датасета или порция данных, а предел памяти обработчика задач увеличивается системным программистом.</w:t>
      </w:r>
      <w:r>
        <w:rPr>
          <w:sz w:val="24"/>
          <w:szCs w:val="24"/>
          <w:highlight w:val="none"/>
        </w:rPr>
      </w:r>
    </w:p>
    <w:p w14:paraId="3B198E72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4F247697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3A84F6B3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19644562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42093373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72A860C5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6F96C516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79C71FAE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5BE4D785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3BC6E8CB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23EF2F18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4AD69894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34336834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23F38D18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1CCE939A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2913B268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5B0207A8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066E01B3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578EF308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63AF2EFC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0EE463FB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301DB2FE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241B6185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702A5664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0B70A052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0AE5A5C2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682D8EF1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3D4043A6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5CCB6ADC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047CB6F9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18E956AF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15EA4433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4554305F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17A272E5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625A623F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7CE51605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7A06B6B4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7FCB4A63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2796FFDD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/>
      <w:r/>
    </w:p>
    <w:p w14:paraId="016390D2">
      <w:pPr>
        <w:pStyle w:val="1720"/>
        <w:pBdr/>
        <w:spacing w:after="60" w:before="60" w:line="240" w:lineRule="auto"/>
        <w:ind w:firstLine="709"/>
        <w:contextualSpacing w:val="false"/>
        <w:jc w:val="both"/>
        <w:rPr/>
      </w:pPr>
      <w:r>
        <w:rPr>
          <w:sz w:val="24"/>
          <w:highlight w:val="none"/>
        </w:rPr>
      </w:r>
      <w:r>
        <w:rPr>
          <w:sz w:val="24"/>
          <w:highlight w:val="none"/>
        </w:rPr>
      </w:r>
      <w:r/>
    </w:p>
    <w:tbl>
      <w:tblPr>
        <w:jc w:val="center"/>
        <w:tblInd w:w="0" w:type="dxa"/>
        <w:tblW w:w="1043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pPr w:horzAnchor="margin" w:tblpXSpec="center" w:vertAnchor="text" w:tblpY="76" w:leftFromText="180" w:topFromText="0" w:rightFromText="180" w:bottomFromText="0"/>
        <w:tblLook w:val="0000" w:firstRow="0" w:lastRow="0" w:firstColumn="0" w:lastColumn="0" w:noHBand="0" w:noVBand="0"/>
      </w:tblPr>
      <w:tblGrid>
        <w:gridCol w:w="600"/>
        <w:gridCol w:w="1132"/>
        <w:gridCol w:w="1147"/>
        <w:gridCol w:w="1145"/>
        <w:gridCol w:w="1147"/>
        <w:gridCol w:w="1130"/>
        <w:gridCol w:w="1338"/>
        <w:gridCol w:w="1341"/>
        <w:gridCol w:w="783"/>
        <w:gridCol w:w="669"/>
      </w:tblGrid>
      <w:tr>
        <w:trPr>
          <w:cantSplit/>
          <w:trHeight w:val="567" w:hRule="exact"/>
        </w:trPr>
        <w:tc>
          <w:tcPr>
            <w:gridSpan w:val="10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104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Лист регистрации изменений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trHeight w:val="462" w:hRule="exact"/>
        </w:trPr>
        <w:tc>
          <w:tcPr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517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Номера листов (страниц)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0" w:type="dxa"/>
            <w:vAlign w:val="center"/>
            <w:vMerge w:val="restart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Всего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листов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(страниц)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в докум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38" w:type="dxa"/>
            <w:vAlign w:val="center"/>
            <w:vMerge w:val="restart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№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документа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41" w:type="dxa"/>
            <w:vAlign w:val="center"/>
            <w:vMerge w:val="restart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Входящий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 xml:space="preserve">сопрово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дительного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документа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и дата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783" w:type="dxa"/>
            <w:vAlign w:val="center"/>
            <w:vMerge w:val="restart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Подп.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69" w:type="dxa"/>
            <w:vAlign w:val="center"/>
            <w:vMerge w:val="restart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Дата</w:t>
            </w:r>
            <w:r/>
          </w:p>
        </w:tc>
      </w:tr>
      <w:tr>
        <w:trPr>
          <w:cantSplit/>
          <w:trHeight w:val="113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Изм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изменен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ных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заме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ненных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новых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анулиро</w:t>
            </w:r>
            <w:r/>
          </w:p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>
              <w:rPr>
                <w:sz w:val="24"/>
              </w:rPr>
              <w:t xml:space="preserve">ванных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0" w:type="dxa"/>
            <w:vMerge w:val="continue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38" w:type="dxa"/>
            <w:vMerge w:val="continue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41" w:type="dxa"/>
            <w:vMerge w:val="continue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783" w:type="dxa"/>
            <w:vMerge w:val="continue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69" w:type="dxa"/>
            <w:vMerge w:val="continue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jc w:val="center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20"/>
              <w:pBdr/>
              <w:spacing w:after="60" w:before="60" w:line="240" w:lineRule="auto"/>
              <w:ind w:firstLine="0"/>
              <w:contextualSpacing w:val="false"/>
              <w:rPr/>
            </w:pPr>
            <w:r/>
            <w:r/>
          </w:p>
        </w:tc>
      </w:tr>
    </w:tbl>
    <w:p>
      <w:pPr>
        <w:pStyle w:val="1720"/>
        <w:pBdr/>
        <w:spacing/>
        <w:ind/>
        <w:rPr/>
      </w:pPr>
      <w:r/>
      <w:r/>
    </w:p>
    <w:sectPr>
      <w:headerReference w:type="default" r:id="rId14"/>
      <w:headerReference w:type="first" r:id="rId15"/>
      <w:footerReference w:type="default" r:id="rId21"/>
      <w:footerReference w:type="first" r:id="rId22"/>
      <w:footnotePr/>
      <w:endnotePr/>
      <w:type w:val="nextPage"/>
      <w:pgSz w:h="16838" w:orient="portrait" w:w="11906"/>
      <w:pgMar w:top="1134" w:right="567" w:bottom="1134" w:left="1134" w:header="709" w:footer="709" w:gutter="0"/>
      <w:pgNumType w:start="2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Noto Sans CJK SC">
    <w:panose1 w:val="020E0502030303020204"/>
  </w:font>
  <w:font w:name="Liberation Sans">
    <w:panose1 w:val="020B0604020202020204"/>
  </w:font>
  <w:font w:name="ＭＳ 明朝">
    <w:panose1 w:val="02020603050405090304"/>
  </w:font>
  <w:font w:name="Courier New">
    <w:panose1 w:val="02070309020205020404"/>
  </w:font>
  <w:font w:name="Noto Sans Devanagari">
    <w:panose1 w:val="020E0502030303020204"/>
  </w:font>
  <w:font w:name="Cambria">
    <w:panose1 w:val="02040503050406030204"/>
  </w:font>
  <w:font w:name="Lucida Grande">
    <w:panose1 w:val="020E0502030303020204"/>
  </w:font>
  <w:font w:name="ＭＳ ゴシック">
    <w:panose1 w:val="020B0609070205080204"/>
  </w:font>
  <w:font w:name="Times New Roman">
    <w:panose1 w:val="02020603050405020304"/>
  </w:font>
  <w:font w:name="Source Sans Pro">
    <w:panose1 w:val="020E0502030303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7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7"/>
      <w:pBdr/>
      <w:spacing/>
      <w:ind/>
      <w:rPr>
        <w:rStyle w:val="1734"/>
      </w:rPr>
    </w:pPr>
    <w:r>
      <w:rPr>
        <w:rStyle w:val="1734"/>
      </w:rPr>
      <w:fldChar w:fldCharType="begin"/>
    </w:r>
    <w:r>
      <w:rPr>
        <w:rStyle w:val="1734"/>
      </w:rPr>
      <w:instrText xml:space="preserve"> PAGE </w:instrText>
    </w:r>
    <w:r>
      <w:rPr>
        <w:rStyle w:val="1734"/>
      </w:rPr>
      <w:fldChar w:fldCharType="separate"/>
    </w:r>
    <w:r>
      <w:rPr>
        <w:rStyle w:val="1734"/>
      </w:rPr>
      <w:t xml:space="preserve">0</w:t>
    </w:r>
    <w:r>
      <w:rPr>
        <w:rStyle w:val="1734"/>
      </w:rPr>
      <w:fldChar w:fldCharType="end"/>
    </w:r>
    <w:r>
      <w:rPr>
        <w:rStyle w:val="1734"/>
      </w:rPr>
    </w:r>
    <w:r>
      <w:rPr>
        <w:rStyle w:val="1734"/>
      </w:rPr>
    </w:r>
  </w:p>
  <w:p>
    <w:pPr>
      <w:pStyle w:val="1787"/>
      <w:pBdr/>
      <w:spacing/>
      <w:ind/>
      <w:rPr/>
    </w:pPr>
    <w:r/>
    <w:r/>
  </w:p>
  <w:p>
    <w:pPr>
      <w:pStyle w:val="172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7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7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CC87B6">
    <w:pPr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360" cy="5241240"/>
              <wp:effectExtent l="0" t="0" r="0" b="0"/>
              <wp:wrapNone/>
              <wp:docPr id="3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 flipH="0" flipV="0">
                          <a:off x="0" y="4326837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2B9E6289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bidi="ru-RU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подл.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05DF958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881CBFA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Взам. инв. №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A11C594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дубл.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1C98E72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и дата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0" o:spid="_x0000_s0000" style="position:absolute;z-index:-2;o:allowoverlap:true;o:allowincell:true;mso-position-horizontal-relative:page;margin-left:25.50pt;mso-position-horizontal:absolute;mso-position-vertical-relative:page;margin-top:354.40pt;mso-position-vertical:absolute;width:34.04pt;height:412.70pt;mso-wrap-distance-left:1.50pt;mso-wrap-distance-top:1.50pt;mso-wrap-distance-right:2.00pt;mso-wrap-distance-bottom:2.80pt;rotation:0;" coordorigin="0,0" coordsize="4323,52412">
              <v:line id="shape 31" o:spid="_x0000_s31" style="position:absolute;left:0;text-align:left;z-index:-2;visibility:visible;" from="25.5pt,354.4pt" to="59.5pt,767.1pt" filled="f" strokecolor="#000000" strokeweight="2.25pt"/>
              <v:line id="shape 32" o:spid="_x0000_s32" style="position:absolute;left:0;text-align:left;z-index:-2;visibility:visible;" from="25.5pt,354.4pt" to="59.5pt,767.1pt" filled="f" strokecolor="#000000" strokeweight="2.25pt"/>
              <v:line id="shape 33" o:spid="_x0000_s33" style="position:absolute;left:0;text-align:left;z-index:-2;visibility:visible;" from="25.5pt,354.4pt" to="59.5pt,767.1pt" filled="f" strokecolor="#000000" strokeweight="2.25pt"/>
              <v:line id="shape 34" o:spid="_x0000_s34" style="position:absolute;left:0;text-align:left;z-index:-2;visibility:visible;" from="25.5pt,354.4pt" to="59.5pt,767.1pt" filled="f" strokecolor="#000000" strokeweight="2.25pt"/>
              <v:line id="shape 35" o:spid="_x0000_s35" style="position:absolute;left:0;text-align:left;z-index:-2;visibility:visible;" from="25.5pt,354.4pt" to="59.5pt,767.1pt" filled="f" strokecolor="#000000" strokeweight="2.25pt"/>
              <v:line id="shape 36" o:spid="_x0000_s36" style="position:absolute;left:0;text-align:left;z-index:-2;visibility:visible;" from="25.5pt,354.4pt" to="59.5pt,767.1pt" filled="f" strokecolor="#000000" strokeweight="2.25pt"/>
              <v:line id="shape 37" o:spid="_x0000_s37" style="position:absolute;left:0;text-align:left;z-index:-2;visibility:visible;" from="25.5pt,354.4pt" to="59.5pt,767.1pt" filled="f" strokecolor="#000000" strokeweight="2.25pt"/>
              <v:line id="shape 38" o:spid="_x0000_s38" style="position:absolute;left:0;text-align:left;z-index:-2;visibility:visible;" from="25.5pt,354.4pt" to="59.5pt,767.1pt" filled="f" strokecolor="#000000" strokeweight="2.25pt"/>
              <v:line id="shape 39" o:spid="_x0000_s39" style="position:absolute;left:0;text-align:left;z-index:-2;visibility:visible;" from="25.5pt,354.4pt" to="59.5pt,767.1pt" filled="f" strokecolor="#000000" strokeweight="2.25pt"/>
              <v:shape id="shape 40" o:spid="_x0000_s40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 w14:paraId="2B9E6289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bidi="ru-RU"/>
                          <w14:ligatures w14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подл.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 w14:paraId="405DF958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</w:t>
                      </w:r>
                      <w:r>
                        <w:rPr>
                          <w:sz w:val="20"/>
                          <w:szCs w:val="20"/>
                        </w:rPr>
                        <w:t xml:space="preserve">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 w14:paraId="6881CBFA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Взам. инв. №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3" o:spid="_x0000_s43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 w14:paraId="7A11C594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дубл.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4" o:spid="_x0000_s44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 w14:paraId="41C98E72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и дата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  <w:p>
    <w:pPr>
      <w:pStyle w:val="1787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  <w:t xml:space="preserve">2026</w:t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7"/>
      <w:pBdr/>
      <w:spacing/>
      <w:ind/>
      <w:rPr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20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 w14:paraId="47CC87B6">
    <w:pPr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360" cy="5241240"/>
              <wp:effectExtent l="0" t="0" r="0" b="0"/>
              <wp:wrapNone/>
              <wp:docPr id="1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 flipH="0" flipV="0">
                          <a:off x="0" y="4326837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2B9E6289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bidi="ru-RU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подл.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05DF958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881CBFA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Взам. инв. №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A11C594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дубл.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1C98E72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и дата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;o:allowoverlap:true;o:allowincell:true;mso-position-horizontal-relative:page;margin-left:25.50pt;mso-position-horizontal:absolute;mso-position-vertical-relative:page;margin-top:354.40pt;mso-position-vertical:absolute;width:34.04pt;height:412.70pt;mso-wrap-distance-left:1.50pt;mso-wrap-distance-top:1.50pt;mso-wrap-distance-right:2.00pt;mso-wrap-distance-bottom:2.80pt;rotation:0;" coordorigin="0,0" coordsize="4323,52412">
              <v:line id="shape 1" o:spid="_x0000_s1" style="position:absolute;left:0;text-align:left;z-index:-2;visibility:visible;" from="25.5pt,354.4pt" to="59.5pt,767.1pt" filled="f" strokecolor="#000000" strokeweight="2.25pt"/>
              <v:line id="shape 2" o:spid="_x0000_s2" style="position:absolute;left:0;text-align:left;z-index:-2;visibility:visible;" from="25.5pt,354.4pt" to="59.5pt,767.1pt" filled="f" strokecolor="#000000" strokeweight="2.25pt"/>
              <v:line id="shape 3" o:spid="_x0000_s3" style="position:absolute;left:0;text-align:left;z-index:-2;visibility:visible;" from="25.5pt,354.4pt" to="59.5pt,767.1pt" filled="f" strokecolor="#000000" strokeweight="2.25pt"/>
              <v:line id="shape 4" o:spid="_x0000_s4" style="position:absolute;left:0;text-align:left;z-index:-2;visibility:visible;" from="25.5pt,354.4pt" to="59.5pt,767.1pt" filled="f" strokecolor="#000000" strokeweight="2.25pt"/>
              <v:line id="shape 5" o:spid="_x0000_s5" style="position:absolute;left:0;text-align:left;z-index:-2;visibility:visible;" from="25.5pt,354.4pt" to="59.5pt,767.1pt" filled="f" strokecolor="#000000" strokeweight="2.25pt"/>
              <v:line id="shape 6" o:spid="_x0000_s6" style="position:absolute;left:0;text-align:left;z-index:-2;visibility:visible;" from="25.5pt,354.4pt" to="59.5pt,767.1pt" filled="f" strokecolor="#000000" strokeweight="2.25pt"/>
              <v:line id="shape 7" o:spid="_x0000_s7" style="position:absolute;left:0;text-align:left;z-index:-2;visibility:visible;" from="25.5pt,354.4pt" to="59.5pt,767.1pt" filled="f" strokecolor="#000000" strokeweight="2.25pt"/>
              <v:line id="shape 8" o:spid="_x0000_s8" style="position:absolute;left:0;text-align:left;z-index:-2;visibility:visible;" from="25.5pt,354.4pt" to="59.5pt,767.1pt" filled="f" strokecolor="#000000" strokeweight="2.25pt"/>
              <v:line id="shape 9" o:spid="_x0000_s9" style="position:absolute;left:0;text-align:left;z-index:-2;visibility:visible;" from="25.5pt,354.4pt" to="59.5pt,767.1pt" filled="f" strokecolor="#000000" strokeweight="2.25pt"/>
              <v:shape id="shape 10" o:spid="_x0000_s10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 w14:paraId="2B9E6289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bidi="ru-RU"/>
                          <w14:ligatures w14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подл.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1" o:spid="_x0000_s11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 w14:paraId="405DF958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</w:t>
                      </w:r>
                      <w:r>
                        <w:rPr>
                          <w:sz w:val="20"/>
                          <w:szCs w:val="20"/>
                        </w:rPr>
                        <w:t xml:space="preserve">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 w14:paraId="6881CBFA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Взам. инв. №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 w14:paraId="7A11C594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дубл.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 w14:paraId="41C98E72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и дата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  <w:p>
    <w:pPr>
      <w:pStyle w:val="1786"/>
      <w:pBdr/>
      <w:spacing/>
      <w:ind/>
      <w:rPr/>
    </w:pPr>
    <w:r>
      <w:rPr>
        <w:highlight w:val="white"/>
      </w:rPr>
    </w:r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20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>
    <w:pPr>
      <w:pStyle w:val="1786"/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0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435" cy="5241290"/>
              <wp:effectExtent l="14604" t="14604" r="14604" b="14604"/>
              <wp:wrapNone/>
              <wp:docPr id="2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0" y="432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20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/>
                            <w:bookmarkStart w:id="10" w:name="_Hlk175305000"/>
                            <w:r/>
                            <w:bookmarkStart w:id="11" w:name="_Hlk175304639"/>
                            <w:r/>
                            <w:bookmarkStart w:id="12" w:name="_Hlk175304638"/>
                            <w:r/>
                            <w:bookmarkStart w:id="13" w:name="_Hlk175305153"/>
                            <w:r/>
                            <w:bookmarkStart w:id="14" w:name="_Hlk175305077"/>
                            <w:r/>
                            <w:bookmarkStart w:id="15" w:name="_Hlk175305152"/>
                            <w:r/>
                            <w:bookmarkStart w:id="16" w:name="_Hlk175305076"/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подл.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25560" rIns="0" bIns="0" anchor="t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20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20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Взам. инв. №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20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дубл.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38160" rIns="0" bIns="0" anchor="t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20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" o:spid="_x0000_s0000" style="position:absolute;z-index:-2;o:allowoverlap:true;o:allowincell:false;mso-position-horizontal-relative:page;margin-left:25.50pt;mso-position-horizontal:absolute;mso-position-vertical-relative:page;margin-top:354.40pt;mso-position-vertical:absolute;width:34.05pt;height:412.70pt;mso-wrap-distance-left:1.50pt;mso-wrap-distance-top:1.50pt;mso-wrap-distance-right:2.00pt;mso-wrap-distance-bottom:2.80pt;" coordorigin="0,0" coordsize="4323,52412">
              <v:line id="shape 16" o:spid="_x0000_s16" style="position:absolute;left:0;text-align:left;z-index:-2;visibility:visible;" from="25.5pt,354.4pt" to="59.5pt,767.1pt" filled="f" strokecolor="#000000" strokeweight="2.25pt"/>
              <v:line id="shape 17" o:spid="_x0000_s17" style="position:absolute;left:0;text-align:left;z-index:-2;visibility:visible;" from="25.5pt,354.4pt" to="59.5pt,767.1pt" filled="f" strokecolor="#000000" strokeweight="2.25pt"/>
              <v:line id="shape 18" o:spid="_x0000_s18" style="position:absolute;left:0;text-align:left;z-index:-2;visibility:visible;" from="25.5pt,354.4pt" to="59.5pt,767.1pt" filled="f" strokecolor="#000000" strokeweight="2.25pt"/>
              <v:line id="shape 19" o:spid="_x0000_s19" style="position:absolute;left:0;text-align:left;z-index:-2;visibility:visible;" from="25.5pt,354.4pt" to="59.5pt,767.1pt" filled="f" strokecolor="#000000" strokeweight="2.25pt"/>
              <v:line id="shape 20" o:spid="_x0000_s20" style="position:absolute;left:0;text-align:left;z-index:-2;visibility:visible;" from="25.5pt,354.4pt" to="59.5pt,767.1pt" filled="f" strokecolor="#000000" strokeweight="2.25pt"/>
              <v:line id="shape 21" o:spid="_x0000_s21" style="position:absolute;left:0;text-align:left;z-index:-2;visibility:visible;" from="25.5pt,354.4pt" to="59.5pt,767.1pt" filled="f" strokecolor="#000000" strokeweight="2.25pt"/>
              <v:line id="shape 22" o:spid="_x0000_s22" style="position:absolute;left:0;text-align:left;z-index:-2;visibility:visible;" from="25.5pt,354.4pt" to="59.5pt,767.1pt" filled="f" strokecolor="#000000" strokeweight="2.25pt"/>
              <v:line id="shape 23" o:spid="_x0000_s23" style="position:absolute;left:0;text-align:left;z-index:-2;visibility:visible;" from="25.5pt,354.4pt" to="59.5pt,767.1pt" filled="f" strokecolor="#000000" strokeweight="2.25pt"/>
              <v:line id="shape 24" o:spid="_x0000_s24" style="position:absolute;left:0;text-align:left;z-index:-2;visibility:visible;" from="25.5pt,354.4pt" to="59.5pt,767.1pt" filled="f" strokecolor="#000000" strokeweight="2.25pt"/>
              <v:shape id="shape 25" o:spid="_x0000_s25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>
                      <w:pPr>
                        <w:pStyle w:val="1720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/>
                      <w:bookmarkStart w:id="10" w:name="_Hlk175305000"/>
                      <w:r/>
                      <w:bookmarkStart w:id="11" w:name="_Hlk175304639"/>
                      <w:r/>
                      <w:bookmarkStart w:id="12" w:name="_Hlk175304638"/>
                      <w:r/>
                      <w:bookmarkStart w:id="13" w:name="_Hlk175305153"/>
                      <w:r/>
                      <w:bookmarkStart w:id="14" w:name="_Hlk175305077"/>
                      <w:r/>
                      <w:bookmarkStart w:id="15" w:name="_Hlk175305152"/>
                      <w:r/>
                      <w:bookmarkStart w:id="16" w:name="_Hlk175305076"/>
                      <w:r>
                        <w:rPr>
                          <w:sz w:val="20"/>
                          <w:szCs w:val="20"/>
                        </w:rPr>
                        <w:t xml:space="preserve">Инв. № подл.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6" o:spid="_x0000_s26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>
                      <w:pPr>
                        <w:pStyle w:val="1720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7" o:spid="_x0000_s27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>
                      <w:pPr>
                        <w:pStyle w:val="1720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Взам. инв. №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8" o:spid="_x0000_s28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>
                      <w:pPr>
                        <w:pStyle w:val="1720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дубл.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9" o:spid="_x0000_s29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>
                      <w:pPr>
                        <w:pStyle w:val="1720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bookmarkEnd w:id="10"/>
    <w:r/>
    <w:bookmarkEnd w:id="11"/>
    <w:r/>
    <w:bookmarkEnd w:id="12"/>
    <w:r/>
    <w:bookmarkEnd w:id="13"/>
    <w:r/>
    <w:bookmarkEnd w:id="14"/>
    <w:r/>
    <w:bookmarkEnd w:id="15"/>
    <w:r/>
    <w:bookmarkEnd w:id="16"/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43013856"/>
      <w:docPartObj>
        <w:docPartGallery w:val="Page Numbers (Top of Page)"/>
        <w:docPartUnique w:val="true"/>
      </w:docPartObj>
      <w:rPr/>
    </w:sdtPr>
    <w:sdtContent>
      <w:p>
        <w:pPr>
          <w:pStyle w:val="1786"/>
          <w:pBdr/>
          <w:spacing/>
          <w:ind w:firstLine="0"/>
          <w:jc w:val="center"/>
          <w:rPr>
            <w:b/>
            <w:bCs w:val="0"/>
          </w:rPr>
        </w:pPr>
        <w:r>
          <w:rPr>
            <w:b/>
            <w:bCs w:val="0"/>
          </w:rPr>
          <w:fldChar w:fldCharType="begin"/>
        </w:r>
        <w:r>
          <w:rPr>
            <w:b/>
            <w:bCs w:val="0"/>
          </w:rPr>
          <w:instrText xml:space="preserve"> PAGE </w:instrText>
        </w:r>
        <w:r>
          <w:rPr>
            <w:b/>
            <w:bCs w:val="0"/>
          </w:rPr>
          <w:fldChar w:fldCharType="separate"/>
        </w:r>
        <w:r>
          <w:rPr>
            <w:b/>
            <w:bCs w:val="0"/>
          </w:rPr>
          <w:t xml:space="preserve">3</w:t>
        </w:r>
        <w:r>
          <w:rPr>
            <w:b/>
            <w:bCs w:val="0"/>
          </w:rPr>
          <w:fldChar w:fldCharType="end"/>
        </w:r>
        <w:r>
          <w:rPr>
            <w:b/>
            <w:bCs w:val="0"/>
          </w:rPr>
        </w:r>
        <w:r>
          <w:rPr>
            <w:b/>
            <w:bCs w:val="0"/>
          </w:rPr>
        </w:r>
      </w:p>
      <w:p>
        <w:pPr>
          <w:pStyle w:val="1786"/>
          <w:pBdr/>
          <w:spacing/>
          <w:ind w:firstLine="0"/>
          <w:jc w:val="center"/>
          <w:rPr>
            <w:b/>
            <w:bCs w:val="0"/>
            <w:lang w:val="en-US"/>
          </w:rPr>
        </w:pPr>
        <w:r>
          <w:rPr>
            <w:b/>
            <w:bCs w:val="0"/>
          </w:rPr>
          <w:t xml:space="preserve">RU.02068516.62.01.29-140 3</w:t>
        </w:r>
        <w:r>
          <w:rPr>
            <w:b/>
            <w:bCs w:val="0"/>
          </w:rPr>
          <w:t xml:space="preserve">4 0</w:t>
        </w:r>
        <w:r>
          <w:rPr>
            <w:b/>
            <w:bCs w:val="0"/>
            <w:lang w:val="en-US"/>
          </w:rPr>
          <w:t xml:space="preserve">2</w:t>
        </w:r>
        <w:r>
          <w:rPr>
            <w:b/>
            <w:bCs w:val="0"/>
            <w:lang w:val="en-US"/>
          </w:rPr>
        </w:r>
        <w:r>
          <w:rPr>
            <w:b/>
            <w:bCs w:val="0"/>
            <w:lang w:val="en-US"/>
          </w:rPr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20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 w14:paraId="47CC87B6">
    <w:pPr>
      <w:pBdr/>
      <w:spacing/>
      <w:ind/>
      <w:rPr/>
    </w:pPr>
    <w:r>
      <w:rPr>
        <w:highlight w:val="white"/>
      </w:rPr>
    </w:r>
    <w:r/>
  </w:p>
  <w:p>
    <w:pPr>
      <w:pStyle w:val="1786"/>
      <w:pBdr/>
      <w:spacing/>
      <w:ind/>
      <w:rPr/>
    </w:pPr>
    <w:r/>
    <w:bookmarkStart w:id="17" w:name="_Hlk175305153_Copy_17"/>
    <w:r/>
    <w:bookmarkStart w:id="18" w:name="_Hlk175304638_Copy_17"/>
    <w:r/>
    <w:bookmarkStart w:id="19" w:name="_Hlk175304639_Copy_17"/>
    <w:r/>
    <w:bookmarkStart w:id="20" w:name="_Hlk175305000_Copy_17"/>
    <w:r/>
    <w:bookmarkStart w:id="21" w:name="_Hlk175305077_Copy_17"/>
    <w:r/>
    <w:bookmarkStart w:id="22" w:name="_Hlk175305076_Copy_17"/>
    <w:r/>
    <w:bookmarkStart w:id="23" w:name="_Hlk175305152_Copy_17"/>
    <w:r/>
    <w:bookmarkEnd w:id="17"/>
    <w:r/>
    <w:bookmarkEnd w:id="18"/>
    <w:r/>
    <w:bookmarkEnd w:id="19"/>
    <w:r/>
    <w:bookmarkEnd w:id="20"/>
    <w:r/>
    <w:bookmarkEnd w:id="21"/>
    <w:r/>
    <w:bookmarkEnd w:id="22"/>
    <w:r/>
    <w:bookmarkEnd w:id="23"/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86675744"/>
      <w:docPartObj>
        <w:docPartGallery w:val="Page Numbers (Top of Page)"/>
        <w:docPartUnique w:val="true"/>
      </w:docPartObj>
      <w:rPr/>
    </w:sdtPr>
    <w:sdtContent>
      <w:p>
        <w:pPr>
          <w:pStyle w:val="1786"/>
          <w:pBdr/>
          <w:spacing/>
          <w:ind w:firstLine="0"/>
          <w:jc w:val="center"/>
          <w:rPr>
            <w:b/>
            <w:bCs w:val="0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48</w:t>
        </w:r>
        <w:r>
          <w:fldChar w:fldCharType="end"/>
        </w:r>
        <w:r>
          <w:rPr>
            <w:b/>
            <w:bCs w:val="0"/>
          </w:rPr>
        </w:r>
        <w:r>
          <w:rPr>
            <w:b/>
            <w:bCs w:val="0"/>
          </w:rPr>
        </w:r>
      </w:p>
    </w:sdtContent>
  </w:sdt>
  <w:p>
    <w:pPr>
      <w:pStyle w:val="1786"/>
      <w:pBdr/>
      <w:spacing/>
      <w:ind w:firstLine="0"/>
      <w:jc w:val="center"/>
      <w:rPr>
        <w:b/>
        <w:bCs w:val="0"/>
      </w:rPr>
    </w:pPr>
    <w:r>
      <w:rPr>
        <w:b/>
        <w:bCs w:val="0"/>
      </w:rPr>
      <w:t xml:space="preserve">RU.02068516.62.01.29-140 34 02</w:t>
    </w:r>
    <w:r>
      <w:rPr>
        <w:b/>
        <w:bCs w:val="0"/>
      </w:rPr>
    </w:r>
    <w:r>
      <w:rPr>
        <w:b/>
        <w:bCs w:val="0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864" w:left="864"/>
      </w:pPr>
      <w:pStyle w:val="1724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08" w:left="1008"/>
      </w:pPr>
      <w:pStyle w:val="1725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152" w:left="1152"/>
      </w:pPr>
      <w:pStyle w:val="1726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296" w:left="1296"/>
      </w:pPr>
      <w:pStyle w:val="1727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440" w:left="1440"/>
      </w:pPr>
      <w:pStyle w:val="1728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1584" w:left="1584"/>
      </w:pPr>
      <w:pStyle w:val="1729"/>
      <w:rPr/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-141"/>
      </w:pPr>
      <w:pStyle w:val="1721"/>
      <w:rPr>
        <w:rFonts w:ascii="Times New Roman" w:hAnsi="Times New Roman"/>
        <w:b/>
        <w:i w:val="0"/>
        <w:caps w:val="0"/>
        <w:smallCaps w:val="0"/>
        <w:strike w:val="0"/>
        <w:vanish w:val="0"/>
        <w:color w:val="000000"/>
        <w:position w:val="0"/>
        <w:sz w:val="32"/>
        <w:szCs w:val="36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firstLine="851" w:left="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firstLine="851" w:left="7938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4"/>
        <w:szCs w:val="24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firstLine="851" w:left="425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firstLine="851" w:left="1843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firstLine="851" w:left="0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</w:abstractNum>
  <w:abstractNum w:abstractNumId="2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91" w:left="800"/>
      </w:pPr>
      <w:pStyle w:val="1820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tabs>
          <w:tab w:val="num" w:leader="none" w:pos="1563"/>
        </w:tabs>
        <w:spacing/>
        <w:ind w:hanging="360" w:left="15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283"/>
        </w:tabs>
        <w:spacing/>
        <w:ind w:hanging="180" w:left="22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03"/>
        </w:tabs>
        <w:spacing/>
        <w:ind w:hanging="360" w:left="30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723"/>
        </w:tabs>
        <w:spacing/>
        <w:ind w:hanging="360" w:left="37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443"/>
        </w:tabs>
        <w:spacing/>
        <w:ind w:hanging="180" w:left="44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163"/>
        </w:tabs>
        <w:spacing/>
        <w:ind w:hanging="360" w:left="51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883"/>
        </w:tabs>
        <w:spacing/>
        <w:ind w:hanging="360" w:left="58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603"/>
        </w:tabs>
        <w:spacing/>
        <w:ind w:hanging="180" w:left="6603"/>
      </w:pPr>
      <w:rPr/>
      <w:start w:val="1"/>
      <w:suff w:val="tab"/>
    </w:lvl>
  </w:abstractNum>
  <w:abstractNum w:abstractNumId="3">
    <w:lvl w:ilvl="0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firstLine="851" w:left="3402"/>
      </w:pPr>
      <w:pStyle w:val="1821"/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tab"/>
    </w:lvl>
    <w:lvl w:ilvl="1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1701"/>
      </w:pPr>
      <w:pStyle w:val="1822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2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126"/>
      </w:pPr>
      <w:pStyle w:val="1823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3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551"/>
      </w:pPr>
      <w:pStyle w:val="1824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29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40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82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25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6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0"/>
      </w:pPr>
      <w:pStyle w:val="1826"/>
      <w:rPr>
        <w:rFonts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1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2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3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</w:abstractNum>
  <w:abstractNum w:abstractNumId="5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360" w:left="360"/>
      </w:pPr>
      <w:pStyle w:val="1842"/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2-%3)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44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80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16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52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88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324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70">
    <w:name w:val="Table Grid Light"/>
    <w:basedOn w:val="18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Plain Table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Plain Table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Plain Table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1 Light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1 Light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1 Light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1 Light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1 Light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1 Light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1 Light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2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2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2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2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2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2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3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3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3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3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3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3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4"/>
    <w:basedOn w:val="18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4 - Accent 1"/>
    <w:basedOn w:val="18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4 - Accent 2"/>
    <w:basedOn w:val="18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4 - Accent 3"/>
    <w:basedOn w:val="18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4 - Accent 4"/>
    <w:basedOn w:val="18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4 - Accent 5"/>
    <w:basedOn w:val="18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4 - Accent 6"/>
    <w:basedOn w:val="18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5 Dark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5 Dark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5 Dark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5 Dark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5 Dark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5 Dark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5 Dark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6 Colorful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6 Colorful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6 Colorful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6 Colorful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6 Colorful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6 Colorful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6 Colorful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7 Colorful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7 Colorful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7 Colorful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7 Colorful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7 Colorful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7 Colorful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7 Colorful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1 Light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1 Light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1 Light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1 Light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1 Light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1 Light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1 Light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2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2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2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2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2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2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3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3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3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3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3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3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4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4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4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4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4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4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5 Dark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5 Dark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5 Dark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5 Dark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5 Dark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5 Dark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5 Dark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6 Colorful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6 Colorful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6 Colorful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6 Colorful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6 Colorful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6 Colorful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6 Colorful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7 Colorful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7 Colorful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7 Colorful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7 Colorful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7 Colorful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7 Colorful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7 Colorful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ned - Accent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ned - Accent 1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ned - Accent 2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ned - Accent 3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ned - Accent 4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ned - Accent 5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ned - Accent 6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&amp; Lined - Accent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&amp; Lined - Accent 1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 &amp; Lined - Accent 2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&amp; Lined - Accent 3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Bordered &amp; Lined - Accent 4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Bordered &amp; Lined - Accent 5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Bordered &amp; Lined - Accent 6"/>
    <w:basedOn w:val="18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Bordered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Bordered - Accent 1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Bordered - Accent 2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Bordered - Accent 3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Bordered - Accent 4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Bordered - Accent 5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Bordered - Accent 6"/>
    <w:basedOn w:val="18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93">
    <w:name w:val="Heading 1 Char"/>
    <w:basedOn w:val="1730"/>
    <w:link w:val="1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94">
    <w:name w:val="Heading 2 Char"/>
    <w:basedOn w:val="1730"/>
    <w:link w:val="1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95">
    <w:name w:val="Heading 3 Char"/>
    <w:basedOn w:val="1730"/>
    <w:link w:val="1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96">
    <w:name w:val="Heading 4 Char"/>
    <w:basedOn w:val="1730"/>
    <w:link w:val="1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7">
    <w:name w:val="Heading 5 Char"/>
    <w:basedOn w:val="1730"/>
    <w:link w:val="1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8">
    <w:name w:val="Heading 6 Char"/>
    <w:basedOn w:val="1730"/>
    <w:link w:val="1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9">
    <w:name w:val="Heading 7 Char"/>
    <w:basedOn w:val="1730"/>
    <w:link w:val="1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0">
    <w:name w:val="Heading 8 Char"/>
    <w:basedOn w:val="1730"/>
    <w:link w:val="1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1">
    <w:name w:val="Heading 9 Char"/>
    <w:basedOn w:val="1730"/>
    <w:link w:val="1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2">
    <w:name w:val="Title Char"/>
    <w:basedOn w:val="1730"/>
    <w:link w:val="17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3">
    <w:name w:val="Subtitle"/>
    <w:basedOn w:val="1720"/>
    <w:next w:val="1720"/>
    <w:link w:val="170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4">
    <w:name w:val="Subtitle Char"/>
    <w:basedOn w:val="1730"/>
    <w:link w:val="17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5">
    <w:name w:val="Quote"/>
    <w:basedOn w:val="1720"/>
    <w:next w:val="1720"/>
    <w:link w:val="17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6">
    <w:name w:val="Quote Char"/>
    <w:basedOn w:val="1730"/>
    <w:link w:val="170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07">
    <w:name w:val="Intense Quote Char"/>
    <w:basedOn w:val="1730"/>
    <w:link w:val="18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08">
    <w:name w:val="Subtle Emphasis"/>
    <w:basedOn w:val="1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09">
    <w:name w:val="Strong"/>
    <w:basedOn w:val="1730"/>
    <w:uiPriority w:val="22"/>
    <w:qFormat/>
    <w:pPr>
      <w:pBdr/>
      <w:spacing/>
      <w:ind/>
    </w:pPr>
    <w:rPr>
      <w:b/>
      <w:bCs/>
    </w:rPr>
  </w:style>
  <w:style w:type="character" w:styleId="1710">
    <w:name w:val="Subtle Reference"/>
    <w:basedOn w:val="1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1">
    <w:name w:val="Book Title"/>
    <w:basedOn w:val="17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12">
    <w:name w:val="Header Char"/>
    <w:basedOn w:val="1730"/>
    <w:link w:val="1786"/>
    <w:uiPriority w:val="99"/>
    <w:pPr>
      <w:pBdr/>
      <w:spacing/>
      <w:ind/>
    </w:pPr>
  </w:style>
  <w:style w:type="character" w:styleId="1713">
    <w:name w:val="Footer Char"/>
    <w:basedOn w:val="1730"/>
    <w:link w:val="1787"/>
    <w:uiPriority w:val="99"/>
    <w:pPr>
      <w:pBdr/>
      <w:spacing/>
      <w:ind/>
    </w:pPr>
  </w:style>
  <w:style w:type="character" w:styleId="1714">
    <w:name w:val="Footnote Text Char"/>
    <w:basedOn w:val="1730"/>
    <w:link w:val="1841"/>
    <w:uiPriority w:val="99"/>
    <w:semiHidden/>
    <w:pPr>
      <w:pBdr/>
      <w:spacing/>
      <w:ind/>
    </w:pPr>
    <w:rPr>
      <w:sz w:val="20"/>
      <w:szCs w:val="20"/>
    </w:rPr>
  </w:style>
  <w:style w:type="paragraph" w:styleId="1715">
    <w:name w:val="endnote text"/>
    <w:basedOn w:val="1720"/>
    <w:link w:val="17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6">
    <w:name w:val="Endnote Text Char"/>
    <w:basedOn w:val="1730"/>
    <w:link w:val="1715"/>
    <w:uiPriority w:val="99"/>
    <w:semiHidden/>
    <w:pPr>
      <w:pBdr/>
      <w:spacing/>
      <w:ind/>
    </w:pPr>
    <w:rPr>
      <w:sz w:val="20"/>
      <w:szCs w:val="20"/>
    </w:rPr>
  </w:style>
  <w:style w:type="character" w:styleId="1717">
    <w:name w:val="endnote reference"/>
    <w:basedOn w:val="1730"/>
    <w:uiPriority w:val="99"/>
    <w:semiHidden/>
    <w:unhideWhenUsed/>
    <w:pPr>
      <w:pBdr/>
      <w:spacing/>
      <w:ind/>
    </w:pPr>
    <w:rPr>
      <w:vertAlign w:val="superscript"/>
    </w:rPr>
  </w:style>
  <w:style w:type="character" w:styleId="1718">
    <w:name w:val="FollowedHyperlink"/>
    <w:basedOn w:val="1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19">
    <w:name w:val="table of figures"/>
    <w:basedOn w:val="1720"/>
    <w:next w:val="1720"/>
    <w:uiPriority w:val="99"/>
    <w:unhideWhenUsed/>
    <w:pPr>
      <w:pBdr/>
      <w:spacing w:after="0" w:afterAutospacing="0"/>
      <w:ind/>
    </w:pPr>
  </w:style>
  <w:style w:type="paragraph" w:styleId="1720" w:default="1">
    <w:name w:val="Normal"/>
    <w:qFormat/>
    <w:pPr>
      <w:widowControl w:val="true"/>
      <w:pBdr/>
      <w:bidi w:val="false"/>
      <w:spacing w:after="0" w:before="0" w:line="360" w:lineRule="auto"/>
      <w:ind w:firstLine="720"/>
      <w:contextualSpacing w:val="true"/>
      <w:jc w:val="both"/>
    </w:pPr>
    <w:rPr>
      <w:rFonts w:ascii="Times New Roman" w:hAnsi="Times New Roman" w:eastAsia="Times New Roman" w:cs="Arial"/>
      <w:bCs/>
      <w:iCs/>
      <w:color w:val="auto"/>
      <w:sz w:val="24"/>
      <w:szCs w:val="24"/>
      <w:lang w:val="ru-RU" w:eastAsia="ru-RU" w:bidi="ar-SA"/>
    </w:rPr>
  </w:style>
  <w:style w:type="paragraph" w:styleId="1721">
    <w:name w:val="Heading 1"/>
    <w:basedOn w:val="1720"/>
    <w:next w:val="1720"/>
    <w:link w:val="1749"/>
    <w:qFormat/>
    <w:pPr>
      <w:keepNext w:val="true"/>
      <w:keepLines w:val="true"/>
      <w:pageBreakBefore w:val="true"/>
      <w:numPr>
        <w:ilvl w:val="0"/>
        <w:numId w:val="2"/>
      </w:numPr>
      <w:pBdr/>
      <w:spacing w:after="0" w:before="120"/>
      <w:ind w:firstLine="709" w:left="0"/>
      <w:contextualSpacing w:val="true"/>
      <w:outlineLvl w:val="0"/>
    </w:pPr>
    <w:rPr>
      <w:b/>
      <w:color w:val="000000" w:themeColor="text1"/>
      <w:sz w:val="32"/>
      <w:szCs w:val="32"/>
    </w:rPr>
  </w:style>
  <w:style w:type="paragraph" w:styleId="1722">
    <w:name w:val="Heading 2"/>
    <w:basedOn w:val="1816"/>
    <w:next w:val="1720"/>
    <w:link w:val="1752"/>
    <w:qFormat/>
    <w:pPr>
      <w:pBdr/>
      <w:spacing/>
      <w:ind/>
    </w:pPr>
  </w:style>
  <w:style w:type="paragraph" w:styleId="1723">
    <w:name w:val="Heading 3"/>
    <w:basedOn w:val="1722"/>
    <w:next w:val="1720"/>
    <w:link w:val="1753"/>
    <w:qFormat/>
    <w:pPr>
      <w:pBdr/>
      <w:spacing/>
      <w:ind w:firstLine="709" w:left="567"/>
      <w:outlineLvl w:val="2"/>
    </w:pPr>
  </w:style>
  <w:style w:type="paragraph" w:styleId="1724">
    <w:name w:val="Heading 4"/>
    <w:basedOn w:val="1720"/>
    <w:next w:val="1720"/>
    <w:link w:val="1736"/>
    <w:qFormat/>
    <w:pPr>
      <w:keepNext w:val="true"/>
      <w:keepLines w:val="true"/>
      <w:numPr>
        <w:ilvl w:val="3"/>
        <w:numId w:val="1"/>
      </w:numPr>
      <w:pBdr/>
      <w:spacing w:after="0" w:before="240"/>
      <w:ind/>
      <w:contextualSpacing w:val="true"/>
      <w:outlineLvl w:val="3"/>
    </w:pPr>
    <w:rPr>
      <w:rFonts w:eastAsia="ＭＳ ゴシック" w:eastAsiaTheme="majorEastAsia" w:cstheme="majorBidi"/>
      <w:iCs w:val="0"/>
      <w:color w:val="595959" w:themeColor="text1" w:themeTint="A6"/>
    </w:rPr>
  </w:style>
  <w:style w:type="paragraph" w:styleId="1725">
    <w:name w:val="Heading 5"/>
    <w:basedOn w:val="1720"/>
    <w:next w:val="1720"/>
    <w:link w:val="1737"/>
    <w:unhideWhenUsed/>
    <w:qFormat/>
    <w:pPr>
      <w:keepNext w:val="true"/>
      <w:keepLines w:val="true"/>
      <w:numPr>
        <w:ilvl w:val="4"/>
        <w:numId w:val="1"/>
      </w:numPr>
      <w:pBdr/>
      <w:spacing w:after="0" w:before="240"/>
      <w:ind/>
      <w:contextualSpacing w:val="true"/>
      <w:outlineLvl w:val="4"/>
    </w:pPr>
    <w:rPr>
      <w:rFonts w:eastAsia="ＭＳ ゴシック" w:eastAsiaTheme="majorEastAsia" w:cstheme="majorBidi"/>
      <w:color w:val="595959" w:themeColor="text1" w:themeTint="A6"/>
    </w:rPr>
  </w:style>
  <w:style w:type="paragraph" w:styleId="1726">
    <w:name w:val="Heading 6"/>
    <w:basedOn w:val="1720"/>
    <w:next w:val="1720"/>
    <w:link w:val="1738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240"/>
      <w:ind/>
      <w:contextualSpacing w:val="true"/>
      <w:outlineLvl w:val="5"/>
    </w:pPr>
    <w:rPr>
      <w:rFonts w:eastAsia="ＭＳ ゴシック" w:eastAsiaTheme="majorEastAsia" w:cstheme="majorBidi"/>
      <w:color w:val="7f7f7f" w:themeColor="text1" w:themeTint="80"/>
    </w:rPr>
  </w:style>
  <w:style w:type="paragraph" w:styleId="1727">
    <w:name w:val="Heading 7"/>
    <w:basedOn w:val="1720"/>
    <w:next w:val="1720"/>
    <w:link w:val="173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240"/>
      <w:ind/>
      <w:contextualSpacing w:val="true"/>
      <w:outlineLvl w:val="6"/>
    </w:pPr>
    <w:rPr>
      <w:rFonts w:eastAsia="ＭＳ ゴシック" w:eastAsiaTheme="majorEastAsia" w:cstheme="majorBidi"/>
      <w:color w:val="7f7f7f" w:themeColor="text1" w:themeTint="80"/>
    </w:rPr>
  </w:style>
  <w:style w:type="paragraph" w:styleId="1728">
    <w:name w:val="Heading 8"/>
    <w:basedOn w:val="1720"/>
    <w:next w:val="1720"/>
    <w:link w:val="1740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240"/>
      <w:ind/>
      <w:contextualSpacing w:val="true"/>
      <w:outlineLvl w:val="7"/>
    </w:pPr>
    <w:rPr>
      <w:rFonts w:eastAsia="ＭＳ ゴシック" w:eastAsiaTheme="majorEastAsia" w:cstheme="majorBidi"/>
      <w:color w:val="7f7f7f" w:themeColor="text1" w:themeTint="80"/>
      <w:szCs w:val="21"/>
    </w:rPr>
  </w:style>
  <w:style w:type="paragraph" w:styleId="1729">
    <w:name w:val="Heading 9"/>
    <w:basedOn w:val="1720"/>
    <w:next w:val="1720"/>
    <w:link w:val="1741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240"/>
      <w:ind/>
      <w:contextualSpacing w:val="true"/>
      <w:outlineLvl w:val="8"/>
    </w:pPr>
    <w:rPr>
      <w:rFonts w:eastAsia="ＭＳ ゴシック" w:eastAsiaTheme="majorEastAsia" w:cstheme="majorBidi"/>
      <w:color w:val="7f7f7f" w:themeColor="text1" w:themeTint="80"/>
      <w:szCs w:val="21"/>
    </w:rPr>
  </w:style>
  <w:style w:type="character" w:styleId="1730" w:default="1">
    <w:name w:val="Default Paragraph Font"/>
    <w:uiPriority w:val="1"/>
    <w:unhideWhenUsed/>
    <w:qFormat/>
    <w:pPr>
      <w:pBdr/>
      <w:spacing/>
      <w:ind/>
    </w:pPr>
  </w:style>
  <w:style w:type="character" w:styleId="1731">
    <w:name w:val="Hyperlink"/>
    <w:basedOn w:val="1730"/>
    <w:uiPriority w:val="99"/>
    <w:pPr>
      <w:pBdr/>
      <w:spacing/>
      <w:ind/>
    </w:pPr>
    <w:rPr>
      <w:color w:val="0000ff"/>
      <w:u w:val="single"/>
    </w:rPr>
  </w:style>
  <w:style w:type="character" w:styleId="1732" w:customStyle="1">
    <w:name w:val="Верхний колонтитул Знак"/>
    <w:basedOn w:val="1730"/>
    <w:link w:val="1786"/>
    <w:uiPriority w:val="99"/>
    <w:qFormat/>
    <w:pPr>
      <w:pBdr/>
      <w:spacing/>
      <w:ind/>
    </w:pPr>
    <w:rPr>
      <w:rFonts w:ascii="Arial" w:hAnsi="Arial"/>
      <w:sz w:val="20"/>
    </w:rPr>
  </w:style>
  <w:style w:type="character" w:styleId="1733" w:customStyle="1">
    <w:name w:val="Нижний колонтитул Знак"/>
    <w:basedOn w:val="1730"/>
    <w:link w:val="1787"/>
    <w:uiPriority w:val="99"/>
    <w:qFormat/>
    <w:pPr>
      <w:pBdr/>
      <w:spacing/>
      <w:ind/>
    </w:pPr>
    <w:rPr>
      <w:rFonts w:ascii="Arial" w:hAnsi="Arial"/>
      <w:sz w:val="18"/>
    </w:rPr>
  </w:style>
  <w:style w:type="character" w:styleId="1734">
    <w:name w:val="Page Number"/>
    <w:basedOn w:val="1730"/>
    <w:pPr>
      <w:pBdr/>
      <w:spacing/>
      <w:ind/>
    </w:pPr>
    <w:rPr>
      <w:rFonts w:ascii="Arial" w:hAnsi="Arial"/>
      <w:sz w:val="20"/>
    </w:rPr>
  </w:style>
  <w:style w:type="character" w:styleId="1735" w:customStyle="1">
    <w:name w:val="Схема документа Знак"/>
    <w:basedOn w:val="1730"/>
    <w:link w:val="1797"/>
    <w:qFormat/>
    <w:pPr>
      <w:pBdr/>
      <w:spacing/>
      <w:ind/>
    </w:pPr>
    <w:rPr>
      <w:rFonts w:ascii="Lucida Grande" w:hAnsi="Lucida Grande"/>
      <w:lang w:eastAsia="en-US"/>
    </w:rPr>
  </w:style>
  <w:style w:type="character" w:styleId="1736" w:customStyle="1">
    <w:name w:val="Заголовок 4 Знак"/>
    <w:basedOn w:val="1730"/>
    <w:link w:val="1724"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color w:val="595959" w:themeColor="text1" w:themeTint="A6"/>
      <w:sz w:val="24"/>
      <w:szCs w:val="24"/>
      <w:lang w:val="ru-RU" w:eastAsia="ru-RU"/>
    </w:rPr>
  </w:style>
  <w:style w:type="character" w:styleId="1737" w:customStyle="1">
    <w:name w:val="Заголовок 5 Знак"/>
    <w:basedOn w:val="1730"/>
    <w:link w:val="1725"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595959" w:themeColor="text1" w:themeTint="A6"/>
      <w:sz w:val="24"/>
      <w:szCs w:val="24"/>
      <w:lang w:val="ru-RU" w:eastAsia="ru-RU"/>
    </w:rPr>
  </w:style>
  <w:style w:type="character" w:styleId="1738" w:customStyle="1">
    <w:name w:val="Заголовок 6 Знак"/>
    <w:basedOn w:val="1730"/>
    <w:link w:val="1726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4"/>
      <w:lang w:val="ru-RU" w:eastAsia="ru-RU"/>
    </w:rPr>
  </w:style>
  <w:style w:type="character" w:styleId="1739" w:customStyle="1">
    <w:name w:val="Заголовок 7 Знак"/>
    <w:basedOn w:val="1730"/>
    <w:link w:val="1727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4"/>
      <w:lang w:val="ru-RU" w:eastAsia="ru-RU"/>
    </w:rPr>
  </w:style>
  <w:style w:type="character" w:styleId="1740" w:customStyle="1">
    <w:name w:val="Заголовок 8 Знак"/>
    <w:basedOn w:val="1730"/>
    <w:link w:val="1728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1"/>
      <w:lang w:val="ru-RU" w:eastAsia="ru-RU"/>
    </w:rPr>
  </w:style>
  <w:style w:type="character" w:styleId="1741" w:customStyle="1">
    <w:name w:val="Заголовок 9 Знак"/>
    <w:basedOn w:val="1730"/>
    <w:link w:val="1729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1"/>
      <w:lang w:val="ru-RU" w:eastAsia="ru-RU"/>
    </w:rPr>
  </w:style>
  <w:style w:type="character" w:styleId="1742">
    <w:name w:val="Intense Emphasis"/>
    <w:basedOn w:val="1730"/>
    <w:qFormat/>
    <w:pPr>
      <w:pBdr/>
      <w:spacing/>
      <w:ind/>
    </w:pPr>
    <w:rPr>
      <w:i/>
      <w:iCs/>
      <w:color w:val="7f7f7f" w:themeColor="text1" w:themeTint="80"/>
    </w:rPr>
  </w:style>
  <w:style w:type="character" w:styleId="1743" w:customStyle="1">
    <w:name w:val="Выделенная цитата Знак"/>
    <w:basedOn w:val="1730"/>
    <w:link w:val="1803"/>
    <w:qFormat/>
    <w:pPr>
      <w:pBdr/>
      <w:spacing/>
      <w:ind/>
    </w:pPr>
    <w:rPr>
      <w:rFonts w:ascii="Source Sans Pro" w:hAnsi="Source Sans Pro"/>
      <w:i/>
      <w:iCs/>
      <w:color w:val="7f7f7f" w:themeColor="text1" w:themeTint="80"/>
      <w:sz w:val="20"/>
    </w:rPr>
  </w:style>
  <w:style w:type="character" w:styleId="1744">
    <w:name w:val="Intense Reference"/>
    <w:basedOn w:val="1730"/>
    <w:qFormat/>
    <w:pPr>
      <w:pBdr/>
      <w:spacing/>
      <w:ind/>
    </w:pPr>
    <w:rPr>
      <w:b/>
      <w:bCs/>
      <w:smallCaps/>
      <w:color w:val="7f7f7f" w:themeColor="text1" w:themeTint="80"/>
      <w:spacing w:val="5"/>
    </w:rPr>
  </w:style>
  <w:style w:type="character" w:styleId="1745" w:customStyle="1">
    <w:name w:val="Scroll Inline Code"/>
    <w:basedOn w:val="1730"/>
    <w:uiPriority w:val="1"/>
    <w:qFormat/>
    <w:pPr>
      <w:pBdr/>
      <w:spacing/>
      <w:ind/>
    </w:pPr>
    <w:rPr>
      <w:rFonts w:ascii="Courier New" w:hAnsi="Courier New"/>
      <w:shd w:val="clear" w:color="auto" w:fill="f4f5f7"/>
    </w:rPr>
  </w:style>
  <w:style w:type="character" w:styleId="1746">
    <w:name w:val="Emphasis"/>
    <w:qFormat/>
    <w:pPr>
      <w:pBdr/>
      <w:spacing/>
      <w:ind/>
    </w:pPr>
    <w:rPr>
      <w:i/>
      <w:iCs/>
      <w:lang w:val="ru-RU"/>
    </w:rPr>
  </w:style>
  <w:style w:type="character" w:styleId="1747" w:customStyle="1">
    <w:name w:val="Основной текст 2 Знак"/>
    <w:basedOn w:val="1730"/>
    <w:link w:val="1805"/>
    <w:semiHidden/>
    <w:qFormat/>
    <w:pPr>
      <w:pBdr/>
      <w:spacing/>
      <w:ind/>
    </w:pPr>
    <w:rPr>
      <w:rFonts w:ascii="Times New Roman" w:hAnsi="Times New Roman" w:cs="Arial"/>
      <w:bCs/>
      <w:iCs/>
      <w:sz w:val="40"/>
      <w:szCs w:val="40"/>
      <w:lang w:val="ru-RU" w:eastAsia="ru-RU"/>
    </w:rPr>
  </w:style>
  <w:style w:type="character" w:styleId="1748" w:customStyle="1">
    <w:name w:val="Основной текст Знак"/>
    <w:basedOn w:val="1730"/>
    <w:qFormat/>
    <w:pPr>
      <w:pBdr/>
      <w:spacing/>
      <w:ind/>
    </w:pPr>
  </w:style>
  <w:style w:type="character" w:styleId="1749" w:customStyle="1">
    <w:name w:val="Заголовок 1 Знак"/>
    <w:basedOn w:val="1730"/>
    <w:link w:val="1721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32"/>
      <w:szCs w:val="32"/>
      <w:lang w:val="ru-RU" w:eastAsia="ru-RU"/>
    </w:rPr>
  </w:style>
  <w:style w:type="character" w:styleId="1750" w:customStyle="1">
    <w:name w:val="Scroll Heading 1 Char"/>
    <w:basedOn w:val="1749"/>
    <w:link w:val="1815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32"/>
      <w:szCs w:val="36"/>
      <w:lang w:val="ru-RU" w:eastAsia="ru-RU"/>
    </w:rPr>
  </w:style>
  <w:style w:type="character" w:styleId="1751" w:customStyle="1">
    <w:name w:val="Scroll Heading 2 Char"/>
    <w:basedOn w:val="1730"/>
    <w:link w:val="1816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28"/>
      <w:szCs w:val="32"/>
      <w:lang w:val="ru-RU" w:eastAsia="ru-RU"/>
    </w:rPr>
  </w:style>
  <w:style w:type="character" w:styleId="1752" w:customStyle="1">
    <w:name w:val="Заголовок 2 Знак"/>
    <w:basedOn w:val="1730"/>
    <w:link w:val="1722"/>
    <w:qFormat/>
    <w:pPr>
      <w:pBdr/>
      <w:spacing/>
      <w:ind/>
    </w:pPr>
    <w:rPr>
      <w:rFonts w:ascii="Times New Roman" w:hAnsi="Times New Roman" w:cs="Arial"/>
      <w:iCs/>
      <w:color w:val="000000" w:themeColor="text1"/>
      <w:sz w:val="24"/>
      <w:szCs w:val="24"/>
      <w:lang w:val="ru-RU" w:eastAsia="ru-RU"/>
    </w:rPr>
  </w:style>
  <w:style w:type="character" w:styleId="1753" w:customStyle="1">
    <w:name w:val="Заголовок 3 Знак"/>
    <w:basedOn w:val="1752"/>
    <w:link w:val="1723"/>
    <w:qFormat/>
    <w:pPr>
      <w:pBdr/>
      <w:spacing/>
      <w:ind/>
    </w:pPr>
    <w:rPr>
      <w:rFonts w:ascii="Times New Roman" w:hAnsi="Times New Roman" w:cs="Arial"/>
      <w:bCs w:val="0"/>
      <w:iCs/>
      <w:color w:val="000000" w:themeColor="text1"/>
      <w:sz w:val="24"/>
      <w:szCs w:val="24"/>
      <w:lang w:val="ru-RU" w:eastAsia="ru-RU"/>
    </w:rPr>
  </w:style>
  <w:style w:type="character" w:styleId="1754" w:customStyle="1">
    <w:name w:val="Scroll Heading 3 Char"/>
    <w:basedOn w:val="1753"/>
    <w:link w:val="1817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28"/>
      <w:szCs w:val="28"/>
      <w:lang w:val="ru-RU" w:eastAsia="ru-RU"/>
    </w:rPr>
  </w:style>
  <w:style w:type="character" w:styleId="1755" w:customStyle="1">
    <w:name w:val="ЕСКД А4 – Маркированный список 2 Char"/>
    <w:basedOn w:val="1730"/>
    <w:link w:val="1822"/>
    <w:uiPriority w:val="9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/>
    </w:rPr>
  </w:style>
  <w:style w:type="character" w:styleId="1756" w:customStyle="1">
    <w:name w:val="Scroll List Bullet 2 Char"/>
    <w:basedOn w:val="1755"/>
    <w:link w:val="1829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4"/>
      <w:szCs w:val="24"/>
      <w:lang w:val="ru-RU"/>
    </w:rPr>
  </w:style>
  <w:style w:type="character" w:styleId="1757" w:customStyle="1">
    <w:name w:val="ЕСКД А4 – Маркированный список 3 Char"/>
    <w:basedOn w:val="1730"/>
    <w:link w:val="1823"/>
    <w:uiPriority w:val="9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/>
    </w:rPr>
  </w:style>
  <w:style w:type="character" w:styleId="1758" w:customStyle="1">
    <w:name w:val="Scroll List Bullet 3 Char"/>
    <w:basedOn w:val="1757"/>
    <w:link w:val="1830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4"/>
      <w:szCs w:val="24"/>
      <w:lang w:val="ru-RU"/>
    </w:rPr>
  </w:style>
  <w:style w:type="character" w:styleId="1759" w:customStyle="1">
    <w:name w:val="ЕСКД А4 – Маркированный список 4 Char"/>
    <w:basedOn w:val="1730"/>
    <w:link w:val="1824"/>
    <w:uiPriority w:val="9"/>
    <w:qFormat/>
    <w:pPr>
      <w:pBdr/>
      <w:spacing/>
      <w:ind/>
    </w:pPr>
    <w:rPr>
      <w:rFonts w:ascii="Times New Roman" w:hAnsi="Times New Roman" w:eastAsia="Cambria" w:eastAsiaTheme="minorHAnsi"/>
      <w:color w:val="000000" w:themeColor="text1"/>
      <w:sz w:val="28"/>
      <w:szCs w:val="28"/>
      <w:lang w:val="ru-RU"/>
    </w:rPr>
  </w:style>
  <w:style w:type="character" w:styleId="1760" w:customStyle="1">
    <w:name w:val="Scroll List Bullet 4 Char"/>
    <w:basedOn w:val="1759"/>
    <w:link w:val="1831"/>
    <w:qFormat/>
    <w:pPr>
      <w:pBdr/>
      <w:spacing/>
      <w:ind/>
    </w:pPr>
    <w:rPr>
      <w:rFonts w:ascii="Times New Roman" w:hAnsi="Times New Roman" w:eastAsia="Cambria" w:eastAsiaTheme="minorHAnsi"/>
      <w:color w:val="000000" w:themeColor="text1"/>
      <w:sz w:val="24"/>
      <w:szCs w:val="24"/>
      <w:lang w:val="ru-RU"/>
    </w:rPr>
  </w:style>
  <w:style w:type="character" w:styleId="1761" w:customStyle="1">
    <w:name w:val="Нумерация с литерами а) Char"/>
    <w:basedOn w:val="1730"/>
    <w:link w:val="1820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62" w:customStyle="1">
    <w:name w:val="Нумерация 1) Char"/>
    <w:basedOn w:val="1730"/>
    <w:link w:val="1818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63" w:customStyle="1">
    <w:name w:val="Чертежный Char"/>
    <w:basedOn w:val="1730"/>
    <w:link w:val="1806"/>
    <w:semiHidden/>
    <w:qFormat/>
    <w:pPr>
      <w:pBdr/>
      <w:spacing/>
      <w:ind/>
    </w:pPr>
    <w:rPr>
      <w:rFonts w:cs="Arial"/>
      <w:bCs/>
      <w:iCs/>
      <w:sz w:val="28"/>
      <w:szCs w:val="28"/>
      <w:lang w:val="ru-RU" w:eastAsia="ru-RU"/>
    </w:rPr>
  </w:style>
  <w:style w:type="character" w:styleId="1764" w:customStyle="1">
    <w:name w:val="Чертежный 9 пт Char"/>
    <w:basedOn w:val="1763"/>
    <w:link w:val="1807"/>
    <w:semiHidden/>
    <w:qFormat/>
    <w:pPr>
      <w:pBdr/>
      <w:spacing/>
      <w:ind/>
    </w:pPr>
    <w:rPr>
      <w:rFonts w:cs="Arial"/>
      <w:bCs/>
      <w:iCs/>
      <w:sz w:val="18"/>
      <w:szCs w:val="28"/>
      <w:lang w:val="ru-RU" w:eastAsia="ru-RU"/>
    </w:rPr>
  </w:style>
  <w:style w:type="character" w:styleId="1765" w:customStyle="1">
    <w:name w:val="Основная надпись - 1 Char"/>
    <w:basedOn w:val="1764"/>
    <w:link w:val="1833"/>
    <w:qFormat/>
    <w:pPr>
      <w:pBdr/>
      <w:spacing/>
      <w:ind/>
    </w:pPr>
    <w:rPr>
      <w:rFonts w:ascii="Times New Roman" w:hAnsi="Times New Roman" w:cs="Arial"/>
      <w:bCs/>
      <w:iCs/>
      <w:sz w:val="18"/>
      <w:szCs w:val="28"/>
      <w:lang w:val="ru-RU" w:eastAsia="ru-RU"/>
    </w:rPr>
  </w:style>
  <w:style w:type="character" w:styleId="1766">
    <w:name w:val="Placeholder Text"/>
    <w:basedOn w:val="1730"/>
    <w:qFormat/>
    <w:pPr>
      <w:pBdr/>
      <w:spacing/>
      <w:ind/>
    </w:pPr>
    <w:rPr>
      <w:color w:val="666666"/>
    </w:rPr>
  </w:style>
  <w:style w:type="character" w:styleId="1767" w:customStyle="1">
    <w:name w:val="Без интервала Знак"/>
    <w:basedOn w:val="1730"/>
    <w:link w:val="1835"/>
    <w:uiPriority w:val="1"/>
    <w:qFormat/>
    <w:pPr>
      <w:pBdr/>
      <w:spacing/>
      <w:ind/>
    </w:pPr>
    <w:rPr>
      <w:rFonts w:ascii="Cambria" w:hAnsi="Cambria" w:eastAsia="ＭＳ 明朝" w:asciiTheme="minorHAnsi" w:hAnsiTheme="minorHAnsi" w:eastAsiaTheme="minorEastAsia" w:cstheme="minorBidi"/>
      <w:sz w:val="22"/>
      <w:szCs w:val="22"/>
      <w:lang w:val="ru-RU" w:eastAsia="ru-RU"/>
    </w:rPr>
  </w:style>
  <w:style w:type="character" w:styleId="1768" w:customStyle="1">
    <w:name w:val="scroll-code_defaultnew_content_plain"/>
    <w:basedOn w:val="1730"/>
    <w:qFormat/>
    <w:pPr>
      <w:pBdr/>
      <w:spacing/>
      <w:ind/>
    </w:pPr>
    <w:rPr>
      <w:color w:val="000000"/>
    </w:rPr>
  </w:style>
  <w:style w:type="character" w:styleId="1769" w:customStyle="1">
    <w:name w:val="scroll-code_defaultnew_content_value"/>
    <w:basedOn w:val="1730"/>
    <w:qFormat/>
    <w:pPr>
      <w:pBdr/>
      <w:spacing/>
      <w:ind/>
    </w:pPr>
    <w:rPr>
      <w:color w:val="009900"/>
    </w:rPr>
  </w:style>
  <w:style w:type="character" w:styleId="1770" w:customStyle="1">
    <w:name w:val="Абзац списка Знак"/>
    <w:basedOn w:val="1730"/>
    <w:link w:val="1836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771" w:customStyle="1">
    <w:name w:val="Scroll Heading 4 Char"/>
    <w:basedOn w:val="1730"/>
    <w:link w:val="1840"/>
    <w:qFormat/>
    <w:pPr>
      <w:pBdr/>
      <w:spacing/>
      <w:ind/>
    </w:pPr>
    <w:rPr>
      <w:rFonts w:ascii="Times New Roman" w:hAnsi="Times New Roman" w:cs="Arial"/>
      <w:b/>
      <w:bCs/>
      <w:iCs/>
      <w:sz w:val="24"/>
      <w:szCs w:val="24"/>
      <w:lang w:val="ru-RU" w:eastAsia="ru-RU"/>
    </w:rPr>
  </w:style>
  <w:style w:type="character" w:styleId="1772" w:customStyle="1">
    <w:name w:val="Текст сноски Знак"/>
    <w:basedOn w:val="1730"/>
    <w:link w:val="1841"/>
    <w:semiHidden/>
    <w:qFormat/>
    <w:pPr>
      <w:pBdr/>
      <w:spacing/>
      <w:ind/>
    </w:pPr>
    <w:rPr>
      <w:rFonts w:ascii="Times New Roman" w:hAnsi="Times New Roman"/>
      <w:lang w:val="ru-RU" w:eastAsia="ru-RU"/>
    </w:rPr>
  </w:style>
  <w:style w:type="character" w:styleId="1773">
    <w:name w:val="Footnote Characters"/>
    <w:basedOn w:val="1730"/>
    <w:semiHidden/>
    <w:qFormat/>
    <w:pPr>
      <w:pBdr/>
      <w:spacing/>
      <w:ind/>
    </w:pPr>
    <w:rPr>
      <w:vertAlign w:val="superscript"/>
    </w:rPr>
  </w:style>
  <w:style w:type="character" w:styleId="1774">
    <w:name w:val="footnote reference"/>
    <w:pPr>
      <w:pBdr/>
      <w:spacing/>
      <w:ind/>
    </w:pPr>
    <w:rPr>
      <w:vertAlign w:val="superscript"/>
    </w:rPr>
  </w:style>
  <w:style w:type="character" w:styleId="1775" w:customStyle="1">
    <w:name w:val="Scroll List Number Char"/>
    <w:basedOn w:val="1770"/>
    <w:link w:val="1842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776" w:customStyle="1">
    <w:name w:val="Название объекта Знак"/>
    <w:basedOn w:val="1730"/>
    <w:link w:val="1782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777" w:customStyle="1">
    <w:name w:val="Scroll Caption Char"/>
    <w:basedOn w:val="1776"/>
    <w:link w:val="1843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778">
    <w:name w:val="Unresolved Mention"/>
    <w:basedOn w:val="1730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paragraph" w:styleId="1779">
    <w:name w:val="Heading"/>
    <w:basedOn w:val="1720"/>
    <w:next w:val="1780"/>
    <w:qFormat/>
    <w:pPr>
      <w:keepNext w:val="true"/>
      <w:pBdr/>
      <w:spacing w:after="120" w:before="240"/>
      <w:ind/>
      <w:contextualSpacing w:val="false"/>
    </w:pPr>
    <w:rPr>
      <w:rFonts w:ascii="Liberation Sans" w:hAnsi="Liberation Sans" w:eastAsia="Noto Sans CJK SC" w:cs="Noto Sans Devanagari"/>
      <w:sz w:val="28"/>
      <w:szCs w:val="28"/>
    </w:rPr>
  </w:style>
  <w:style w:type="paragraph" w:styleId="1780">
    <w:name w:val="Body Text"/>
    <w:basedOn w:val="1720"/>
    <w:link w:val="1748"/>
    <w:unhideWhenUsed/>
    <w:pPr>
      <w:pBdr/>
      <w:spacing/>
      <w:ind/>
    </w:pPr>
  </w:style>
  <w:style w:type="paragraph" w:styleId="1781">
    <w:name w:val="List"/>
    <w:basedOn w:val="1780"/>
    <w:pPr>
      <w:pBdr/>
      <w:spacing/>
      <w:ind/>
    </w:pPr>
    <w:rPr>
      <w:rFonts w:cs="Noto Sans Devanagari"/>
    </w:rPr>
  </w:style>
  <w:style w:type="paragraph" w:styleId="1782">
    <w:name w:val="Caption"/>
    <w:basedOn w:val="1720"/>
    <w:next w:val="1720"/>
    <w:link w:val="1776"/>
    <w:qFormat/>
    <w:pPr>
      <w:pBdr/>
      <w:spacing w:after="0" w:before="120"/>
      <w:ind/>
      <w:contextualSpacing w:val="true"/>
    </w:pPr>
    <w:rPr>
      <w:bCs w:val="0"/>
    </w:rPr>
  </w:style>
  <w:style w:type="paragraph" w:styleId="1783">
    <w:name w:val="Index"/>
    <w:basedOn w:val="1720"/>
    <w:qFormat/>
    <w:pPr>
      <w:suppressLineNumbers w:val="true"/>
      <w:pBdr/>
      <w:spacing/>
      <w:ind/>
    </w:pPr>
    <w:rPr>
      <w:rFonts w:cs="Noto Sans Devanagari"/>
    </w:rPr>
  </w:style>
  <w:style w:type="paragraph" w:styleId="1784">
    <w:name w:val="Title"/>
    <w:basedOn w:val="1720"/>
    <w:qFormat/>
    <w:pPr>
      <w:pBdr/>
      <w:spacing w:after="0" w:before="120"/>
      <w:ind/>
      <w:contextualSpacing w:val="true"/>
      <w:jc w:val="center"/>
      <w:outlineLvl w:val="0"/>
    </w:pPr>
    <w:rPr>
      <w:b/>
      <w:bCs w:val="0"/>
      <w:color w:val="404040" w:themeColor="text1" w:themeTint="BF"/>
      <w:sz w:val="48"/>
      <w:szCs w:val="32"/>
    </w:rPr>
  </w:style>
  <w:style w:type="paragraph" w:styleId="1785">
    <w:name w:val="Header and Footer"/>
    <w:basedOn w:val="1720"/>
    <w:qFormat/>
    <w:pPr>
      <w:pBdr/>
      <w:spacing/>
      <w:ind/>
    </w:pPr>
  </w:style>
  <w:style w:type="paragraph" w:styleId="1786">
    <w:name w:val="Header"/>
    <w:basedOn w:val="1720"/>
    <w:link w:val="1732"/>
    <w:uiPriority w:val="99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</w:pPr>
  </w:style>
  <w:style w:type="paragraph" w:styleId="1787">
    <w:name w:val="Footer"/>
    <w:basedOn w:val="1720"/>
    <w:link w:val="1733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  <w:jc w:val="right"/>
    </w:pPr>
    <w:rPr>
      <w:sz w:val="18"/>
    </w:rPr>
  </w:style>
  <w:style w:type="paragraph" w:styleId="1788">
    <w:name w:val="toc 1"/>
    <w:basedOn w:val="1789"/>
    <w:next w:val="1720"/>
    <w:uiPriority w:val="39"/>
    <w:qFormat/>
    <w:pPr>
      <w:pBdr/>
      <w:tabs>
        <w:tab w:val="clear" w:leader="none" w:pos="9781"/>
        <w:tab w:val="right" w:leader="dot" w:pos="9791"/>
      </w:tabs>
      <w:spacing/>
      <w:ind/>
    </w:pPr>
    <w:rPr>
      <w:bCs w:val="0"/>
    </w:rPr>
  </w:style>
  <w:style w:type="paragraph" w:styleId="1789">
    <w:name w:val="toc 3"/>
    <w:basedOn w:val="1720"/>
    <w:next w:val="1720"/>
    <w:uiPriority w:val="39"/>
    <w:qFormat/>
    <w:pPr>
      <w:pBdr/>
      <w:tabs>
        <w:tab w:val="clear" w:leader="none" w:pos="284"/>
        <w:tab w:val="right" w:leader="dot" w:pos="9781"/>
      </w:tabs>
      <w:spacing w:after="120" w:before="0" w:line="240" w:lineRule="auto"/>
      <w:ind w:firstLine="0"/>
      <w:contextualSpacing w:val="false"/>
    </w:pPr>
    <w:rPr>
      <w:iCs w:val="0"/>
      <w:color w:val="000000" w:themeColor="text1"/>
      <w:szCs w:val="22"/>
    </w:rPr>
  </w:style>
  <w:style w:type="paragraph" w:styleId="1790">
    <w:name w:val="toc 2"/>
    <w:basedOn w:val="1788"/>
    <w:next w:val="1720"/>
    <w:uiPriority w:val="39"/>
    <w:qFormat/>
    <w:pPr>
      <w:pBdr/>
      <w:spacing/>
      <w:ind/>
    </w:pPr>
    <w:rPr>
      <w:bCs/>
    </w:rPr>
  </w:style>
  <w:style w:type="paragraph" w:styleId="1791">
    <w:name w:val="toc 4"/>
    <w:basedOn w:val="1720"/>
    <w:next w:val="1720"/>
    <w:pPr>
      <w:pBdr/>
      <w:spacing/>
      <w:ind w:left="400"/>
    </w:pPr>
    <w:rPr>
      <w:sz w:val="18"/>
    </w:rPr>
  </w:style>
  <w:style w:type="paragraph" w:styleId="1792">
    <w:name w:val="toc 5"/>
    <w:basedOn w:val="1720"/>
    <w:next w:val="1720"/>
    <w:pPr>
      <w:pBdr/>
      <w:spacing/>
      <w:ind w:left="600"/>
    </w:pPr>
    <w:rPr>
      <w:sz w:val="18"/>
    </w:rPr>
  </w:style>
  <w:style w:type="paragraph" w:styleId="1793">
    <w:name w:val="toc 6"/>
    <w:basedOn w:val="1720"/>
    <w:next w:val="1720"/>
    <w:pPr>
      <w:pBdr/>
      <w:spacing/>
      <w:ind w:left="800"/>
    </w:pPr>
  </w:style>
  <w:style w:type="paragraph" w:styleId="1794">
    <w:name w:val="toc 7"/>
    <w:basedOn w:val="1720"/>
    <w:next w:val="1720"/>
    <w:pPr>
      <w:pBdr/>
      <w:spacing/>
      <w:ind w:left="1000"/>
    </w:pPr>
  </w:style>
  <w:style w:type="paragraph" w:styleId="1795">
    <w:name w:val="toc 8"/>
    <w:basedOn w:val="1720"/>
    <w:next w:val="1720"/>
    <w:pPr>
      <w:pBdr/>
      <w:spacing/>
      <w:ind w:left="1200"/>
    </w:pPr>
  </w:style>
  <w:style w:type="paragraph" w:styleId="1796">
    <w:name w:val="toc 9"/>
    <w:basedOn w:val="1720"/>
    <w:next w:val="1720"/>
    <w:pPr>
      <w:pBdr/>
      <w:spacing/>
      <w:ind w:left="1400"/>
    </w:pPr>
    <w:rPr>
      <w:sz w:val="18"/>
    </w:rPr>
  </w:style>
  <w:style w:type="paragraph" w:styleId="1797">
    <w:name w:val="Document Map"/>
    <w:basedOn w:val="1720"/>
    <w:link w:val="1735"/>
    <w:qFormat/>
    <w:pPr>
      <w:pBdr/>
      <w:spacing/>
      <w:ind/>
    </w:pPr>
    <w:rPr>
      <w:rFonts w:ascii="Lucida Grande" w:hAnsi="Lucida Grande"/>
    </w:rPr>
  </w:style>
  <w:style w:type="paragraph" w:styleId="1798">
    <w:name w:val="Index Heading"/>
    <w:basedOn w:val="1779"/>
    <w:pPr>
      <w:pBdr/>
      <w:spacing/>
      <w:ind/>
    </w:pPr>
  </w:style>
  <w:style w:type="paragraph" w:styleId="1799">
    <w:name w:val="TOC Heading"/>
    <w:basedOn w:val="1721"/>
    <w:next w:val="1720"/>
    <w:uiPriority w:val="39"/>
    <w:unhideWhenUsed/>
    <w:qFormat/>
    <w:pPr>
      <w:numPr>
        <w:ilvl w:val="0"/>
        <w:numId w:val="0"/>
      </w:numPr>
      <w:pBdr/>
      <w:spacing w:after="0" w:before="480" w:line="276" w:lineRule="auto"/>
      <w:ind w:firstLine="709" w:left="0"/>
      <w:contextualSpacing w:val="true"/>
      <w:jc w:val="center"/>
      <w:outlineLvl w:val="9"/>
    </w:pPr>
    <w:rPr>
      <w:rFonts w:eastAsia="ＭＳ ゴシック" w:eastAsiaTheme="majorEastAsia" w:cstheme="majorBidi"/>
      <w:szCs w:val="28"/>
    </w:rPr>
  </w:style>
  <w:style w:type="paragraph" w:styleId="1800">
    <w:name w:val="Plain Text"/>
    <w:basedOn w:val="1720"/>
    <w:qFormat/>
    <w:pPr>
      <w:pBdr/>
      <w:spacing/>
      <w:ind/>
    </w:pPr>
    <w:rPr>
      <w:rFonts w:ascii="Courier New" w:hAnsi="Courier New" w:cs="Courier New"/>
    </w:rPr>
  </w:style>
  <w:style w:type="paragraph" w:styleId="1801" w:customStyle="1">
    <w:name w:val="Subline Header"/>
    <w:basedOn w:val="1784"/>
    <w:qFormat/>
    <w:pPr>
      <w:pBdr/>
      <w:spacing/>
      <w:ind/>
    </w:pPr>
    <w:rPr>
      <w:b w:val="0"/>
      <w:bCs/>
      <w:color w:val="a6a6a6" w:themeColor="background1" w:themeShade="A6"/>
      <w:sz w:val="28"/>
      <w:shd w:val="clear" w:color="auto" w:fill="ffffff"/>
    </w:rPr>
  </w:style>
  <w:style w:type="paragraph" w:styleId="1802" w:customStyle="1">
    <w:name w:val="SublineHeader Level2"/>
    <w:basedOn w:val="1801"/>
    <w:qFormat/>
    <w:pPr>
      <w:pBdr/>
      <w:spacing/>
      <w:ind/>
    </w:pPr>
    <w:rPr>
      <w:sz w:val="24"/>
      <w:szCs w:val="24"/>
    </w:rPr>
  </w:style>
  <w:style w:type="paragraph" w:styleId="1803">
    <w:name w:val="Intense Quote"/>
    <w:basedOn w:val="1720"/>
    <w:next w:val="1720"/>
    <w:link w:val="1743"/>
    <w:qFormat/>
    <w:pPr>
      <w:pBdr>
        <w:top w:val="single" w:color="4f81bd" w:themeColor="accent1" w:sz="4" w:space="10"/>
        <w:bottom w:val="single" w:color="4f81bd" w:themeColor="accent1" w:sz="4" w:space="10"/>
      </w:pBdr>
      <w:spacing w:after="360" w:before="360"/>
      <w:ind w:right="864" w:left="864"/>
      <w:contextualSpacing w:val="true"/>
      <w:jc w:val="center"/>
    </w:pPr>
    <w:rPr>
      <w:i/>
      <w:iCs w:val="0"/>
      <w:color w:val="7f7f7f" w:themeColor="text1" w:themeTint="80"/>
    </w:rPr>
  </w:style>
  <w:style w:type="paragraph" w:styleId="1804" w:customStyle="1">
    <w:name w:val="Чертёжный 8 пт"/>
    <w:basedOn w:val="1720"/>
    <w:semiHidden/>
    <w:qFormat/>
    <w:pPr>
      <w:pBdr/>
      <w:spacing/>
      <w:ind/>
      <w:jc w:val="center"/>
    </w:pPr>
    <w:rPr>
      <w:bCs w:val="0"/>
      <w:iCs w:val="0"/>
      <w:sz w:val="16"/>
      <w:szCs w:val="28"/>
    </w:rPr>
  </w:style>
  <w:style w:type="paragraph" w:styleId="1805">
    <w:name w:val="Body Text 2"/>
    <w:basedOn w:val="1720"/>
    <w:link w:val="1747"/>
    <w:semiHidden/>
    <w:qFormat/>
    <w:pPr>
      <w:widowControl w:val="false"/>
      <w:pBdr/>
      <w:spacing w:after="0" w:before="200"/>
      <w:ind/>
      <w:contextualSpacing w:val="true"/>
      <w:jc w:val="center"/>
    </w:pPr>
    <w:rPr>
      <w:bCs w:val="0"/>
      <w:iCs w:val="0"/>
      <w:sz w:val="40"/>
      <w:szCs w:val="40"/>
    </w:rPr>
  </w:style>
  <w:style w:type="paragraph" w:styleId="1806" w:customStyle="1">
    <w:name w:val="Чертежный"/>
    <w:link w:val="1763"/>
    <w:semiHidden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Arial" w:hAnsi="Arial" w:eastAsia="Times New Roman" w:cs="Arial"/>
      <w:bCs/>
      <w:iCs/>
      <w:color w:val="auto"/>
      <w:sz w:val="28"/>
      <w:szCs w:val="28"/>
      <w:lang w:val="ru-RU" w:eastAsia="ru-RU" w:bidi="ar-SA"/>
    </w:rPr>
  </w:style>
  <w:style w:type="paragraph" w:styleId="1807" w:customStyle="1">
    <w:name w:val="Чертежный 9 пт"/>
    <w:basedOn w:val="1806"/>
    <w:link w:val="1764"/>
    <w:semiHidden/>
    <w:qFormat/>
    <w:pPr>
      <w:pBdr/>
      <w:spacing/>
      <w:ind/>
    </w:pPr>
    <w:rPr>
      <w:sz w:val="18"/>
    </w:rPr>
  </w:style>
  <w:style w:type="paragraph" w:styleId="1808" w:customStyle="1">
    <w:name w:val="Название работы"/>
    <w:basedOn w:val="1720"/>
    <w:qFormat/>
    <w:pPr>
      <w:pBdr/>
      <w:spacing w:line="240" w:lineRule="auto"/>
      <w:ind/>
      <w:jc w:val="center"/>
    </w:pPr>
    <w:rPr>
      <w:b/>
      <w:bCs w:val="0"/>
      <w:iCs w:val="0"/>
      <w:caps/>
      <w:sz w:val="28"/>
      <w:szCs w:val="28"/>
    </w:rPr>
  </w:style>
  <w:style w:type="paragraph" w:styleId="1809" w:customStyle="1">
    <w:name w:val="Текст таблицы"/>
    <w:basedOn w:val="1720"/>
    <w:qFormat/>
    <w:pPr>
      <w:pBdr/>
      <w:spacing/>
      <w:ind/>
    </w:pPr>
    <w:rPr>
      <w:bCs w:val="0"/>
      <w:iCs w:val="0"/>
    </w:rPr>
  </w:style>
  <w:style w:type="paragraph" w:styleId="1810" w:customStyle="1">
    <w:name w:val="Название документа"/>
    <w:basedOn w:val="1720"/>
    <w:qFormat/>
    <w:pPr>
      <w:pBdr/>
      <w:spacing/>
      <w:ind/>
      <w:jc w:val="center"/>
    </w:pPr>
    <w:rPr>
      <w:b/>
      <w:bCs w:val="0"/>
      <w:iCs w:val="0"/>
      <w:sz w:val="28"/>
    </w:rPr>
  </w:style>
  <w:style w:type="paragraph" w:styleId="1811" w:customStyle="1">
    <w:name w:val="Таблица с невидимыми гранями"/>
    <w:basedOn w:val="1809"/>
    <w:semiHidden/>
    <w:qFormat/>
    <w:pPr>
      <w:pBdr/>
      <w:spacing w:after="240" w:before="0"/>
      <w:ind w:firstLine="0" w:left="284"/>
      <w:contextualSpacing w:val="false"/>
      <w:jc w:val="center"/>
    </w:pPr>
  </w:style>
  <w:style w:type="paragraph" w:styleId="1812" w:customStyle="1">
    <w:name w:val="Заголовок содержания"/>
    <w:basedOn w:val="1720"/>
    <w:qFormat/>
    <w:pPr>
      <w:keepNext w:val="true"/>
      <w:keepLines w:val="true"/>
      <w:pageBreakBefore w:val="true"/>
      <w:pBdr/>
      <w:spacing w:after="0" w:before="120"/>
      <w:ind w:left="357"/>
      <w:contextualSpacing w:val="true"/>
      <w:jc w:val="center"/>
    </w:pPr>
    <w:rPr>
      <w:b/>
      <w:bCs w:val="0"/>
      <w:iCs w:val="0"/>
      <w:sz w:val="32"/>
    </w:rPr>
  </w:style>
  <w:style w:type="paragraph" w:styleId="1813" w:customStyle="1">
    <w:name w:val="Содержание"/>
    <w:basedOn w:val="1788"/>
    <w:qFormat/>
    <w:pPr>
      <w:pBdr/>
      <w:tabs>
        <w:tab w:val="left" w:leader="none" w:pos="0"/>
        <w:tab w:val="left" w:leader="none" w:pos="480"/>
        <w:tab w:val="right" w:leader="dot" w:pos="9344"/>
        <w:tab w:val="right" w:leader="dot" w:pos="9791"/>
      </w:tabs>
      <w:spacing/>
      <w:ind w:left="284"/>
    </w:pPr>
    <w:rPr>
      <w:b/>
      <w:color w:val="auto" w:themeColor="text1"/>
      <w:szCs w:val="24"/>
    </w:rPr>
  </w:style>
  <w:style w:type="paragraph" w:styleId="1814" w:customStyle="1">
    <w:name w:val="Пункт трехзначный"/>
    <w:basedOn w:val="1723"/>
    <w:qFormat/>
    <w:pPr>
      <w:keepNext w:val="false"/>
      <w:pBdr/>
      <w:spacing w:after="120" w:before="0"/>
      <w:ind/>
      <w:contextualSpacing w:val="false"/>
    </w:pPr>
    <w:rPr>
      <w:b w:val="0"/>
      <w:iCs w:val="0"/>
      <w:color w:val="auto"/>
    </w:rPr>
  </w:style>
  <w:style w:type="paragraph" w:styleId="1815" w:customStyle="1">
    <w:name w:val="Scroll Heading 1"/>
    <w:basedOn w:val="1721"/>
    <w:link w:val="1750"/>
    <w:qFormat/>
    <w:pPr>
      <w:numPr>
        <w:ilvl w:val="0"/>
        <w:numId w:val="0"/>
      </w:numPr>
      <w:pBdr/>
      <w:spacing w:after="120" w:before="240"/>
      <w:ind w:firstLine="709" w:left="720"/>
      <w:contextualSpacing w:val="false"/>
      <w:jc w:val="center"/>
    </w:pPr>
    <w:rPr>
      <w:szCs w:val="36"/>
    </w:rPr>
  </w:style>
  <w:style w:type="paragraph" w:styleId="1816" w:customStyle="1">
    <w:name w:val="Scroll Heading 2"/>
    <w:basedOn w:val="1720"/>
    <w:link w:val="1751"/>
    <w:qFormat/>
    <w:pPr>
      <w:keepNext w:val="true"/>
      <w:keepLines w:val="true"/>
      <w:pBdr/>
      <w:spacing w:after="120" w:before="180"/>
      <w:ind w:hanging="567" w:left="1287"/>
      <w:contextualSpacing w:val="true"/>
      <w:jc w:val="left"/>
      <w:outlineLvl w:val="1"/>
    </w:pPr>
    <w:rPr>
      <w:b/>
      <w:color w:val="000000" w:themeColor="text1"/>
      <w:sz w:val="28"/>
      <w:szCs w:val="32"/>
    </w:rPr>
  </w:style>
  <w:style w:type="paragraph" w:styleId="1817" w:customStyle="1">
    <w:name w:val="Scroll Heading 3"/>
    <w:basedOn w:val="1723"/>
    <w:link w:val="1754"/>
    <w:qFormat/>
    <w:pPr>
      <w:pBdr/>
      <w:spacing w:after="120" w:before="120"/>
      <w:ind w:hanging="567"/>
      <w:contextualSpacing w:val="false"/>
    </w:pPr>
    <w:rPr>
      <w:szCs w:val="28"/>
    </w:rPr>
  </w:style>
  <w:style w:type="paragraph" w:styleId="1818" w:customStyle="1">
    <w:name w:val="Нумерация 1)"/>
    <w:basedOn w:val="1720"/>
    <w:link w:val="1762"/>
    <w:qFormat/>
    <w:pPr>
      <w:pBdr/>
      <w:tabs>
        <w:tab w:val="clear" w:leader="none" w:pos="284"/>
        <w:tab w:val="left" w:leader="none" w:pos="1080"/>
      </w:tabs>
      <w:spacing/>
      <w:ind w:firstLine="284" w:left="680"/>
    </w:pPr>
    <w:rPr>
      <w:bCs w:val="0"/>
      <w:iCs w:val="0"/>
    </w:rPr>
  </w:style>
  <w:style w:type="paragraph" w:styleId="1819">
    <w:name w:val="List Bullet"/>
    <w:basedOn w:val="1720"/>
    <w:pPr>
      <w:pBdr/>
      <w:spacing/>
      <w:ind w:hanging="227" w:left="936"/>
    </w:pPr>
    <w:rPr>
      <w:bCs w:val="0"/>
      <w:iCs w:val="0"/>
    </w:rPr>
  </w:style>
  <w:style w:type="paragraph" w:styleId="1820" w:customStyle="1">
    <w:name w:val="Нумерация с литерами а)"/>
    <w:basedOn w:val="1720"/>
    <w:link w:val="1761"/>
    <w:qFormat/>
    <w:pPr>
      <w:numPr>
        <w:ilvl w:val="0"/>
        <w:numId w:val="3"/>
      </w:numPr>
      <w:pBdr/>
      <w:spacing/>
      <w:ind/>
    </w:pPr>
    <w:rPr>
      <w:bCs w:val="0"/>
      <w:iCs w:val="0"/>
    </w:rPr>
  </w:style>
  <w:style w:type="paragraph" w:styleId="1821" w:customStyle="1">
    <w:name w:val="ЕСКД А4 – Маркированный список 1"/>
    <w:uiPriority w:val="9"/>
    <w:qFormat/>
    <w:pPr>
      <w:widowControl w:val="true"/>
      <w:numPr>
        <w:ilvl w:val="0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22" w:customStyle="1">
    <w:name w:val="ЕСКД А4 – Маркированный список 2"/>
    <w:link w:val="1755"/>
    <w:uiPriority w:val="9"/>
    <w:qFormat/>
    <w:pPr>
      <w:widowControl w:val="true"/>
      <w:numPr>
        <w:ilvl w:val="1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23" w:customStyle="1">
    <w:name w:val="ЕСКД А4 – Маркированный список 3"/>
    <w:link w:val="1757"/>
    <w:uiPriority w:val="9"/>
    <w:qFormat/>
    <w:pPr>
      <w:widowControl w:val="true"/>
      <w:numPr>
        <w:ilvl w:val="2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24" w:customStyle="1">
    <w:name w:val="ЕСКД А4 – Маркированный список 4"/>
    <w:link w:val="1759"/>
    <w:uiPriority w:val="9"/>
    <w:qFormat/>
    <w:pPr>
      <w:widowControl w:val="true"/>
      <w:numPr>
        <w:ilvl w:val="3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 w:eastAsiaTheme="minorHAnsi"/>
      <w:color w:val="000000" w:themeColor="text1"/>
      <w:sz w:val="28"/>
      <w:szCs w:val="28"/>
      <w:lang w:val="ru-RU" w:eastAsia="en-US" w:bidi="ar-SA"/>
    </w:rPr>
  </w:style>
  <w:style w:type="paragraph" w:styleId="1825" w:customStyle="1">
    <w:name w:val="ЕСКД А4 – Нумерованный список 1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26" w:customStyle="1">
    <w:name w:val="ЕСКД А4 – Нумерованный список 1 (примечания)"/>
    <w:uiPriority w:val="13"/>
    <w:qFormat/>
    <w:pPr>
      <w:widowControl w:val="true"/>
      <w:numPr>
        <w:ilvl w:val="0"/>
        <w:numId w:val="5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 w:bidi="ar-SA"/>
    </w:rPr>
  </w:style>
  <w:style w:type="paragraph" w:styleId="1827" w:customStyle="1">
    <w:name w:val="ЕСКД А4 – Нумерованный список 2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28" w:customStyle="1">
    <w:name w:val="Scroll List Bullet"/>
    <w:basedOn w:val="1821"/>
    <w:qFormat/>
    <w:pPr>
      <w:pBdr/>
      <w:spacing/>
      <w:ind w:hanging="425" w:left="1276"/>
    </w:pPr>
    <w:rPr>
      <w:sz w:val="24"/>
      <w:szCs w:val="24"/>
      <w:lang w:val="en-US"/>
    </w:rPr>
  </w:style>
  <w:style w:type="paragraph" w:styleId="1829" w:customStyle="1">
    <w:name w:val="Scroll List Bullet 2"/>
    <w:basedOn w:val="1822"/>
    <w:link w:val="1756"/>
    <w:qFormat/>
    <w:pPr>
      <w:pBdr/>
      <w:spacing/>
      <w:ind/>
    </w:pPr>
    <w:rPr>
      <w:sz w:val="24"/>
      <w:szCs w:val="24"/>
    </w:rPr>
  </w:style>
  <w:style w:type="paragraph" w:styleId="1830" w:customStyle="1">
    <w:name w:val="Scroll List Bullet 3"/>
    <w:basedOn w:val="1823"/>
    <w:link w:val="1758"/>
    <w:qFormat/>
    <w:pPr>
      <w:pBdr/>
      <w:spacing/>
      <w:ind/>
    </w:pPr>
    <w:rPr>
      <w:sz w:val="24"/>
      <w:szCs w:val="24"/>
    </w:rPr>
  </w:style>
  <w:style w:type="paragraph" w:styleId="1831" w:customStyle="1">
    <w:name w:val="Scroll List Bullet 4"/>
    <w:basedOn w:val="1824"/>
    <w:link w:val="1760"/>
    <w:qFormat/>
    <w:pPr>
      <w:pBdr/>
      <w:spacing/>
      <w:ind/>
    </w:pPr>
    <w:rPr>
      <w:sz w:val="24"/>
      <w:szCs w:val="24"/>
    </w:rPr>
  </w:style>
  <w:style w:type="paragraph" w:styleId="1832" w:customStyle="1">
    <w:name w:val="Шапка таблицы"/>
    <w:basedOn w:val="1809"/>
    <w:qFormat/>
    <w:pPr>
      <w:pBdr/>
      <w:spacing w:after="0" w:before="0"/>
      <w:ind w:firstLine="0"/>
      <w:contextualSpacing w:val="false"/>
      <w:jc w:val="center"/>
    </w:pPr>
    <w:rPr>
      <w:bCs/>
      <w:iCs/>
    </w:rPr>
  </w:style>
  <w:style w:type="paragraph" w:styleId="1833" w:customStyle="1">
    <w:name w:val="Основная надпись - 1"/>
    <w:basedOn w:val="1807"/>
    <w:link w:val="1765"/>
    <w:qFormat/>
    <w:pPr>
      <w:pBdr/>
      <w:spacing/>
      <w:ind/>
      <w:jc w:val="left"/>
    </w:pPr>
    <w:rPr>
      <w:rFonts w:ascii="Times New Roman" w:hAnsi="Times New Roman"/>
    </w:rPr>
  </w:style>
  <w:style w:type="paragraph" w:styleId="1834" w:customStyle="1">
    <w:name w:val="Введение"/>
    <w:basedOn w:val="1721"/>
    <w:qFormat/>
    <w:pPr>
      <w:numPr>
        <w:ilvl w:val="0"/>
        <w:numId w:val="0"/>
      </w:numPr>
      <w:pBdr/>
      <w:spacing w:after="120" w:before="120"/>
      <w:ind w:firstLine="709" w:left="0"/>
      <w:contextualSpacing w:val="false"/>
      <w:jc w:val="left"/>
    </w:pPr>
    <w:rPr>
      <w:color w:val="auto" w:themeColor="text1"/>
    </w:rPr>
  </w:style>
  <w:style w:type="paragraph" w:styleId="1835">
    <w:name w:val="No Spacing"/>
    <w:link w:val="1767"/>
    <w:uiPriority w:val="1"/>
    <w:qFormat/>
    <w:pPr>
      <w:widowControl w:val="true"/>
      <w:pBdr/>
      <w:bidi w:val="false"/>
      <w:spacing w:after="0" w:before="0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ru-RU" w:eastAsia="ru-RU" w:bidi="ar-SA"/>
    </w:rPr>
  </w:style>
  <w:style w:type="paragraph" w:styleId="1836">
    <w:name w:val="List Paragraph"/>
    <w:basedOn w:val="1720"/>
    <w:link w:val="1770"/>
    <w:qFormat/>
    <w:pPr>
      <w:pBdr/>
      <w:spacing/>
      <w:ind w:left="720"/>
    </w:pPr>
  </w:style>
  <w:style w:type="paragraph" w:styleId="1837" w:customStyle="1">
    <w:name w:val="scroll-code"/>
    <w:basedOn w:val="1720"/>
    <w:qFormat/>
    <w:pPr>
      <w:pBdr/>
      <w:spacing/>
      <w:ind/>
    </w:pPr>
    <w:rPr>
      <w:iCs w:val="0"/>
    </w:rPr>
  </w:style>
  <w:style w:type="paragraph" w:styleId="1838" w:customStyle="1">
    <w:name w:val="scroll-code_content_content"/>
    <w:basedOn w:val="1720"/>
    <w:qFormat/>
    <w:pPr>
      <w:pBdr/>
      <w:spacing/>
      <w:ind/>
    </w:pPr>
  </w:style>
  <w:style w:type="paragraph" w:styleId="1839" w:customStyle="1">
    <w:name w:val="scroll-code_content_div_line"/>
    <w:basedOn w:val="1720"/>
    <w:qFormat/>
    <w:pPr>
      <w:keepNext w:val="true"/>
      <w:pBdr/>
      <w:spacing/>
      <w:ind/>
    </w:pPr>
  </w:style>
  <w:style w:type="paragraph" w:styleId="1840" w:customStyle="1">
    <w:name w:val="Scroll Heading 4"/>
    <w:basedOn w:val="1720"/>
    <w:link w:val="1771"/>
    <w:qFormat/>
    <w:pPr>
      <w:pBdr/>
      <w:spacing w:after="120" w:before="120"/>
      <w:ind w:firstLine="0"/>
      <w:contextualSpacing w:val="false"/>
      <w:jc w:val="left"/>
    </w:pPr>
    <w:rPr>
      <w:b/>
    </w:rPr>
  </w:style>
  <w:style w:type="paragraph" w:styleId="1841">
    <w:name w:val="footnote text"/>
    <w:basedOn w:val="1720"/>
    <w:link w:val="1772"/>
    <w:semiHidden/>
    <w:pPr>
      <w:pBdr/>
      <w:spacing w:after="0" w:before="0"/>
      <w:ind w:firstLine="0"/>
      <w:contextualSpacing w:val="false"/>
      <w:jc w:val="left"/>
    </w:pPr>
    <w:rPr>
      <w:rFonts w:cs="Times New Roman"/>
      <w:bCs w:val="0"/>
      <w:iCs w:val="0"/>
      <w:sz w:val="20"/>
      <w:szCs w:val="20"/>
    </w:rPr>
  </w:style>
  <w:style w:type="paragraph" w:styleId="1842" w:customStyle="1">
    <w:name w:val="Scroll List Number"/>
    <w:basedOn w:val="1836"/>
    <w:link w:val="1775"/>
    <w:qFormat/>
    <w:pPr>
      <w:numPr>
        <w:ilvl w:val="0"/>
        <w:numId w:val="6"/>
      </w:numPr>
      <w:pBdr/>
      <w:spacing/>
      <w:ind w:left="709"/>
    </w:pPr>
  </w:style>
  <w:style w:type="paragraph" w:styleId="1843" w:customStyle="1">
    <w:name w:val="Scroll Caption"/>
    <w:basedOn w:val="1782"/>
    <w:link w:val="1777"/>
    <w:qFormat/>
    <w:pPr>
      <w:pBdr/>
      <w:spacing/>
      <w:ind/>
      <w:jc w:val="center"/>
    </w:pPr>
  </w:style>
  <w:style w:type="paragraph" w:styleId="1844">
    <w:name w:val="Frame Contents"/>
    <w:basedOn w:val="1720"/>
    <w:qFormat/>
    <w:pPr>
      <w:pBdr/>
      <w:spacing/>
      <w:ind/>
    </w:pPr>
  </w:style>
  <w:style w:type="numbering" w:styleId="1845" w:default="1">
    <w:name w:val="No List"/>
    <w:uiPriority w:val="99"/>
    <w:semiHidden/>
    <w:unhideWhenUsed/>
    <w:qFormat/>
    <w:pPr>
      <w:pBdr/>
      <w:spacing/>
      <w:ind/>
    </w:pPr>
  </w:style>
  <w:style w:type="table" w:styleId="1846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Table Grid"/>
    <w:basedOn w:val="1846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 w:customStyle="1">
    <w:name w:val="Scroll Section Column"/>
    <w:basedOn w:val="184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 w:customStyle="1">
    <w:name w:val="Scroll Tip"/>
    <w:basedOn w:val="1846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</w:tblBorders>
    </w:tblPr>
    <w:tcPr>
      <w:shd w:val="clear" w:color="auto" w:fill="defa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 w:customStyle="1">
    <w:name w:val="Scroll Warning"/>
    <w:basedOn w:val="1846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</w:tblBorders>
    </w:tblPr>
    <w:tcPr>
      <w:shd w:val="clear" w:color="auto" w:fill="ffe7e7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 w:customStyle="1">
    <w:name w:val="Scroll Code"/>
    <w:basedOn w:val="1846"/>
    <w:uiPriority w:val="99"/>
    <w:qFormat/>
    <w:pPr>
      <w:pBdr/>
      <w:spacing/>
      <w:ind w:right="259"/>
    </w:pPr>
    <w:rPr>
      <w:sz w:val="18"/>
    </w:r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6199c9" w:sz="4" w:space="0"/>
        <w:left w:val="single" w:color="6199c9" w:sz="4" w:space="0"/>
        <w:bottom w:val="single" w:color="6199c9" w:sz="4" w:space="0"/>
        <w:right w:val="single" w:color="6199c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 w:customStyle="1">
    <w:name w:val="Scroll Info"/>
    <w:basedOn w:val="1846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</w:tblBorders>
    </w:tblPr>
    <w:tcPr>
      <w:shd w:val="clear" w:color="auto" w:fill="dfeffd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 w:customStyle="1">
    <w:name w:val="Scroll Table Normal"/>
    <w:basedOn w:val="1846"/>
    <w:uiPriority w:val="99"/>
    <w:qFormat/>
    <w:pPr>
      <w:pBdr/>
      <w:spacing w:after="120"/>
      <w:ind/>
    </w:pPr>
    <w:rPr>
      <w:sz w:val="24"/>
    </w:rPr>
    <w:tblPr>
      <w:tblStyleRowBandSize w:val="1"/>
      <w:tblStyleColBandSize w:val="1"/>
      <w:tblCellMar>
        <w:left w:w="30" w:type="dxa"/>
        <w:top w:w="30" w:type="dxa"/>
        <w:right w:w="30" w:type="dxa"/>
        <w:bottom w:w="2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caps w:val="0"/>
        <w:smallCaps w:val="0"/>
        <w:sz w:val="24"/>
      </w:rPr>
      <w:pPr>
        <w:pBdr/>
        <w:spacing/>
        <w:ind/>
        <w:jc w:val="left"/>
      </w:pPr>
      <w:tblPr>
        <w:tblBorders/>
      </w:tblPr>
      <w:tcPr>
        <w:shd w:val="clear" w:color="auto" w:fill="ffffff" w:themeFill="background1"/>
        <w:tcBorders/>
        <w:vAlign w:val="center"/>
      </w:tcPr>
    </w:tblStylePr>
    <w:tblStylePr w:type="firstRow">
      <w:rPr>
        <w:b w:val="0"/>
        <w:bCs w:val="0"/>
        <w:i w:val="0"/>
        <w:caps w:val="0"/>
        <w:smallCaps w:val="0"/>
        <w:color w:val="262626" w:themeColor="text1" w:themeTint="D9"/>
        <w:sz w:val="24"/>
      </w:rPr>
      <w:pPr>
        <w:pBdr/>
        <w:spacing/>
        <w:ind/>
        <w:jc w:val="center"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 w:val="0"/>
        <w:color w:val="000000" w:themeColor="text1"/>
        <w:sz w:val="24"/>
      </w:rPr>
      <w:pPr>
        <w:pBdr/>
        <w:spacing/>
        <w:ind/>
        <w:jc w:val="center"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 w:customStyle="1">
    <w:name w:val="Scroll Panel"/>
    <w:basedOn w:val="1846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</w:tblBorders>
    </w:tblPr>
    <w:tcPr>
      <w:shd w:val="clear" w:color="auto" w:fill="f0f0f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 w:customStyle="1">
    <w:name w:val="Scroll Note"/>
    <w:basedOn w:val="1846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</w:tblBorders>
    </w:tblPr>
    <w:tcPr>
      <w:shd w:val="clear" w:color="auto" w:fill="ffff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 w:customStyle="1">
    <w:name w:val="Scroll Quote"/>
    <w:basedOn w:val="1846"/>
    <w:uiPriority w:val="99"/>
    <w:qFormat/>
    <w:pPr>
      <w:pBdr/>
      <w:spacing/>
      <w:ind w:right="259"/>
    </w:pPr>
    <w:rPr>
      <w:i/>
    </w:rPr>
    <w:tblPr>
      <w:tblCellMar>
        <w:left w:w="58" w:type="dxa"/>
        <w:right w:w="5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left w:val="single" w:color="6199c9" w:sz="4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Plain Table 1"/>
    <w:basedOn w:val="1846"/>
    <w:pPr>
      <w:pBdr/>
      <w:spacing/>
      <w:ind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Plain Table 2"/>
    <w:basedOn w:val="1846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 w:customStyle="1">
    <w:name w:val="Style1"/>
    <w:basedOn w:val="184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 w:customStyle="1">
    <w:name w:val="Scroll Custom Panel"/>
    <w:basedOn w:val="1846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deeb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 w:customStyle="1">
    <w:name w:val="Scroll Note Cloud"/>
    <w:basedOn w:val="1846"/>
    <w:uiPriority w:val="99"/>
    <w:pPr>
      <w:pBdr/>
      <w:spacing/>
      <w:ind w:right="261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eae6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Light"/>
    <w:basedOn w:val="1846"/>
    <w:pPr>
      <w:pBdr/>
      <w:spacing/>
      <w:ind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 w:customStyle="1">
    <w:name w:val="StGen2"/>
    <w:pPr>
      <w:pBdr/>
      <w:spacing/>
      <w:ind/>
    </w:pPr>
    <w:rPr>
      <w:sz w:val="22"/>
      <w:szCs w:val="22"/>
      <w:lang w:val="ru-RU" w:eastAsia="ru-RU"/>
    </w:r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 w:customStyle="1">
    <w:name w:val="Scroll Table Normal1"/>
    <w:basedOn w:val="1846"/>
    <w:uiPriority w:val="99"/>
    <w:qFormat/>
    <w:pPr>
      <w:pBdr/>
      <w:spacing w:after="60" w:before="60" w:line="360" w:lineRule="auto"/>
      <w:ind/>
    </w:pPr>
    <w:rPr>
      <w:sz w:val="24"/>
    </w:rPr>
    <w:tblPr>
      <w:tblStyleRowBandSize w:val="1"/>
      <w:tblStyleColBandSize w:val="1"/>
      <w:tblCellMar>
        <w:left w:w="30" w:type="dxa"/>
        <w:top w:w="30" w:type="dxa"/>
        <w:right w:w="30" w:type="dxa"/>
        <w:bottom w:w="2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caps w:val="0"/>
        <w:smallCaps w:val="0"/>
        <w:sz w:val="24"/>
      </w:rPr>
      <w:pPr>
        <w:pBdr/>
        <w:spacing/>
        <w:ind/>
        <w:jc w:val="left"/>
      </w:pPr>
      <w:tblPr>
        <w:tblBorders/>
      </w:tblPr>
      <w:tcPr>
        <w:shd w:val="clear" w:color="auto" w:fill="ffffff" w:themeFill="background1"/>
        <w:tcBorders/>
        <w:vAlign w:val="center"/>
      </w:tcPr>
    </w:tblStylePr>
    <w:tblStylePr w:type="firstRow">
      <w:rPr>
        <w:b w:val="0"/>
        <w:bCs w:val="0"/>
        <w:i w:val="0"/>
        <w:caps w:val="0"/>
        <w:smallCaps w:val="0"/>
        <w:color w:val="262626" w:themeColor="text1" w:themeTint="D9"/>
        <w:sz w:val="24"/>
      </w:rPr>
      <w:pPr>
        <w:pBdr/>
        <w:spacing/>
        <w:ind/>
        <w:jc w:val="center"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 w:val="0"/>
        <w:color w:val="000000" w:themeColor="text1"/>
        <w:sz w:val="24"/>
      </w:rPr>
      <w:pPr>
        <w:pBdr/>
        <w:spacing/>
        <w:ind/>
        <w:jc w:val="center"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footer" Target="footer3.xml" /><Relationship Id="rId19" Type="http://schemas.openxmlformats.org/officeDocument/2006/relationships/footer" Target="footer4.xml" /><Relationship Id="rId20" Type="http://schemas.openxmlformats.org/officeDocument/2006/relationships/footer" Target="footer5.xml" /><Relationship Id="rId21" Type="http://schemas.openxmlformats.org/officeDocument/2006/relationships/footer" Target="footer6.xml" /><Relationship Id="rId22" Type="http://schemas.openxmlformats.org/officeDocument/2006/relationships/footer" Target="footer7.xml" /><Relationship Id="rId2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Desig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1FE39-D3CB-44EC-82EE-3A0FB6C41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Лартех_Текстовый документ_ГОСТ 2.105-95 (A4)</Template>
  <Application>onlyoffice/9.2.1.1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Киселев</dc:creator>
  <dc:description/>
  <dc:language>en-US</dc:language>
  <cp:lastModifiedBy>Самарина Анна Сергеевна</cp:lastModifiedBy>
  <cp:revision>8</cp:revision>
  <dcterms:created xsi:type="dcterms:W3CDTF">2026-06-25T14:54:00Z</dcterms:created>
  <dcterms:modified xsi:type="dcterms:W3CDTF">2026-09-23T07:22:30Z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