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rels" ContentType="application/vnd.openxmlformats-package.relationships+xml"/>
  <Default Extension="jpeg" ContentType="image/jpeg"/>
  <Default Extension="png" ContentType="image/png"/>
  <Default Extension="bin" ContentType="application/vnd.openxmlformats-officedocument.oleObject"/>
  <Default Extension="wmf" ContentType="image/x-wmf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7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header8.xml" ContentType="application/vnd.openxmlformats-officedocument.wordprocessingml.header+xml"/>
  <Override PartName="/word/footer2.xml" ContentType="application/vnd.openxmlformats-officedocument.wordprocessingml.footer+xml"/>
  <Override PartName="/word/footer11.xml" ContentType="application/vnd.openxmlformats-officedocument.wordprocessingml.foot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header11.xml" ContentType="application/vnd.openxmlformats-officedocument.wordprocessingml.header+xml"/>
  <Override PartName="/word/header10.xml" ContentType="application/vnd.openxmlformats-officedocument.wordprocessingml.head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745"/>
        <w:pBdr/>
        <w:spacing/>
        <w:ind w:right="140" w:firstLine="720"/>
        <w:rPr/>
      </w:pPr>
      <w:r/>
      <w:bookmarkStart w:id="1" w:name="scroll-bookmark-1"/>
      <w:r/>
      <w:bookmarkEnd w:id="1"/>
      <w:r/>
      <w:r/>
    </w:p>
    <w:tbl>
      <w:tblPr>
        <w:jc w:val="center"/>
        <w:tblInd w:w="0" w:type="dxa"/>
        <w:tblW w:w="10112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4536"/>
        <w:gridCol w:w="1003"/>
        <w:gridCol w:w="4573"/>
      </w:tblGrid>
      <w:tr>
        <w:trPr>
          <w:cantSplit/>
        </w:trPr>
        <w:tc>
          <w:tcPr>
            <w:tcBorders/>
            <w:tcW w:w="4536" w:type="dxa"/>
            <w:textDirection w:val="lrTb"/>
            <w:noWrap w:val="false"/>
          </w:tcPr>
          <w:p>
            <w:pPr>
              <w:pStyle w:val="1836"/>
              <w:pBdr/>
              <w:spacing/>
              <w:ind w:right="140" w:firstLine="0" w:left="284"/>
              <w:rPr/>
            </w:pPr>
            <w:r/>
            <w:r/>
          </w:p>
          <w:p>
            <w:pPr>
              <w:pStyle w:val="1836"/>
              <w:pBdr/>
              <w:spacing/>
              <w:ind w:right="140" w:firstLine="0" w:left="284"/>
              <w:rPr/>
            </w:pPr>
            <w:r/>
            <w:r/>
          </w:p>
          <w:p>
            <w:pPr>
              <w:pStyle w:val="1836"/>
              <w:pBdr/>
              <w:spacing w:after="240" w:before="0"/>
              <w:ind w:right="140" w:firstLine="0" w:left="284"/>
              <w:rPr/>
            </w:pPr>
            <w:r/>
            <w:r/>
          </w:p>
        </w:tc>
        <w:tc>
          <w:tcPr>
            <w:tcBorders/>
            <w:tcW w:w="1003" w:type="dxa"/>
            <w:textDirection w:val="lrTb"/>
            <w:noWrap w:val="false"/>
          </w:tcPr>
          <w:p>
            <w:pPr>
              <w:pStyle w:val="1836"/>
              <w:pBdr/>
              <w:spacing w:after="240" w:before="0"/>
              <w:ind w:right="140" w:firstLine="0" w:left="284"/>
              <w:rPr/>
            </w:pPr>
            <w:r/>
            <w:r/>
          </w:p>
        </w:tc>
        <w:tc>
          <w:tcPr>
            <w:tcBorders/>
            <w:tcW w:w="4573" w:type="dxa"/>
            <w:textDirection w:val="lrTb"/>
            <w:noWrap w:val="false"/>
          </w:tcPr>
          <w:p>
            <w:pPr>
              <w:pStyle w:val="1836"/>
              <w:pBdr/>
              <w:spacing w:after="240" w:before="0"/>
              <w:ind w:right="140" w:firstLine="0" w:left="284"/>
              <w:rPr/>
            </w:pPr>
            <w:r/>
            <w:r/>
          </w:p>
        </w:tc>
      </w:tr>
    </w:tbl>
    <w:p>
      <w:pPr>
        <w:pStyle w:val="1745"/>
        <w:pBdr/>
        <w:spacing/>
        <w:ind/>
        <w:rPr>
          <w:vanish/>
        </w:rPr>
      </w:pPr>
      <w:r>
        <w:rPr>
          <w:vanish/>
        </w:rPr>
      </w:r>
      <w:r>
        <w:rPr>
          <w:vanish/>
        </w:rPr>
      </w:r>
      <w:r>
        <w:rPr>
          <w:vanish/>
        </w:rPr>
      </w:r>
    </w:p>
    <w:tbl>
      <w:tblPr>
        <w:tblInd w:w="0" w:type="dxa"/>
        <w:tblW w:w="9913" w:type="dxa"/>
        <w:tblCellMar>
          <w:left w:w="100" w:type="dxa"/>
          <w:top w:w="100" w:type="dxa"/>
          <w:right w:w="100" w:type="dxa"/>
          <w:bottom w:w="10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4492"/>
        <w:gridCol w:w="5420"/>
      </w:tblGrid>
      <w:tr>
        <w:trPr>
          <w:trHeight w:val="71"/>
        </w:trPr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4492" w:type="dxa"/>
            <w:textDirection w:val="lrTb"/>
            <w:noWrap w:val="false"/>
          </w:tcPr>
          <w:p>
            <w:pPr>
              <w:pStyle w:val="1745"/>
              <w:widowControl w:val="false"/>
              <w:pBdr/>
              <w:spacing/>
              <w:ind w:right="140"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СОГЛАСОВАНО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5420" w:type="dxa"/>
            <w:textDirection w:val="lrTb"/>
            <w:noWrap w:val="false"/>
          </w:tcPr>
          <w:p>
            <w:pPr>
              <w:pStyle w:val="1745"/>
              <w:widowControl w:val="false"/>
              <w:pBdr/>
              <w:spacing/>
              <w:ind w:right="140" w:firstLine="7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 xml:space="preserve">УТВЕРЖДЕНО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4492" w:type="dxa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  <w:t xml:space="preserve">Проректор по научной работе СПбГУ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5420" w:type="dxa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 w:left="642"/>
              <w:jc w:val="right"/>
              <w:rPr>
                <w:rFonts w:eastAsia="Arial"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  <w:t xml:space="preserve">Президент АО «Энергомера»</w:t>
            </w:r>
            <w:r>
              <w:rPr>
                <w:rFonts w:eastAsia="Arial" w:cs="Times New Roman"/>
                <w:bCs w:val="0"/>
                <w:iCs w:val="0"/>
              </w:rPr>
            </w:r>
            <w:r>
              <w:rPr>
                <w:rFonts w:eastAsia="Arial" w:cs="Times New Roman"/>
                <w:bCs w:val="0"/>
                <w:iCs w:val="0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4492" w:type="dxa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  <w:t xml:space="preserve">        </w:t>
            </w:r>
            <w:r>
              <w:rPr>
                <w:rFonts w:cs="Times New Roman"/>
                <w:bCs w:val="0"/>
                <w:iCs w:val="0"/>
              </w:rPr>
              <w:t xml:space="preserve">______________ /С. В. Микушев/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  <w:p>
            <w:pPr>
              <w:pStyle w:val="1745"/>
              <w:pBdr/>
              <w:spacing/>
              <w:ind w:right="140" w:firstLine="0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  <w:t xml:space="preserve">«_____» _______________ 2026 г.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5420" w:type="dxa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 w:left="642"/>
              <w:jc w:val="righ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  <w:t xml:space="preserve">________________ /А.Е. Козырев/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  <w:p>
            <w:pPr>
              <w:pStyle w:val="1745"/>
              <w:pBdr/>
              <w:spacing/>
              <w:ind w:right="140" w:firstLine="0" w:left="642"/>
              <w:jc w:val="righ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  <w:t xml:space="preserve">«_____» _________________ 2026 г.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805"/>
        <w:pBdr/>
        <w:spacing/>
        <w:ind w:right="140" w:firstLine="720"/>
        <w:rPr/>
      </w:pPr>
      <w:r/>
      <w:r/>
    </w:p>
    <w:p>
      <w:pPr>
        <w:pStyle w:val="1805"/>
        <w:pBdr/>
        <w:spacing/>
        <w:ind w:right="140" w:firstLine="720"/>
        <w:rPr/>
      </w:pPr>
      <w:r/>
      <w:r/>
    </w:p>
    <w:p>
      <w:pPr>
        <w:pStyle w:val="1805"/>
        <w:pBdr/>
        <w:spacing/>
        <w:ind w:right="140" w:firstLine="720"/>
        <w:rPr/>
      </w:pPr>
      <w:r/>
      <w:r/>
    </w:p>
    <w:p>
      <w:pPr>
        <w:pStyle w:val="1805"/>
        <w:pBdr/>
        <w:spacing/>
        <w:ind w:right="140" w:firstLine="720"/>
        <w:jc w:val="center"/>
        <w:rPr>
          <w:b/>
          <w:bCs w:val="0"/>
          <w:iCs w:val="0"/>
          <w:caps/>
          <w:sz w:val="28"/>
          <w:szCs w:val="28"/>
        </w:rPr>
      </w:pPr>
      <w:r>
        <w:rPr>
          <w:b/>
          <w:bCs w:val="0"/>
          <w:iCs w:val="0"/>
          <w:caps/>
          <w:sz w:val="28"/>
          <w:szCs w:val="28"/>
        </w:rPr>
        <w:t xml:space="preserve">Программный комплекс определения типа             подключенной нагрузки потребителя в сетях низкого              напряжения 0,4 кВ</w:t>
      </w:r>
      <w:r>
        <w:rPr>
          <w:b/>
          <w:bCs w:val="0"/>
          <w:iCs w:val="0"/>
          <w:caps/>
          <w:sz w:val="28"/>
          <w:szCs w:val="28"/>
        </w:rPr>
      </w:r>
      <w:r>
        <w:rPr>
          <w:b/>
          <w:bCs w:val="0"/>
          <w:iCs w:val="0"/>
          <w:caps/>
          <w:sz w:val="28"/>
          <w:szCs w:val="28"/>
        </w:rPr>
      </w:r>
    </w:p>
    <w:p>
      <w:pPr>
        <w:pStyle w:val="1835"/>
        <w:pBdr/>
        <w:spacing/>
        <w:ind w:right="140" w:firstLine="720"/>
        <w:rPr/>
      </w:pPr>
      <w:r/>
      <w:r/>
    </w:p>
    <w:p>
      <w:pPr>
        <w:pStyle w:val="1835"/>
        <w:pBdr/>
        <w:spacing/>
        <w:ind w:right="140" w:firstLine="0"/>
        <w:rPr/>
      </w:pPr>
      <w:r>
        <w:t xml:space="preserve">Описание программы</w:t>
      </w:r>
      <w:r/>
    </w:p>
    <w:p>
      <w:pPr>
        <w:pStyle w:val="1835"/>
        <w:pBdr/>
        <w:spacing/>
        <w:ind w:right="140" w:firstLine="0"/>
        <w:rPr/>
      </w:pPr>
      <w:r>
        <w:t xml:space="preserve">Лист утверждения</w:t>
      </w:r>
      <w:r/>
    </w:p>
    <w:p>
      <w:pPr>
        <w:pStyle w:val="1835"/>
        <w:pBdr/>
        <w:spacing/>
        <w:ind w:right="140" w:firstLine="720"/>
        <w:rPr/>
      </w:pPr>
      <w:r/>
      <w:r/>
    </w:p>
    <w:p>
      <w:pPr>
        <w:pStyle w:val="1745"/>
        <w:pBdr/>
        <w:spacing/>
        <w:ind w:right="140" w:firstLine="0"/>
        <w:jc w:val="center"/>
        <w:rPr>
          <w:b/>
          <w:bCs w:val="0"/>
          <w:iCs w:val="0"/>
          <w:sz w:val="28"/>
        </w:rPr>
      </w:pPr>
      <w:r>
        <w:rPr>
          <w:b/>
          <w:bCs w:val="0"/>
          <w:iCs w:val="0"/>
          <w:sz w:val="28"/>
        </w:rPr>
        <w:t xml:space="preserve">RU.02068516.62.01.29-140 13 02-ЛУ</w:t>
      </w:r>
      <w:r>
        <w:rPr>
          <w:b/>
          <w:bCs w:val="0"/>
          <w:iCs w:val="0"/>
          <w:sz w:val="28"/>
        </w:rPr>
      </w:r>
      <w:r>
        <w:rPr>
          <w:b/>
          <w:bCs w:val="0"/>
          <w:iCs w:val="0"/>
          <w:sz w:val="28"/>
        </w:rPr>
      </w:r>
    </w:p>
    <w:p>
      <w:pPr>
        <w:pStyle w:val="1745"/>
        <w:pBdr/>
        <w:spacing/>
        <w:ind w:right="140" w:firstLine="720"/>
        <w:jc w:val="center"/>
        <w:rPr>
          <w:b/>
          <w:bCs w:val="0"/>
          <w:iCs w:val="0"/>
          <w:sz w:val="28"/>
        </w:rPr>
      </w:pPr>
      <w:r>
        <w:rPr>
          <w:b/>
          <w:bCs w:val="0"/>
          <w:iCs w:val="0"/>
          <w:sz w:val="28"/>
        </w:rPr>
      </w:r>
      <w:r>
        <w:rPr>
          <w:b/>
          <w:bCs w:val="0"/>
          <w:iCs w:val="0"/>
          <w:sz w:val="28"/>
        </w:rPr>
      </w:r>
      <w:r>
        <w:rPr>
          <w:b/>
          <w:bCs w:val="0"/>
          <w:iCs w:val="0"/>
          <w:sz w:val="28"/>
        </w:rPr>
      </w:r>
    </w:p>
    <w:p>
      <w:pPr>
        <w:pStyle w:val="1745"/>
        <w:pBdr/>
        <w:spacing/>
        <w:ind w:right="140" w:firstLine="720"/>
        <w:jc w:val="center"/>
        <w:rPr>
          <w:b/>
          <w:bCs w:val="0"/>
          <w:iCs w:val="0"/>
          <w:sz w:val="28"/>
        </w:rPr>
      </w:pPr>
      <w:r>
        <w:rPr>
          <w:b/>
          <w:bCs w:val="0"/>
          <w:iCs w:val="0"/>
          <w:sz w:val="28"/>
        </w:rPr>
      </w:r>
      <w:r>
        <w:rPr>
          <w:b/>
          <w:bCs w:val="0"/>
          <w:iCs w:val="0"/>
          <w:sz w:val="28"/>
        </w:rPr>
      </w:r>
      <w:r>
        <w:rPr>
          <w:b/>
          <w:bCs w:val="0"/>
          <w:iCs w:val="0"/>
          <w:sz w:val="28"/>
        </w:rPr>
      </w:r>
    </w:p>
    <w:p>
      <w:pPr>
        <w:pStyle w:val="1745"/>
        <w:pBdr/>
        <w:spacing/>
        <w:ind w:right="140" w:firstLine="720"/>
        <w:jc w:val="center"/>
        <w:rPr>
          <w:b/>
          <w:bCs w:val="0"/>
          <w:iCs w:val="0"/>
          <w:sz w:val="28"/>
        </w:rPr>
      </w:pPr>
      <w:r>
        <w:rPr>
          <w:b/>
          <w:bCs w:val="0"/>
          <w:iCs w:val="0"/>
          <w:sz w:val="28"/>
        </w:rPr>
      </w:r>
      <w:r>
        <w:rPr>
          <w:b/>
          <w:bCs w:val="0"/>
          <w:iCs w:val="0"/>
          <w:sz w:val="28"/>
        </w:rPr>
      </w:r>
      <w:r>
        <w:rPr>
          <w:b/>
          <w:bCs w:val="0"/>
          <w:iCs w:val="0"/>
          <w:sz w:val="28"/>
        </w:rPr>
      </w:r>
    </w:p>
    <w:tbl>
      <w:tblPr>
        <w:tblInd w:w="1188" w:type="dxa"/>
        <w:tblW w:w="4300" w:type="pct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2348"/>
        <w:gridCol w:w="1689"/>
        <w:gridCol w:w="4397"/>
      </w:tblGrid>
      <w:tr>
        <w:trPr/>
        <w:tc>
          <w:tcPr>
            <w:tcBorders/>
            <w:tcW w:w="2348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720"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9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720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28" w:left="-28"/>
              <w:jc w:val="center"/>
              <w:rPr/>
            </w:pPr>
            <w:r>
              <w:t xml:space="preserve">Руководитель разработки, главный             архитектор ЦИИНД СПбГУ</w:t>
            </w:r>
            <w:r/>
          </w:p>
        </w:tc>
      </w:tr>
      <w:tr>
        <w:trPr/>
        <w:tc>
          <w:tcPr>
            <w:tcBorders/>
            <w:tcW w:w="2348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720"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9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720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28" w:left="-28"/>
              <w:jc w:val="center"/>
              <w:rPr/>
            </w:pPr>
            <w:r/>
            <w:r/>
          </w:p>
        </w:tc>
      </w:tr>
      <w:tr>
        <w:trPr>
          <w:trHeight w:val="513"/>
        </w:trPr>
        <w:tc>
          <w:tcPr>
            <w:tcBorders/>
            <w:tcW w:w="2348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720"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9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720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28" w:left="-28"/>
              <w:jc w:val="center"/>
              <w:rPr/>
            </w:pPr>
            <w:r>
              <w:t xml:space="preserve">___________ Р.Н. Липский</w:t>
            </w:r>
            <w:r/>
          </w:p>
        </w:tc>
      </w:tr>
      <w:tr>
        <w:trPr>
          <w:trHeight w:val="142"/>
        </w:trPr>
        <w:tc>
          <w:tcPr>
            <w:tcBorders/>
            <w:tcW w:w="2348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720"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9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720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28" w:left="-28"/>
              <w:jc w:val="center"/>
              <w:rPr/>
            </w:pPr>
            <w:r>
              <w:t xml:space="preserve">“</w:t>
            </w:r>
            <w:r>
              <w:t xml:space="preserve">_____”____________2026</w:t>
            </w:r>
            <w:r/>
          </w:p>
        </w:tc>
      </w:tr>
      <w:tr>
        <w:trPr>
          <w:trHeight w:val="567" w:hRule="exact"/>
        </w:trPr>
        <w:tc>
          <w:tcPr>
            <w:tcBorders/>
            <w:tcW w:w="2348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720"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9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720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28" w:left="-28"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2348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720"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9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720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28" w:left="-28"/>
              <w:jc w:val="center"/>
              <w:rPr/>
            </w:pPr>
            <w:r>
              <w:t xml:space="preserve">Ответственный исполнитель, ведущий программист ЦИИНД СПбГУ</w:t>
            </w:r>
            <w:r/>
          </w:p>
        </w:tc>
      </w:tr>
      <w:tr>
        <w:trPr/>
        <w:tc>
          <w:tcPr>
            <w:tcBorders/>
            <w:tcW w:w="2348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720"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9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720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28" w:left="-28"/>
              <w:jc w:val="center"/>
              <w:rPr/>
            </w:pPr>
            <w:r/>
            <w:r/>
          </w:p>
        </w:tc>
      </w:tr>
      <w:tr>
        <w:trPr>
          <w:trHeight w:val="468"/>
        </w:trPr>
        <w:tc>
          <w:tcPr>
            <w:tcBorders/>
            <w:tcW w:w="2348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720"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9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720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28" w:left="-28"/>
              <w:jc w:val="center"/>
              <w:rPr/>
            </w:pPr>
            <w:r>
              <w:t xml:space="preserve">_____________ С.В. Шохарев</w:t>
            </w:r>
            <w:r/>
          </w:p>
        </w:tc>
      </w:tr>
      <w:tr>
        <w:trPr/>
        <w:tc>
          <w:tcPr>
            <w:tcBorders/>
            <w:tcW w:w="2348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720"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9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720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28" w:left="-28"/>
              <w:jc w:val="center"/>
              <w:rPr/>
            </w:pPr>
            <w:r>
              <w:t xml:space="preserve">“</w:t>
            </w:r>
            <w:r>
              <w:t xml:space="preserve">_____”____________2026</w:t>
            </w:r>
            <w:r/>
          </w:p>
        </w:tc>
      </w:tr>
      <w:tr>
        <w:trPr>
          <w:trHeight w:val="567" w:hRule="exact"/>
        </w:trPr>
        <w:tc>
          <w:tcPr>
            <w:tcBorders/>
            <w:tcW w:w="2348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720"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9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720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745"/>
              <w:pBdr/>
              <w:tabs>
                <w:tab w:val="clear" w:leader="none" w:pos="284"/>
                <w:tab w:val="left" w:leader="none" w:pos="5727"/>
              </w:tabs>
              <w:spacing/>
              <w:ind w:right="140" w:firstLine="28" w:left="-28"/>
              <w:jc w:val="center"/>
              <w:rPr/>
            </w:pPr>
            <w:r/>
            <w:r/>
          </w:p>
        </w:tc>
      </w:tr>
    </w:tbl>
    <w:p w14:paraId="5B7FC302">
      <w:pPr>
        <w:pBdr/>
        <w:spacing/>
        <w:ind/>
        <w:rPr/>
      </w:pPr>
      <w:r/>
      <w:r/>
    </w:p>
    <w:p w14:paraId="73292F1E">
      <w:pPr>
        <w:pBdr/>
        <w:spacing/>
        <w:ind/>
        <w:rPr/>
      </w:pPr>
      <w:r/>
      <w:r/>
    </w:p>
    <w:p>
      <w:pPr>
        <w:pStyle w:val="1745"/>
        <w:pBdr/>
        <w:spacing/>
        <w:ind w:right="140" w:firstLine="720"/>
        <w:rPr>
          <w:b/>
          <w:bCs w:val="0"/>
          <w:iCs w:val="0"/>
          <w:sz w:val="28"/>
        </w:rPr>
        <w:sectPr>
          <w:headerReference w:type="default" r:id="rId9"/>
          <w:headerReference w:type="even" r:id="rId10"/>
          <w:headerReference w:type="first" r:id="rId11"/>
          <w:footerReference w:type="default" r:id="rId20"/>
          <w:footerReference w:type="even" r:id="rId21"/>
          <w:footerReference w:type="first" r:id="rId22"/>
          <w:footnotePr/>
          <w:endnotePr/>
          <w:type w:val="nextPage"/>
          <w:pgSz w:h="16838" w:orient="portrait" w:w="11906"/>
          <w:pgMar w:top="851" w:right="680" w:bottom="1315" w:left="1418" w:header="709" w:footer="709" w:gutter="0"/>
          <w:pgNumType w:start="0"/>
          <w:cols w:num="1" w:sep="0" w:space="1701" w:equalWidth="1"/>
        </w:sectPr>
      </w:pPr>
      <w:r>
        <w:rPr>
          <w:b/>
          <w:bCs w:val="0"/>
          <w:iCs w:val="0"/>
          <w:sz w:val="28"/>
        </w:rPr>
      </w:r>
      <w:r>
        <w:rPr>
          <w:b/>
          <w:bCs w:val="0"/>
          <w:iCs w:val="0"/>
          <w:sz w:val="28"/>
        </w:rPr>
      </w:r>
      <w:r>
        <w:rPr>
          <w:b/>
          <w:bCs w:val="0"/>
          <w:iCs w:val="0"/>
          <w:sz w:val="28"/>
        </w:rPr>
      </w:r>
    </w:p>
    <w:p>
      <w:pPr>
        <w:pStyle w:val="1745"/>
        <w:pBdr/>
        <w:spacing/>
        <w:ind w:right="140" w:firstLine="720"/>
        <w:rPr>
          <w:b/>
          <w:bCs w:val="0"/>
        </w:rPr>
      </w:pPr>
      <w:r>
        <w:rPr>
          <w:b/>
          <w:bCs w:val="0"/>
        </w:rPr>
      </w:r>
      <w:r>
        <w:rPr>
          <w:b/>
          <w:bCs w:val="0"/>
        </w:rPr>
      </w:r>
      <w:r>
        <w:rPr>
          <w:b/>
          <w:bCs w:val="0"/>
        </w:rPr>
      </w:r>
    </w:p>
    <w:p>
      <w:pPr>
        <w:pStyle w:val="1745"/>
        <w:pBdr/>
        <w:spacing/>
        <w:ind w:right="140" w:firstLine="720"/>
        <w:rPr>
          <w:b/>
          <w:bCs w:val="0"/>
          <w:sz w:val="32"/>
          <w:szCs w:val="32"/>
        </w:rPr>
      </w:pPr>
      <w:r>
        <w:rPr>
          <w:b/>
          <w:bCs w:val="0"/>
        </w:rPr>
        <w:t xml:space="preserve">УТВЕРЖДЕНО</w:t>
      </w:r>
      <w:r>
        <w:rPr>
          <w:b/>
          <w:bCs w:val="0"/>
          <w:sz w:val="32"/>
          <w:szCs w:val="32"/>
        </w:rPr>
      </w:r>
      <w:r>
        <w:rPr>
          <w:b/>
          <w:bCs w:val="0"/>
          <w:sz w:val="32"/>
          <w:szCs w:val="32"/>
        </w:rPr>
      </w:r>
    </w:p>
    <w:p>
      <w:pPr>
        <w:pStyle w:val="1745"/>
        <w:pBdr/>
        <w:spacing/>
        <w:ind w:right="140" w:firstLine="720"/>
        <w:rPr/>
      </w:pPr>
      <w:r>
        <w:t xml:space="preserve">RU.02068516.62.01.29-140 13 02-ЛУ</w:t>
      </w:r>
      <w:r/>
    </w:p>
    <w:p>
      <w:pPr>
        <w:pStyle w:val="1745"/>
        <w:pBdr/>
        <w:spacing/>
        <w:ind w:right="140" w:firstLine="720"/>
        <w:rPr/>
      </w:pPr>
      <w:r/>
      <w:r/>
    </w:p>
    <w:p>
      <w:pPr>
        <w:pStyle w:val="1745"/>
        <w:pBdr/>
        <w:spacing/>
        <w:ind w:right="140" w:firstLine="720"/>
        <w:rPr/>
      </w:pPr>
      <w:r/>
      <w:r/>
    </w:p>
    <w:p>
      <w:pPr>
        <w:pStyle w:val="1745"/>
        <w:pBdr/>
        <w:spacing/>
        <w:ind w:right="140" w:firstLine="720"/>
        <w:rPr/>
      </w:pPr>
      <w:r/>
      <w:r/>
    </w:p>
    <w:p>
      <w:pPr>
        <w:pStyle w:val="1745"/>
        <w:pBdr/>
        <w:spacing/>
        <w:ind w:right="140" w:firstLine="720"/>
        <w:rPr/>
      </w:pPr>
      <w:r/>
      <w:r/>
    </w:p>
    <w:p>
      <w:pPr>
        <w:pStyle w:val="1833"/>
        <w:pBdr/>
        <w:spacing/>
        <w:ind w:right="140" w:firstLine="720"/>
        <w:rPr/>
      </w:pPr>
      <w:r/>
      <w:r/>
    </w:p>
    <w:p>
      <w:pPr>
        <w:pStyle w:val="1833"/>
        <w:pBdr/>
        <w:spacing/>
        <w:ind w:right="140" w:firstLine="720"/>
        <w:rPr/>
      </w:pPr>
      <w:r/>
      <w:r/>
    </w:p>
    <w:p>
      <w:pPr>
        <w:pStyle w:val="1833"/>
        <w:pBdr/>
        <w:spacing/>
        <w:ind w:right="140" w:firstLine="720"/>
        <w:rPr/>
      </w:pPr>
      <w:r/>
      <w:r/>
    </w:p>
    <w:p>
      <w:pPr>
        <w:pStyle w:val="1833"/>
        <w:pBdr/>
        <w:spacing/>
        <w:ind w:right="140" w:firstLine="720"/>
        <w:rPr/>
      </w:pPr>
      <w:r/>
      <w:r/>
    </w:p>
    <w:p>
      <w:pPr>
        <w:pStyle w:val="1833"/>
        <w:pBdr/>
        <w:spacing/>
        <w:ind w:right="140" w:firstLine="720"/>
        <w:rPr/>
      </w:pPr>
      <w:r/>
      <w:r/>
    </w:p>
    <w:p>
      <w:pPr>
        <w:pStyle w:val="1833"/>
        <w:pBdr/>
        <w:spacing/>
        <w:ind w:right="140" w:firstLine="720"/>
        <w:rPr/>
      </w:pPr>
      <w:r/>
      <w:r/>
    </w:p>
    <w:p>
      <w:pPr>
        <w:pStyle w:val="1833"/>
        <w:pBdr/>
        <w:spacing/>
        <w:ind w:right="140" w:firstLine="720"/>
        <w:rPr/>
      </w:pPr>
      <w:r/>
      <w:r/>
    </w:p>
    <w:p>
      <w:pPr>
        <w:pStyle w:val="1833"/>
        <w:pBdr/>
        <w:spacing/>
        <w:ind w:right="140" w:firstLine="720"/>
        <w:rPr/>
      </w:pPr>
      <w:r/>
      <w:r/>
    </w:p>
    <w:p>
      <w:pPr>
        <w:pStyle w:val="1833"/>
        <w:pBdr/>
        <w:spacing/>
        <w:ind w:right="140" w:firstLine="720"/>
        <w:rPr/>
      </w:pPr>
      <w:r>
        <w:rPr>
          <w:bCs/>
        </w:rPr>
        <w:t xml:space="preserve">Программный комплекс определения типа             подключенной нагрузки потребителя в сетях низкого напряжения 0,4 кВ</w:t>
      </w:r>
      <w:r/>
    </w:p>
    <w:p>
      <w:pPr>
        <w:pStyle w:val="1835"/>
        <w:pBdr/>
        <w:spacing/>
        <w:ind w:right="140" w:firstLine="0"/>
        <w:rPr/>
      </w:pPr>
      <w:r/>
      <w:r/>
    </w:p>
    <w:p>
      <w:pPr>
        <w:pStyle w:val="1835"/>
        <w:pBdr/>
        <w:spacing/>
        <w:ind w:right="140" w:firstLine="0"/>
        <w:rPr/>
      </w:pPr>
      <w:r>
        <w:t xml:space="preserve">Описание программы</w:t>
      </w:r>
      <w:r/>
    </w:p>
    <w:p>
      <w:pPr>
        <w:pStyle w:val="1835"/>
        <w:pBdr/>
        <w:spacing/>
        <w:ind w:right="140" w:firstLine="720"/>
        <w:rPr/>
      </w:pPr>
      <w:r/>
      <w:r/>
    </w:p>
    <w:p>
      <w:pPr>
        <w:pStyle w:val="1835"/>
        <w:pBdr/>
        <w:spacing/>
        <w:ind w:right="140" w:firstLine="0"/>
        <w:rPr/>
      </w:pPr>
      <w:r>
        <w:t xml:space="preserve">RU.02068516.62.01.29-140 13 02</w:t>
      </w:r>
      <w:r/>
    </w:p>
    <w:p>
      <w:pPr>
        <w:pStyle w:val="1835"/>
        <w:pBdr/>
        <w:spacing/>
        <w:ind w:right="140" w:firstLine="720"/>
        <w:rPr/>
      </w:pPr>
      <w:r/>
      <w:r/>
    </w:p>
    <w:p>
      <w:pPr>
        <w:pStyle w:val="1835"/>
        <w:pBdr/>
        <w:spacing/>
        <w:ind w:right="140" w:firstLine="720"/>
        <w:rPr/>
      </w:pPr>
      <w:r/>
      <w:r/>
    </w:p>
    <w:p>
      <w:pPr>
        <w:pStyle w:val="1835"/>
        <w:pBdr/>
        <w:spacing/>
        <w:ind w:right="140" w:firstLine="720"/>
        <w:rPr/>
      </w:pPr>
      <w:r/>
      <w:r/>
    </w:p>
    <w:p>
      <w:pPr>
        <w:pStyle w:val="1835"/>
        <w:pBdr/>
        <w:spacing/>
        <w:ind w:right="140" w:firstLine="720"/>
        <w:rPr/>
      </w:pPr>
      <w:r/>
      <w:r/>
    </w:p>
    <w:p>
      <w:pPr>
        <w:pStyle w:val="1812"/>
        <w:pBdr/>
        <w:spacing/>
        <w:ind w:right="140" w:firstLine="0"/>
        <w:jc w:val="center"/>
        <w:rPr>
          <w:sz w:val="28"/>
          <w:szCs w:val="28"/>
          <w:highlight w:val="none"/>
        </w:rPr>
      </w:pPr>
      <w:r>
        <w:rPr>
          <w:caps/>
          <w:sz w:val="28"/>
          <w:szCs w:val="40"/>
        </w:rPr>
        <w:t xml:space="preserve">Листов 65</w:t>
      </w:r>
      <w:r>
        <w:rPr>
          <w:sz w:val="28"/>
          <w:szCs w:val="40"/>
        </w:rPr>
      </w:r>
      <w:r>
        <w:rPr>
          <w:sz w:val="28"/>
          <w:szCs w:val="28"/>
          <w:highlight w:val="none"/>
        </w:rPr>
      </w:r>
    </w:p>
    <w:p w14:paraId="1D2DD8B1">
      <w:pPr>
        <w:pStyle w:val="1812"/>
        <w:pBdr/>
        <w:spacing/>
        <w:ind w:right="140"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C1B000F">
      <w:pPr>
        <w:pStyle w:val="1812"/>
        <w:pBdr/>
        <w:spacing/>
        <w:ind w:right="140"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78A184">
      <w:pPr>
        <w:pStyle w:val="1812"/>
        <w:pBdr/>
        <w:spacing/>
        <w:ind w:right="140"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614AF1E">
      <w:pPr>
        <w:pStyle w:val="1812"/>
        <w:pBdr/>
        <w:spacing/>
        <w:ind w:right="140"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66CAC0B">
      <w:pPr>
        <w:pStyle w:val="1812"/>
        <w:pBdr/>
        <w:spacing/>
        <w:ind w:right="140"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40D8437">
      <w:pPr>
        <w:pStyle w:val="1812"/>
        <w:pBdr/>
        <w:spacing/>
        <w:ind w:right="140"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BEDA82">
      <w:pPr>
        <w:pStyle w:val="1812"/>
        <w:pBdr/>
        <w:spacing/>
        <w:ind w:right="140"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4333A1">
      <w:pPr>
        <w:pStyle w:val="1812"/>
        <w:pBdr/>
        <w:spacing/>
        <w:ind w:right="140"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9DC609">
      <w:pPr>
        <w:pStyle w:val="1812"/>
        <w:pBdr/>
        <w:spacing/>
        <w:ind w:right="140"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471A0B3">
      <w:pPr>
        <w:pStyle w:val="1812"/>
        <w:pBdr/>
        <w:spacing/>
        <w:ind w:right="140"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72C2CFF">
      <w:pPr>
        <w:pStyle w:val="1812"/>
        <w:pBdr/>
        <w:spacing/>
        <w:ind w:right="140"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9F9AD1A">
      <w:pPr>
        <w:pStyle w:val="1812"/>
        <w:pBdr/>
        <w:spacing/>
        <w:ind w:right="140"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B683F09">
      <w:pPr>
        <w:pStyle w:val="1812"/>
        <w:pBdr/>
        <w:spacing/>
        <w:ind w:right="140" w:firstLine="0"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41F6DA0">
      <w:pPr>
        <w:pStyle w:val="1812"/>
        <w:pBdr/>
        <w:spacing/>
        <w:ind w:right="140"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D50E51D">
      <w:pPr>
        <w:pStyle w:val="1812"/>
        <w:pBdr/>
        <w:spacing/>
        <w:ind w:right="140"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0114A3">
      <w:pPr>
        <w:pStyle w:val="1812"/>
        <w:pBdr/>
        <w:spacing/>
        <w:ind w:right="140" w:firstLine="0"/>
        <w:jc w:val="center"/>
        <w:rPr>
          <w:sz w:val="28"/>
          <w:szCs w:val="28"/>
        </w:rPr>
        <w:sectPr>
          <w:headerReference w:type="default" r:id="rId12"/>
          <w:headerReference w:type="first" r:id="rId13"/>
          <w:footerReference w:type="default" r:id="rId23"/>
          <w:footerReference w:type="first" r:id="rId24"/>
          <w:footnotePr/>
          <w:endnotePr/>
          <w:type w:val="nextPage"/>
          <w:pgSz w:h="16838" w:orient="portrait" w:w="11906"/>
          <w:pgMar w:top="851" w:right="680" w:bottom="1315" w:left="1418" w:header="709" w:footer="709" w:gutter="0"/>
          <w:pgNumType w:start="2"/>
          <w:cols w:num="1" w:sep="0" w:space="1701" w:equalWidth="1"/>
          <w:titlePg/>
        </w:sectPr>
      </w:pPr>
      <w:r>
        <w:rPr>
          <w:sz w:val="28"/>
          <w:szCs w:val="40"/>
          <w:highlight w:val="none"/>
        </w:rPr>
      </w:r>
      <w:r>
        <w:rPr>
          <w:sz w:val="28"/>
          <w:szCs w:val="40"/>
          <w:highlight w:val="none"/>
        </w:rPr>
      </w:r>
      <w:r>
        <w:rPr>
          <w:sz w:val="28"/>
          <w:szCs w:val="28"/>
        </w:rPr>
      </w:r>
    </w:p>
    <w:p>
      <w:pPr>
        <w:pStyle w:val="1824"/>
        <w:keepNext w:val="true"/>
        <w:pBdr/>
        <w:spacing w:after="360" w:before="360" w:line="360" w:lineRule="auto"/>
        <w:ind w:right="140" w:firstLine="0" w:left="0"/>
        <w:contextualSpacing w:val="true"/>
        <w:jc w:val="center"/>
        <w:rPr/>
      </w:pPr>
      <w:r>
        <w:rPr>
          <w:b/>
          <w:i w:val="0"/>
          <w:sz w:val="24"/>
        </w:rPr>
        <w:t xml:space="preserve">СОДЕРЖАНИЕ</w:t>
      </w:r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1813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1803"/>
              <w:vanish w:val="0"/>
            </w:rPr>
            <w:instrText xml:space="preserve"> TOC \z \o "1-3" \u \h</w:instrText>
          </w:r>
          <w:r>
            <w:rPr>
              <w:rStyle w:val="1803"/>
              <w:vanish w:val="0"/>
            </w:rPr>
            <w:fldChar w:fldCharType="separate"/>
          </w:r>
          <w:r>
            <w:rPr>
              <w:rStyle w:val="1803"/>
              <w:vanish w:val="0"/>
            </w:rPr>
            <w:t xml:space="preserve">Аннотация</w:t>
          </w:r>
          <w:r>
            <w:tab/>
            <w:t xml:space="preserve">5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3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1. Общие сведения</w:t>
            <w:tab/>
            <w:t xml:space="preserve">6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1.1. Обозначение и наименование программы</w:t>
            <w:tab/>
            <w:t xml:space="preserve">6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1.2. Назначение</w:t>
            <w:tab/>
            <w:t xml:space="preserve">9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1.3. Программное обеспечение, необходимое для функционирования программы</w:t>
            <w:tab/>
            <w:t xml:space="preserve">10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1.3.1. Операционные системы</w:t>
            <w:tab/>
            <w:t xml:space="preserve">10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1.3.2. Основные библиотеки</w:t>
            <w:tab/>
            <w:t xml:space="preserve">10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1.3.3. Вспомогательные сервисы</w:t>
            <w:tab/>
            <w:t xml:space="preserve">11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1.4. Языки программирования, на которых написана программа</w:t>
            <w:tab/>
            <w:t xml:space="preserve">11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1.5. Среда функционирования</w:t>
            <w:tab/>
            <w:t xml:space="preserve">11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3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2. Функциональное назначение</w:t>
            <w:tab/>
            <w:t xml:space="preserve">12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2.1. Классы решаемых задач</w:t>
            <w:tab/>
            <w:t xml:space="preserve">12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2.2. Назначение программных компонентов</w:t>
            <w:tab/>
            <w:t xml:space="preserve">13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2.3. Область применения</w:t>
            <w:tab/>
            <w:t xml:space="preserve">16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2.4. Функциональные ограничения</w:t>
            <w:tab/>
            <w:t xml:space="preserve">17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3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 Описание логической структуры</w:t>
            <w:tab/>
            <w:t xml:space="preserve">18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3.1. Алгоритм программы</w:t>
            <w:tab/>
            <w:t xml:space="preserve">18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3.1.1. Инициализация и подготовка среды</w:t>
            <w:tab/>
            <w:t xml:space="preserve">20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3.1.2. Загрузка исходных данных</w:t>
            <w:tab/>
            <w:t xml:space="preserve">20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3.1.3. Формирование обучающих и тестовых выборок</w:t>
            <w:tab/>
            <w:t xml:space="preserve">21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3.1.4. Обучение моделей</w:t>
            <w:tab/>
            <w:t xml:space="preserve">22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3.1.5. Тестирование модели на датасете</w:t>
            <w:tab/>
            <w:t xml:space="preserve">23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3.1.6. Идентификация нагрузки (инференс)</w:t>
            <w:tab/>
            <w:t xml:space="preserve">24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3.1.7. Выгрузка и предоставление результатов</w:t>
            <w:tab/>
            <w:t xml:space="preserve">25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3.1.8. Обновление модели</w:t>
            <w:tab/>
            <w:t xml:space="preserve">25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3.1.9. Управление задачами</w:t>
            <w:tab/>
            <w:t xml:space="preserve">26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3.2. Используемые методы</w:t>
            <w:tab/>
            <w:t xml:space="preserve">27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3.2.1. REST API</w:t>
            <w:tab/>
            <w:t xml:space="preserve">27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3.2.2. Очередь задач</w:t>
            <w:tab/>
            <w:t xml:space="preserve">29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3.2.3. Хранилище данных</w:t>
            <w:tab/>
            <w:t xml:space="preserve">29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3.2.4. Загрузчик профиля</w:t>
            <w:tab/>
            <w:t xml:space="preserve">30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3.2.5. Формирование датасетов</w:t>
            <w:tab/>
            <w:t xml:space="preserve">31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3.2.6. Обучение моделей</w:t>
            <w:tab/>
            <w:t xml:space="preserve">31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3.2.7. Тестирование и инференс</w:t>
            <w:tab/>
            <w:t xml:space="preserve">32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3.2.8. Выгрузка результатов</w:t>
            <w:tab/>
            <w:t xml:space="preserve">32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3.2.9. Управление задачами / мониторинг</w:t>
            <w:tab/>
            <w:t xml:space="preserve">33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3.2.10. Интеграция с ceCloud</w:t>
            <w:tab/>
            <w:t xml:space="preserve">33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3.2.11. Администрирование</w:t>
            <w:tab/>
            <w:t xml:space="preserve">34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3.2.12. Управление версиями алгоритмов и моделей</w:t>
            <w:tab/>
            <w:t xml:space="preserve">34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3.3. Общая архитектура программного обеспечения</w:t>
            <w:tab/>
            <w:t xml:space="preserve">35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3.4. Логическая структура</w:t>
            <w:tab/>
            <w:t xml:space="preserve">37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3.5. Сценарии прохождения данных</w:t>
            <w:tab/>
            <w:t xml:space="preserve">39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3.5.1. Загрузка и предобработка данных</w:t>
            <w:tab/>
            <w:t xml:space="preserve">39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3.5.2. Формирование датасета</w:t>
            <w:tab/>
            <w:t xml:space="preserve">39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3.5.3. Обучение модели</w:t>
            <w:tab/>
            <w:t xml:space="preserve">40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3.5.4. Тестирование модели на датасете</w:t>
            <w:tab/>
            <w:t xml:space="preserve">41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3.5.5. Идентификация нагрузки (инференс)</w:t>
            <w:tab/>
            <w:t xml:space="preserve">42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3.5.6. Управление задачами</w:t>
            <w:tab/>
            <w:t xml:space="preserve">43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3.5.7. Выгрузка результатов</w:t>
            <w:tab/>
            <w:t xml:space="preserve">44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3.5.8. Обновление модели (дообучение)</w:t>
            <w:tab/>
            <w:t xml:space="preserve">45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4"/>
            <w:pBdr/>
            <w:tabs>
              <w:tab w:val="left" w:leader="none" w:pos="1400"/>
              <w:tab w:val="right" w:leader="dot" w:pos="978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3.5.9. Получение результатов классификации (ceCloud)</w:t>
            <w:tab/>
            <w:t xml:space="preserve">46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3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 Используемые технические средства</w:t>
            <w:tab/>
            <w:t xml:space="preserve">49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4.1. Аппаратные средства</w:t>
            <w:tab/>
            <w:t xml:space="preserve">49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4.2. Программные средства (системное ПО)</w:t>
            <w:tab/>
            <w:t xml:space="preserve">49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4.3. Программные средства (прикладное ПО)</w:t>
            <w:tab/>
            <w:t xml:space="preserve">50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4.4. Среда функционирования</w:t>
            <w:tab/>
            <w:t xml:space="preserve">51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4.5. Требования к персоналу</w:t>
            <w:tab/>
            <w:t xml:space="preserve">52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3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5. Вызов и загрузка</w:t>
            <w:tab/>
            <w:t xml:space="preserve">54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5.1. Общая схема взаимодействия</w:t>
            <w:tab/>
            <w:t xml:space="preserve">54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5.2. Вызов функций через REST API</w:t>
            <w:tab/>
            <w:t xml:space="preserve">55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5.3. Загрузка входных данных</w:t>
            <w:tab/>
            <w:t xml:space="preserve">56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5.4. Восстановление после отказа</w:t>
            <w:tab/>
            <w:t xml:space="preserve">56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3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6. Входные данные</w:t>
            <w:tab/>
            <w:t xml:space="preserve">57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6.1. Формат CSV с измерениями</w:t>
            <w:tab/>
            <w:t xml:space="preserve">57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6.2. Формат CSV с разметкой</w:t>
            <w:tab/>
            <w:t xml:space="preserve">58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6.3. Массивы мгновенных значений и профили сигналов</w:t>
            <w:tab/>
            <w:t xml:space="preserve">59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6.4. Метаданные измерений</w:t>
            <w:tab/>
            <w:t xml:space="preserve">59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6.5. Размеченные данные</w:t>
            <w:tab/>
            <w:t xml:space="preserve">59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6.6. Файлы CSV</w:t>
            <w:tab/>
            <w:t xml:space="preserve">60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6.7. Данные от устройств через ИСУЭ ceCloud</w:t>
            <w:tab/>
            <w:t xml:space="preserve">60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6.8. Служебные данные для работы комплекса</w:t>
            <w:tab/>
            <w:t xml:space="preserve">61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6.9. Источники поступления входных данных</w:t>
            <w:tab/>
            <w:t xml:space="preserve">61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3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7. Выходные данные</w:t>
            <w:tab/>
            <w:t xml:space="preserve">63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7.1. Результаты работы сценариев</w:t>
            <w:tab/>
            <w:t xml:space="preserve">63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7.2. ML-вывод (инференс)</w:t>
            <w:tab/>
            <w:t xml:space="preserve">63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7.3. ML-модели</w:t>
            <w:tab/>
            <w:t xml:space="preserve">64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7.4. Метаданные</w:t>
            <w:tab/>
            <w:t xml:space="preserve">64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5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7.5. Характеристики времён выполнения</w:t>
            <w:tab/>
            <w:t xml:space="preserve">64</w:t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813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ПЕРЕЧЕНЬ ПРИНЯТЫХ СОКРАЩЕНИЙ И УСЛОВНЫХ ОБОЗНАЧЕНИЙ</w:t>
            <w:tab/>
            <w:t xml:space="preserve">66</w:t>
          </w:r>
          <w:r>
            <w:fldChar w:fldCharType="end"/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Aptos" w:hAnsi="Aptos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</w:sdtContent>
    </w:sdt>
    <w:p>
      <w:pPr>
        <w:pStyle w:val="1745"/>
        <w:pBdr/>
        <w:tabs>
          <w:tab w:val="clear" w:leader="none" w:pos="284"/>
          <w:tab w:val="left" w:leader="none" w:pos="9923"/>
          <w:tab w:val="right" w:leader="dot" w:pos="10198"/>
        </w:tabs>
        <w:spacing/>
        <w:ind w:right="140" w:firstLine="720"/>
        <w:rPr>
          <w:color w:val="000000"/>
          <w:szCs w:val="22"/>
          <w:lang w:val="en-US"/>
        </w:rPr>
      </w:pPr>
      <w:r>
        <w:rPr>
          <w:color w:val="000000"/>
          <w:szCs w:val="22"/>
          <w:lang w:val="en-US"/>
        </w:rPr>
      </w:r>
      <w:r>
        <w:rPr>
          <w:color w:val="000000"/>
          <w:szCs w:val="22"/>
          <w:lang w:val="en-US"/>
        </w:rPr>
      </w:r>
      <w:r>
        <w:rPr>
          <w:color w:val="000000"/>
          <w:szCs w:val="22"/>
          <w:lang w:val="en-US"/>
        </w:rPr>
      </w:r>
    </w:p>
    <w:p>
      <w:pPr>
        <w:pStyle w:val="1745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745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745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745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745"/>
        <w:pBdr/>
        <w:tabs>
          <w:tab w:val="clear" w:leader="none" w:pos="284"/>
          <w:tab w:val="left" w:leader="none" w:pos="9923"/>
          <w:tab w:val="right" w:leader="dot" w:pos="10198"/>
        </w:tabs>
        <w:spacing/>
        <w:ind w:right="140" w:firstLine="720"/>
        <w:rPr>
          <w:color w:val="000000"/>
          <w:szCs w:val="22"/>
          <w:lang w:val="en-US"/>
        </w:rPr>
      </w:pPr>
      <w:r>
        <w:rPr>
          <w:color w:val="000000"/>
          <w:szCs w:val="22"/>
          <w:lang w:val="en-US"/>
        </w:rPr>
      </w:r>
      <w:r>
        <w:rPr>
          <w:color w:val="000000"/>
          <w:szCs w:val="22"/>
          <w:lang w:val="en-US"/>
        </w:rPr>
      </w:r>
      <w:r>
        <w:rPr>
          <w:color w:val="000000"/>
          <w:szCs w:val="22"/>
          <w:lang w:val="en-US"/>
        </w:rPr>
      </w:r>
    </w:p>
    <w:p>
      <w:pPr>
        <w:pStyle w:val="1745"/>
        <w:pBdr/>
        <w:tabs>
          <w:tab w:val="clear" w:leader="none" w:pos="284"/>
          <w:tab w:val="left" w:leader="none" w:pos="3480"/>
        </w:tabs>
        <w:spacing/>
        <w:ind w:right="140" w:firstLine="720"/>
        <w:rPr>
          <w:lang w:val="en-US"/>
        </w:rPr>
        <w:sectPr>
          <w:headerReference w:type="default" r:id="rId14"/>
          <w:headerReference w:type="first" r:id="rId15"/>
          <w:footerReference w:type="default" r:id="rId25"/>
          <w:footerReference w:type="first" r:id="rId26"/>
          <w:footnotePr/>
          <w:endnotePr/>
          <w:type w:val="nextPage"/>
          <w:pgSz w:h="16838" w:orient="portrait" w:w="11906"/>
          <w:pgMar w:top="1134" w:right="567" w:bottom="1134" w:left="1134" w:header="709" w:footer="709" w:gutter="0"/>
          <w:pgNumType w:start="2"/>
          <w:cols w:num="1" w:sep="0" w:space="1701" w:equalWidth="1"/>
        </w:sectPr>
      </w:pPr>
      <w:r>
        <w:rPr>
          <w:color w:val="000000"/>
          <w:szCs w:val="22"/>
          <w:lang w:val="en-US"/>
        </w:rPr>
        <w:tab/>
      </w:r>
      <w:r>
        <w:rPr>
          <w:lang w:val="en-US"/>
        </w:rPr>
      </w:r>
      <w:r>
        <w:rPr>
          <w:lang w:val="en-US"/>
        </w:rPr>
      </w:r>
    </w:p>
    <w:p>
      <w:pPr>
        <w:pStyle w:val="1840"/>
        <w:keepNext w:val="true"/>
        <w:numPr>
          <w:ilvl w:val="0"/>
          <w:numId w:val="0"/>
        </w:numPr>
        <w:pBdr/>
        <w:spacing w:after="360" w:before="360" w:line="360" w:lineRule="auto"/>
        <w:ind w:right="140" w:firstLine="0" w:left="0"/>
        <w:jc w:val="center"/>
        <w:rPr/>
      </w:pPr>
      <w:r/>
      <w:bookmarkStart w:id="9" w:name="scroll-bookmark-3"/>
      <w:r/>
      <w:bookmarkStart w:id="10" w:name="_Toc233625981"/>
      <w:r/>
      <w:bookmarkStart w:id="11" w:name="scroll-bookmark-2"/>
      <w:r/>
      <w:bookmarkEnd w:id="11"/>
      <w:r>
        <w:rPr>
          <w:b/>
          <w:i w:val="0"/>
          <w:sz w:val="24"/>
        </w:rPr>
        <w:t xml:space="preserve">АННОТАЦИЯ</w:t>
      </w:r>
      <w:bookmarkEnd w:id="9"/>
      <w:r/>
      <w:bookmarkEnd w:id="10"/>
      <w:r/>
      <w:r/>
    </w:p>
    <w:p>
      <w:pPr>
        <w:pStyle w:val="1745"/>
        <w:pBdr/>
        <w:spacing w:after="0" w:before="0" w:line="360" w:lineRule="auto"/>
        <w:ind w:right="140" w:firstLine="720"/>
        <w:contextualSpacing w:val="true"/>
        <w:jc w:val="both"/>
        <w:rPr/>
      </w:pPr>
      <w:r>
        <w:rPr>
          <w:sz w:val="24"/>
        </w:rPr>
        <w:t xml:space="preserve">Настоящий документ является описанием программного комплекса определения типа подключённой нагрузки потребителя в сетях низкого напряжения 0,4 кВ (далее – ПК ОТН, шифр темы ЭНР-1</w:t>
      </w:r>
      <w:r>
        <w:rPr>
          <w:sz w:val="24"/>
        </w:rPr>
        <w:t xml:space="preserve">40), разработанного в рамках Рабочего проекта №2 (РП2). Документ разработан в соответствии с ГОСТ 19.402-78 «ЕСПД. Описание программы» и частным техническим заданием RU.02068516.62.01.29-140 90 (далее – ЧТЗ), утверждённым АО «Энергомера» 15 декабря 2024 г.</w:t>
      </w:r>
      <w:r/>
    </w:p>
    <w:p>
      <w:pPr>
        <w:pStyle w:val="1745"/>
        <w:pBdr/>
        <w:spacing w:after="0" w:before="0" w:line="360" w:lineRule="auto"/>
        <w:ind w:right="140" w:firstLine="720"/>
        <w:contextualSpacing w:val="true"/>
        <w:jc w:val="both"/>
        <w:rPr/>
      </w:pPr>
      <w:r>
        <w:rPr>
          <w:sz w:val="24"/>
        </w:rPr>
        <w:t xml:space="preserve">ПК ОТН предназначен для определения типа электрической нагрузки потребителей в распределительных электрических сетях низкого напряжения 0,4 кВ на основе анализа массивов мгновенных значений тока и напряжения с применением методов машинного обучения.</w:t>
      </w:r>
      <w:r/>
    </w:p>
    <w:p>
      <w:pPr>
        <w:pStyle w:val="1745"/>
        <w:pBdr/>
        <w:spacing w:after="0" w:before="0" w:line="360" w:lineRule="auto"/>
        <w:ind w:right="140" w:firstLine="720"/>
        <w:contextualSpacing w:val="true"/>
        <w:jc w:val="both"/>
        <w:rPr/>
      </w:pPr>
      <w:r>
        <w:rPr>
          <w:sz w:val="24"/>
        </w:rPr>
        <w:t xml:space="preserve">Документ описывает полный состав ПК ОТН, включающего программный комплекс «Аналитика профилей гармонических составляющих» (ПК АПГС, разработан в рамках РП1) и программные компоненты «Интегра</w:t>
      </w:r>
      <w:r>
        <w:rPr>
          <w:sz w:val="24"/>
        </w:rPr>
        <w:t xml:space="preserve">ция», «Администрирование», «Управление» (разрабатываются в рамках РП2). Каждый программный компонент ПК ОТН реализован как самостоятельный пайплайн обработки данных с собственными входными и выходными данными, точкой запуска и составом исполняющих модулей.</w:t>
      </w:r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</w:pPr>
      <w:r/>
      <w:r/>
    </w:p>
    <w:p>
      <w:pPr>
        <w:pStyle w:val="1745"/>
        <w:pBdr/>
        <w:spacing/>
        <w:ind w:right="140" w:firstLine="0"/>
        <w:rPr/>
        <w:sectPr>
          <w:headerReference w:type="default" r:id="rId16"/>
          <w:headerReference w:type="first" r:id="rId17"/>
          <w:footerReference w:type="default" r:id="rId27"/>
          <w:footerReference w:type="first" r:id="rId28"/>
          <w:footnotePr/>
          <w:endnotePr/>
          <w:type w:val="nextPage"/>
          <w:pgSz w:h="16838" w:orient="portrait" w:w="11906"/>
          <w:pgMar w:top="1134" w:right="567" w:bottom="1134" w:left="1134" w:header="709" w:footer="709" w:gutter="0"/>
          <w:pgNumType w:start="5"/>
          <w:cols w:num="1" w:sep="0" w:space="1701" w:equalWidth="1"/>
        </w:sectPr>
      </w:pPr>
      <w:r>
        <w:br w:type="page" w:clear="all"/>
      </w:r>
      <w:r/>
    </w:p>
    <w:p>
      <w:pPr>
        <w:pStyle w:val="1746"/>
        <w:keepNext w:val="true"/>
        <w:keepLines w:val="false"/>
        <w:numPr>
          <w:ilvl w:val="0"/>
          <w:numId w:val="0"/>
        </w:numPr>
        <w:pBdr/>
        <w:spacing w:after="360" w:before="0" w:line="360" w:lineRule="auto"/>
        <w:ind w:right="140" w:firstLine="0" w:left="0"/>
        <w:contextualSpacing w:val="false"/>
        <w:jc w:val="center"/>
        <w:rPr>
          <w:rFonts w:cs="Times New Roman"/>
          <w:iCs w:val="0"/>
          <w:color w:val="auto"/>
        </w:rPr>
      </w:pPr>
      <w:r/>
      <w:bookmarkStart w:id="12" w:name="_Toc232598792"/>
      <w:r/>
      <w:bookmarkStart w:id="13" w:name="_Toc233625982"/>
      <w:r/>
      <w:bookmarkStart w:id="14" w:name="_Hlk233111372"/>
      <w:r/>
      <w:bookmarkEnd w:id="14"/>
      <w:r>
        <w:rPr>
          <w:rFonts w:cs="Times New Roman"/>
          <w:b/>
          <w:i w:val="0"/>
          <w:iCs w:val="0"/>
          <w:color w:val="auto"/>
          <w:sz w:val="24"/>
        </w:rPr>
        <w:t xml:space="preserve">1. ОБЩИЕ СВЕДЕНИЯ</w:t>
      </w:r>
      <w:bookmarkEnd w:id="12"/>
      <w:r/>
      <w:bookmarkEnd w:id="13"/>
      <w:r>
        <w:rPr>
          <w:rFonts w:cs="Times New Roman"/>
          <w:iCs w:val="0"/>
          <w:color w:val="auto"/>
        </w:rPr>
      </w:r>
      <w:r>
        <w:rPr>
          <w:rFonts w:cs="Times New Roman"/>
          <w:iCs w:val="0"/>
          <w:color w:val="auto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5" w:name="_Toc233625983"/>
      <w:r/>
      <w:bookmarkStart w:id="16" w:name="_Toc232598793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1.1. Обозначение и наименование программы</w:t>
      </w:r>
      <w:bookmarkEnd w:id="15"/>
      <w:r/>
      <w:bookmarkEnd w:id="16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720" w:left="0"/>
        <w:contextualSpacing w:val="false"/>
        <w:jc w:val="both"/>
        <w:rPr>
          <w:rFonts w:cs="Times New Roman"/>
          <w:bCs w:val="0"/>
          <w:iCs w:val="0"/>
        </w:rPr>
      </w:pPr>
      <w:r/>
      <w:bookmarkStart w:id="17" w:name="_Hlk233111182"/>
      <w:r/>
      <w:bookmarkEnd w:id="17"/>
      <w:r>
        <w:rPr>
          <w:rFonts w:cs="Times New Roman"/>
          <w:iCs w:val="0"/>
          <w:sz w:val="24"/>
        </w:rPr>
        <w:t xml:space="preserve">Программный комплекс определения типа подключённой нагрузки потребителя в сетях низкого напряжения 0,4 кВ.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720" w:left="0"/>
        <w:contextualSpacing w:val="false"/>
        <w:jc w:val="both"/>
        <w:rPr/>
      </w:pPr>
      <w:r/>
      <w:bookmarkStart w:id="18" w:name="_Hlk233111182_Copy_1"/>
      <w:r/>
      <w:bookmarkEnd w:id="18"/>
      <w:r>
        <w:rPr>
          <w:rFonts w:cs="Times New Roman"/>
          <w:iCs w:val="0"/>
          <w:sz w:val="24"/>
        </w:rPr>
        <w:t xml:space="preserve">Шифр темы: ЭНР-140.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720" w:left="0"/>
        <w:contextualSpacing w:val="false"/>
        <w:jc w:val="both"/>
        <w:rPr/>
      </w:pPr>
      <w:r/>
      <w:bookmarkStart w:id="19" w:name="_Hlk233111182_Copy_1"/>
      <w:r/>
      <w:bookmarkEnd w:id="19"/>
      <w:r>
        <w:rPr>
          <w:rFonts w:cs="Times New Roman"/>
          <w:iCs w:val="0"/>
          <w:sz w:val="24"/>
        </w:rPr>
        <w:t xml:space="preserve">В состав ПК ОТН входят программные ко</w:t>
      </w:r>
      <w:r>
        <w:rPr>
          <w:rFonts w:cs="Times New Roman"/>
          <w:iCs w:val="0"/>
          <w:sz w:val="24"/>
        </w:rPr>
        <w:t xml:space="preserve">мпоненты, приведённые в таблице 1. Каждый компонент реализован как пайплайн: компонент получает данные от смежных компонентов или из внешних систем, выполняет над ними законченную последовательность преобразований и возвращает результат в хранилище ПК ОТН.</w:t>
      </w:r>
      <w:r/>
    </w:p>
    <w:p>
      <w:pPr>
        <w:pStyle w:val="1745"/>
        <w:widowControl w:val="true"/>
        <w:pBdr/>
        <w:bidi w:val="false"/>
        <w:spacing w:after="120" w:before="120" w:line="360" w:lineRule="auto"/>
        <w:ind w:right="180" w:firstLine="720" w:left="0"/>
        <w:contextualSpacing w:val="false"/>
        <w:jc w:val="both"/>
        <w:rPr/>
      </w:pPr>
      <w:r/>
      <w:bookmarkStart w:id="20" w:name="_Hlk233111182_Copy_1_Copy_1"/>
      <w:r/>
      <w:bookmarkEnd w:id="20"/>
      <w:r>
        <w:rPr>
          <w:rFonts w:cs="Times New Roman"/>
          <w:b/>
          <w:iCs w:val="0"/>
          <w:sz w:val="24"/>
        </w:rPr>
        <w:t xml:space="preserve">Таблица 1. </w:t>
      </w:r>
      <w:r>
        <w:rPr>
          <w:rFonts w:cs="Times New Roman"/>
          <w:b w:val="0"/>
          <w:iCs w:val="0"/>
          <w:sz w:val="24"/>
        </w:rPr>
        <w:t xml:space="preserve">Состав программных компонентов ПК ОТН и их пайплайнов</w:t>
      </w:r>
      <w:r/>
    </w:p>
    <w:tbl>
      <w:tblPr>
        <w:tblInd w:w="0" w:type="dxa"/>
        <w:tblW w:w="9497" w:type="dxa"/>
        <w:tblCellMar>
          <w:left w:w="100" w:type="dxa"/>
          <w:top w:w="60" w:type="dxa"/>
          <w:right w:w="10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19"/>
        <w:gridCol w:w="4275"/>
        <w:gridCol w:w="4503"/>
      </w:tblGrid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71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№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27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Наименование программного компонента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503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Пайплайн (вход → результат)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71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1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27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Программный комплекс «Аналитика профилей гармонических составляющих»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503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Совокупность компонентов по пп. 1.1–1.5 (сервер приложений, репозиторий backend)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71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1.1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27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Программный компонент «Загрузчик профиля»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503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Файлы RAW и LOADS → датасет с декодированными массивами мгновенных значений и разметкой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71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1.2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27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Программный компонент «Хранилище»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503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Файловые артефакты и данные → объектное хранилище и PostgreSQL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71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1.3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27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Программный компонент «Идентификация»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503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Обученная модель и данные → результаты идентификации; размеченный датасет → метрики качества классификации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71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1.4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27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Программный компонент «Обучение»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503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Датасет и конфигурация модели → обученная модель H5 и метаданные модели; популяция конфигураций → результаты подбора гиперпараметров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71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1.5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27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Программный компонент «Выгрузка»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503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Запрос на артефакт → файл модели (H5, ONNX), отчёт, метаданные, результаты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71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2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27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Программный компонент «Интеграция»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503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Запрос внешней системы → ответ внутренних сервисов (проверка прав, передача запроса, единый формат ответа)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71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3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27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Программный компонент «Администрирование»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503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Учётные данные → токены доступа; пользователь, метод и путь → решение о доступе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71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4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27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Программный компонент «Управление»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503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Операции с моделями → конфигурация модели и версия {архитектура}.{hex8} в метаданных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745"/>
        <w:widowControl w:val="true"/>
        <w:pBdr/>
        <w:bidi w:val="false"/>
        <w:spacing w:after="120" w:before="36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Программные компоненты ПК АПГС («Загрузчик профиля», «Хранилище», «Идентификация», «Обучение», «Выгрузка», строки 1.1–1.5 таблицы 1) разработаны на этапе РП1. Состав доработок этапа РП2 относительно РП1:</w:t>
      </w:r>
      <w:r/>
    </w:p>
    <w:p>
      <w:pPr>
        <w:pStyle w:val="1745"/>
        <w:widowControl w:val="true"/>
        <w:pBdr/>
        <w:bidi w:val="false"/>
        <w:spacing w:after="120" w:before="36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разработаны программные компоненты «Интеграция» (строка 2 та</w:t>
      </w:r>
      <w:r>
        <w:rPr>
          <w:rFonts w:cs="Times New Roman"/>
          <w:iCs w:val="0"/>
          <w:sz w:val="24"/>
        </w:rPr>
        <w:t xml:space="preserve">блицы 1), «Администрирование» (строка 3) и «Управление» (строка 4), не входившие в состав ПК АПГС; компоненты реализованы отдельным сервисом-шлюзом (репозиторий middleware), исполняющие модули – src/gateway/middleware, src/gateway/auth и src/gateway/admin;</w:t>
      </w:r>
      <w:r/>
    </w:p>
    <w:p>
      <w:pPr>
        <w:pStyle w:val="1745"/>
        <w:widowControl w:val="true"/>
        <w:pBdr/>
        <w:bidi w:val="false"/>
        <w:spacing w:after="120" w:before="36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к</w:t>
      </w:r>
      <w:r>
        <w:rPr>
          <w:rFonts w:cs="Times New Roman"/>
          <w:iCs w:val="0"/>
          <w:sz w:val="24"/>
        </w:rPr>
        <w:t xml:space="preserve">омпонент «Интеграция» обеспечивает обмен данными с внешними системами (ПО «ceCloud» Индустриального партнёра): приём запросов, проверку прав по роли, передачу запроса в сервер приложений без авторизационных заголовков и приведение ответа к единому формату;</w:t>
      </w:r>
      <w:r/>
    </w:p>
    <w:p>
      <w:pPr>
        <w:pStyle w:val="1745"/>
        <w:widowControl w:val="true"/>
        <w:pBdr/>
        <w:bidi w:val="false"/>
        <w:spacing w:after="120" w:before="36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к</w:t>
      </w:r>
      <w:r>
        <w:rPr>
          <w:rFonts w:cs="Times New Roman"/>
          <w:iCs w:val="0"/>
          <w:sz w:val="24"/>
        </w:rPr>
        <w:t xml:space="preserve">омпонент «Администрирование» обеспечивает аутентификацию пользователей и внешних систем, выдачу, обновление, проверку и отзыв токенов доступа, ведение учётных записей и ролей (Администратор, Менеджер, Абонент) и проверку права роли на метод и путь запроса;</w:t>
      </w:r>
      <w:r/>
    </w:p>
    <w:p>
      <w:pPr>
        <w:pStyle w:val="1745"/>
        <w:widowControl w:val="true"/>
        <w:pBdr/>
        <w:bidi w:val="false"/>
        <w:spacing w:after="120" w:before="36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компонент «Управление» обеспечивает конфигурирование и версионирование ML-моделей и алгоритмов определения нагрузки: создание модели с заданн</w:t>
      </w:r>
      <w:r>
        <w:rPr>
          <w:rFonts w:cs="Times New Roman"/>
          <w:iCs w:val="0"/>
          <w:sz w:val="24"/>
        </w:rPr>
        <w:t xml:space="preserve">ой конфигурацией (состав и параметры слоёв, тип фазы, число выходов, привязка выходов к устройствам), загрузку готовой модели с метаданными, обучение и переобучение модели, автоматический подбор гиперпараметров, присвоение версии вида {архитектура}.{hex8};</w:t>
      </w:r>
      <w:r/>
    </w:p>
    <w:p>
      <w:pPr>
        <w:pStyle w:val="1745"/>
        <w:widowControl w:val="true"/>
        <w:pBdr/>
        <w:bidi w:val="false"/>
        <w:spacing w:after="120" w:before="36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доступ к функциональности комплекса предоставляется только через единую точку входа (сервис-шлюз) с проверкой прав по ролям; прямой доступ внешних систем к серверу приложений не предусмотрен;</w:t>
      </w:r>
      <w:r/>
    </w:p>
    <w:p>
      <w:pPr>
        <w:pStyle w:val="1745"/>
        <w:widowControl w:val="true"/>
        <w:pBdr/>
        <w:bidi w:val="false"/>
        <w:spacing w:after="120" w:before="36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пайплайн компонента «Загрузчик профиля» ра</w:t>
      </w:r>
      <w:r>
        <w:rPr>
          <w:rFonts w:cs="Times New Roman"/>
          <w:iCs w:val="0"/>
          <w:sz w:val="24"/>
        </w:rPr>
        <w:t xml:space="preserve">сширен: помимо приёма файлов данных (RAW) и разметки (LOADS) через REST API компонент выполняет формирование датасета – разбор CSV-файлов, декодирование массивов мгновенных значений, запись данных и разметки в базу данных и заполнение справочника нагрузок;</w:t>
      </w:r>
      <w:r/>
    </w:p>
    <w:p>
      <w:pPr>
        <w:pStyle w:val="1745"/>
        <w:widowControl w:val="true"/>
        <w:pBdr/>
        <w:bidi w:val="false"/>
        <w:spacing w:after="120" w:before="36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пайплайн компонента «Идентификация» расширен: реализованы оба режима, предусмотренные ЧТЗ, – тестирование обученной модели на размеченном датас</w:t>
      </w:r>
      <w:r>
        <w:rPr>
          <w:rFonts w:cs="Times New Roman"/>
          <w:iCs w:val="0"/>
          <w:sz w:val="24"/>
        </w:rPr>
        <w:t xml:space="preserve">ете с расчётом метрик качества классификации (режим «Идентификация.Обучение») и идентификация нагрузки методом инференса по данным с неизвестным типом нагрузки (режим «Идентификация.Эксплуатация»), включая синхронный инференс по одному фрагменту измерений;</w:t>
      </w:r>
      <w:r/>
    </w:p>
    <w:p>
      <w:pPr>
        <w:pStyle w:val="1745"/>
        <w:widowControl w:val="true"/>
        <w:pBdr/>
        <w:bidi w:val="false"/>
        <w:spacing w:after="120" w:before="36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основной формат хранения ML-моделей – H5, экспорт наружу выполняется в форматах H5 и ONNX.</w:t>
      </w:r>
      <w:r/>
    </w:p>
    <w:p>
      <w:pPr>
        <w:pStyle w:val="1745"/>
        <w:pBdr/>
        <w:spacing w:after="120" w:before="360" w:line="360" w:lineRule="auto"/>
        <w:ind w:right="140" w:firstLine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На рисунке 1 показаны границы проектирования и функции компонентов ПК ОТН.</w:t>
      </w:r>
      <w:r/>
    </w:p>
    <w:p>
      <w:pPr>
        <w:pStyle w:val="1745"/>
        <w:pBdr/>
        <w:spacing w:after="120" w:before="0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60" w:line="360" w:lineRule="auto"/>
        <w:ind w:right="140" w:firstLine="0"/>
        <w:contextualSpacing w:val="false"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4575" cy="3409950"/>
                <wp:effectExtent l="0" t="0" r="0" b="0"/>
                <wp:docPr id="4" name="_x0000_i4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32">
                          <a:extLst>
                            <a:ext uri="{96DAC541-7B7A-43D3-8B79-37D633B846F1}">
                              <asvg:svgBlip xmlns:asvg="http://schemas.microsoft.com/office/drawing/2016/SVG/main" r:embed="rId3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6124575" cy="34099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82.25pt;height:268.5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cs="Times New Roman"/>
          <w:i/>
          <w:sz w:val="24"/>
        </w:rPr>
        <w:t xml:space="preserve">Рисунок 1 – Границы проектирования и функции компонентов</w:t>
      </w:r>
      <w:r/>
    </w:p>
    <w:p>
      <w:pPr>
        <w:pStyle w:val="1745"/>
        <w:pBdr/>
        <w:spacing w:after="120" w:before="0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/>
      </w:pPr>
      <w:r/>
      <w:bookmarkStart w:id="21" w:name="_Toc233625984"/>
      <w:r/>
      <w:bookmarkStart w:id="22" w:name="_Toc232598794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1.2. Назначение</w:t>
      </w:r>
      <w:bookmarkEnd w:id="21"/>
      <w:r/>
      <w:bookmarkEnd w:id="22"/>
      <w:r/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ПК ОТН представляет собой комплекс серверных программных компонентов, объединённых единой точкой входа (сервис-шлюз) и интегрируемых с программным обеспечением «ceCloud» Индустриального партнёра.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Комплекс обеспечивает приём и валидацию файлов с массивами мгновенных значений тока и напряжения, формирование датасетов из загруженных файлов и файлов разметки, обучение ML-моделей и подбор их гипер</w:t>
      </w:r>
      <w:r>
        <w:rPr>
          <w:rFonts w:cs="Times New Roman"/>
          <w:iCs w:val="0"/>
          <w:sz w:val="24"/>
        </w:rPr>
        <w:t xml:space="preserve">параметров, тестирование моделей на датасете с расчётом метрик качества классификации, идентификацию типа подключённой нагрузки методом инференса, выгрузку моделей и отчётов, а также разграничение доступа пользователей и внешних систем к методам комплекса.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Требования ЧТЗ к режимам работы программного обеспечения («Идентификация.Обучение» и «Идентификация.Эксплуа</w:t>
      </w:r>
      <w:r>
        <w:rPr>
          <w:rFonts w:cs="Times New Roman"/>
          <w:iCs w:val="0"/>
          <w:sz w:val="24"/>
        </w:rPr>
        <w:t xml:space="preserve">тация») реализованы двумя самостоятельными пайплайнами компонента «Идентификация»: первый выполняет тестирование обученной модели на размеченном датасете с расчётом метрик достоверности, второй выполняет инференс по данным, тип нагрузки которых неизвестен.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В соответствии с Приложением №2, таблица 1 к ЧТЗ, ML-модели к</w:t>
      </w:r>
      <w:r>
        <w:rPr>
          <w:rFonts w:cs="Times New Roman"/>
          <w:iCs w:val="0"/>
          <w:sz w:val="24"/>
        </w:rPr>
        <w:t xml:space="preserve">омплекса обеспечивают классификацию следующих типов электрической нагрузки: майнинговая ферма; электроотопительный прибор (электрический котёл); устройство малой генерации (солнечные батареи, ветрогенераторы и т.п.); прочие виды нагрузок (резервный класс).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Состав классифицируемых типов нагрузки не фиксирован в программном обеспечении: он определяется разметкой датасета, на котором обучается модель. Класс нагрузки з</w:t>
      </w:r>
      <w:r>
        <w:rPr>
          <w:rFonts w:cs="Times New Roman"/>
          <w:iCs w:val="0"/>
          <w:sz w:val="24"/>
        </w:rPr>
        <w:t xml:space="preserve">адаётся при разметке данных полем category и регистрируется в справочнике нагрузок load_devices, поэтому перечень классов может быть расширен за пределы Приложения №2, таблица 1 к ЧТЗ без доработки программного обеспечения — при наличии размеченных данных.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Число выходов модели и их назначение задаются при создании модели: параметр output_size задаёт количество выходов, параметр signals — перечень устройств учёта, закреплённых за каждым выходом, пар</w:t>
      </w:r>
      <w:r>
        <w:rPr>
          <w:rFonts w:cs="Times New Roman"/>
          <w:iCs w:val="0"/>
          <w:sz w:val="24"/>
        </w:rPr>
        <w:t xml:space="preserve">аметр signal_aliases — имена выходов. Число выходов выбирается по составу классов, представленных в разметке обучающего датасета; фиксированного соответствия между классами Приложения №2, таблица 1 к ЧТЗ и номерами выходов модели комплекс не устанавливает.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Комплекс обеспечивает решение задач, перечисленных в п. 4.1.2.1.6 ЧТЗ: определение типа подключённой нагрузки и выявление характерных параметров электросети для оборудования из со</w:t>
      </w:r>
      <w:r>
        <w:rPr>
          <w:rFonts w:cs="Times New Roman"/>
          <w:iCs w:val="0"/>
          <w:sz w:val="24"/>
        </w:rPr>
        <w:t xml:space="preserve">гласованного Перечня (Приложение №2, таблица 1 к ЧТЗ). По каждому результату идентификации комплекс сообщает класс нагрузки, номер выхода модели, которому соответствует результат, перечень устройств учёта этого выхода и значение достоверности (confidence).</w:t>
      </w:r>
      <w:r/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/>
      </w:pPr>
      <w:r/>
      <w:bookmarkStart w:id="23" w:name="_Toc232598795"/>
      <w:r/>
      <w:bookmarkStart w:id="24" w:name="_Toc233625985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1.3. Программное обеспечение, необходимое для функционирования программы</w:t>
      </w:r>
      <w:bookmarkEnd w:id="23"/>
      <w:r/>
      <w:bookmarkEnd w:id="24"/>
      <w:r/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Функционирование ПК ОТН обеспечива</w:t>
      </w:r>
      <w:r>
        <w:rPr>
          <w:rFonts w:cs="Times New Roman"/>
          <w:iCs w:val="0"/>
          <w:sz w:val="24"/>
        </w:rPr>
        <w:t xml:space="preserve">ется операционной системой, программными библиотеками и вспомогательными сервисами, перечисленными в подпунктах 1.3.1–1.3.3. Развёртывание всех компонентов выполняется средствами контейнеризации (Docker, Docker Compose); состав контейнеров описан в п. 4.4.</w:t>
      </w:r>
      <w:r/>
    </w:p>
    <w:p>
      <w:pPr>
        <w:pStyle w:val="1748"/>
        <w:keepNext w:val="true"/>
        <w:keepLines w:val="false"/>
        <w:widowControl w:val="true"/>
        <w:numPr>
          <w:ilvl w:val="0"/>
          <w:numId w:val="0"/>
        </w:numPr>
        <w:pBdr/>
        <w:bidi w:val="false"/>
        <w:spacing w:after="240" w:before="240" w:line="360" w:lineRule="auto"/>
        <w:ind w:right="180" w:firstLine="709" w:left="0"/>
        <w:contextualSpacing w:val="false"/>
        <w:jc w:val="left"/>
        <w:rPr/>
      </w:pPr>
      <w:r/>
      <w:bookmarkStart w:id="25" w:name="_Toc232598796"/>
      <w:r/>
      <w:bookmarkStart w:id="26" w:name="_Toc233625986"/>
      <w:r>
        <w:rPr>
          <w:rFonts w:cs="Times New Roman"/>
          <w:b/>
          <w:i w:val="0"/>
          <w:color w:val="auto"/>
          <w:sz w:val="24"/>
          <w:szCs w:val="24"/>
        </w:rPr>
        <w:t xml:space="preserve">1.3.1. Операционные системы</w:t>
      </w:r>
      <w:bookmarkEnd w:id="25"/>
      <w:r/>
      <w:bookmarkEnd w:id="26"/>
      <w:r/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Серверная часть ПК ОТН работает под управлением ОС Linux; минималь</w:t>
      </w:r>
      <w:r>
        <w:rPr>
          <w:rFonts w:cs="Times New Roman"/>
          <w:iCs w:val="0"/>
          <w:sz w:val="24"/>
        </w:rPr>
        <w:t xml:space="preserve">ная поддерживаемая версия – Debian 10 или Astra Linux LTS. Компоненты комплекса поставляются в виде контейнерных образов, поэтому комплекс функционирует под управлением любой ОС, в которой развёрнута среда контейнеризации (Docker Engine 20.10 и выше); марк</w:t>
      </w:r>
      <w:r>
        <w:rPr>
          <w:rFonts w:cs="Times New Roman"/>
          <w:iCs w:val="0"/>
          <w:sz w:val="24"/>
        </w:rPr>
        <w:t xml:space="preserve">а и минорная версия дистрибутива ограничений не вносят. Для проверки совместимости применяются отечественные ОС: РедОС, АстраЛинукс, АльтЛинукс последних стабильных версий и выше; объём проверки установлен программой и методикой испытаний (ЧТЗ п. 4.5.1.1).</w:t>
      </w:r>
      <w:r/>
    </w:p>
    <w:p>
      <w:pPr>
        <w:pStyle w:val="1748"/>
        <w:keepNext w:val="true"/>
        <w:keepLines w:val="false"/>
        <w:widowControl w:val="true"/>
        <w:numPr>
          <w:ilvl w:val="0"/>
          <w:numId w:val="0"/>
        </w:numPr>
        <w:pBdr/>
        <w:bidi w:val="false"/>
        <w:spacing w:after="240" w:before="240" w:line="360" w:lineRule="auto"/>
        <w:ind w:right="180" w:firstLine="709" w:left="0"/>
        <w:contextualSpacing w:val="false"/>
        <w:jc w:val="left"/>
        <w:rPr/>
      </w:pPr>
      <w:r/>
      <w:bookmarkStart w:id="27" w:name="_Toc232598797"/>
      <w:r/>
      <w:bookmarkStart w:id="28" w:name="_Toc233625987"/>
      <w:r>
        <w:rPr>
          <w:rFonts w:cs="Times New Roman"/>
          <w:b/>
          <w:i w:val="0"/>
          <w:color w:val="auto"/>
          <w:sz w:val="24"/>
          <w:szCs w:val="24"/>
        </w:rPr>
        <w:t xml:space="preserve">1.3.2. Основные библиотеки</w:t>
      </w:r>
      <w:bookmarkEnd w:id="27"/>
      <w:r/>
      <w:bookmarkEnd w:id="28"/>
      <w:r/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Функционирование ПК ОТН обеспечивают программные библиотеки, приведённые в таблице 2. Библиотеки поставляются в составе образа приложения (Python 3.10) с фиксацией версий; перечень соответствует файлу зависимостей проекта.</w:t>
      </w:r>
      <w:r/>
    </w:p>
    <w:p>
      <w:pPr>
        <w:pStyle w:val="1745"/>
        <w:widowControl w:val="true"/>
        <w:pBdr/>
        <w:bidi w:val="false"/>
        <w:spacing w:after="120" w:before="12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b/>
          <w:iCs w:val="0"/>
          <w:sz w:val="24"/>
        </w:rPr>
        <w:t xml:space="preserve">Таблица 2. </w:t>
      </w:r>
      <w:r>
        <w:rPr>
          <w:rFonts w:cs="Times New Roman"/>
          <w:b w:val="0"/>
          <w:iCs w:val="0"/>
          <w:sz w:val="24"/>
        </w:rPr>
        <w:t xml:space="preserve">Основные библиотеки ПК ОТН</w:t>
      </w:r>
      <w:r/>
    </w:p>
    <w:p>
      <w:pPr>
        <w:pStyle w:val="1745"/>
        <w:pBdr/>
        <w:spacing w:after="120" w:before="0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8500" w:type="dxa"/>
        <w:tblCellMar>
          <w:left w:w="100" w:type="dxa"/>
          <w:top w:w="60" w:type="dxa"/>
          <w:right w:w="10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500"/>
        <w:gridCol w:w="4999"/>
      </w:tblGrid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/>
                <w:iCs w:val="0"/>
                <w:sz w:val="24"/>
              </w:rPr>
              <w:t xml:space="preserve">Назначение</w:t>
            </w:r>
            <w:r/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/>
                <w:iCs w:val="0"/>
                <w:sz w:val="24"/>
              </w:rPr>
              <w:t xml:space="preserve">Библиотеки и версии</w:t>
            </w:r>
            <w:r/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Сервер приложений и REST API</w:t>
            </w:r>
            <w:r/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  <w:lang w:val="en-US"/>
              </w:rPr>
              <w:t xml:space="preserve">fastapi 0.104.1, uvicorn 0.24.0, python-multipart 0.0.6, pydantic 2.4.2, pydantic-settings 2.0.3</w:t>
            </w:r>
            <w:r/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Машинное обучение</w:t>
            </w:r>
            <w:r/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tensorflow 2.10.0, keras 2.10.0, scikit-learn 1.3.0</w:t>
            </w:r>
            <w:r/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Обработка сигналов</w:t>
            </w:r>
            <w:r/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  <w:lang w:val="en-US"/>
              </w:rPr>
              <w:t xml:space="preserve">librosa 0.11.0, scipy (обработка сигналов и спектральный анализ)</w:t>
            </w:r>
            <w:r/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Работа с данными</w:t>
            </w:r>
            <w:r/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numpy 1.23.5</w:t>
            </w:r>
            <w:r/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Форматы хранения моделей</w:t>
            </w:r>
            <w:r/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h5py 3.14.0, onnx 1.12.0, onnxruntime 1.12.1, tf2onnx 1.13.0</w:t>
            </w:r>
            <w:r/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Работа с базой данных</w:t>
            </w:r>
            <w:r/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sqlalchemy 2.0.23, psycopg2-binary 2.9.7, alembic 1.12.1</w:t>
            </w:r>
            <w:r/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Хранение файлов</w:t>
            </w:r>
            <w:r/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boto3 1.28.62</w:t>
            </w:r>
            <w:r/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Очередь задач</w:t>
            </w:r>
            <w:r/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celery 5.3.6, redis 5.0.1, flower 2.0.1</w:t>
            </w:r>
            <w:r/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Контроль ресурсов</w:t>
            </w:r>
            <w:r/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psutil</w:t>
            </w:r>
            <w:r/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Журналирование</w:t>
            </w:r>
            <w:r/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python-json-logger 2.0.7</w:t>
            </w:r>
            <w:r/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Сервис-шлюз и сервис авторизации (Python 3.11 и выше)</w:t>
            </w:r>
            <w:r/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both"/>
              <w:rPr/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fastapi, uvicorn, sqlalchemy (асинхронный драйвер asyncpg), alembic, httpx, PyJWT, bcrypt, cryptography, pydantic, pydantic-settings, pyyaml; перечень с версиями – в таблице 5</w:t>
            </w:r>
            <w:r/>
          </w:p>
        </w:tc>
      </w:tr>
    </w:tbl>
    <w:p>
      <w:pPr>
        <w:pStyle w:val="1748"/>
        <w:keepNext w:val="true"/>
        <w:keepLines w:val="false"/>
        <w:widowControl w:val="true"/>
        <w:numPr>
          <w:ilvl w:val="0"/>
          <w:numId w:val="0"/>
        </w:numPr>
        <w:pBdr/>
        <w:bidi w:val="false"/>
        <w:spacing w:after="240" w:before="240" w:line="360" w:lineRule="auto"/>
        <w:ind w:right="180" w:firstLine="709" w:left="0"/>
        <w:contextualSpacing w:val="false"/>
        <w:jc w:val="left"/>
        <w:rPr/>
      </w:pPr>
      <w:r/>
      <w:bookmarkStart w:id="29" w:name="_Toc232598798"/>
      <w:r/>
      <w:bookmarkStart w:id="30" w:name="_Toc233625988"/>
      <w:r>
        <w:rPr>
          <w:rFonts w:cs="Times New Roman"/>
          <w:b/>
          <w:i w:val="0"/>
          <w:color w:val="auto"/>
          <w:sz w:val="24"/>
          <w:szCs w:val="24"/>
        </w:rPr>
        <w:t xml:space="preserve">1.3.3. Вспомогательные сервисы</w:t>
      </w:r>
      <w:bookmarkEnd w:id="29"/>
      <w:r/>
      <w:bookmarkEnd w:id="30"/>
      <w:r/>
      <w:r/>
    </w:p>
    <w:p>
      <w:pPr>
        <w:pStyle w:val="1745"/>
        <w:keepNext w:val="false"/>
        <w:keepLines w:val="false"/>
        <w:widowControl w:val="true"/>
        <w:numPr>
          <w:ilvl w:val="0"/>
          <w:numId w:val="0"/>
        </w:numPr>
        <w:pBdr/>
        <w:bidi w:val="false"/>
        <w:spacing w:after="120" w:before="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  <w:lang w:val="en-US"/>
        </w:rPr>
        <w:t xml:space="preserve">Вспомогательные сервисы ПК ОТН: PostgreSQL – СУБД для метаданных, разметки, результатов и статусов задач; Redis – брокер сообщений и хранилище результатов очереди задач; MinIO – S3-совместимое объектное хранилище файловы</w:t>
      </w:r>
      <w:r>
        <w:rPr>
          <w:rFonts w:cs="Times New Roman"/>
          <w:iCs w:val="0"/>
          <w:sz w:val="24"/>
          <w:lang w:val="en-US"/>
        </w:rPr>
        <w:t xml:space="preserve">х артефактов; Celery – диспетчер асинхронных задач; Docker Engine и Docker Compose – контейнеризация и развёртывание. Состав контейнеров: app (сервер приложений), celery-worker (исполнение задач), flower (мониторинг очереди), db (PostgreSQL), redis, minio.</w:t>
      </w:r>
      <w:r/>
    </w:p>
    <w:p>
      <w:pPr>
        <w:pStyle w:val="1747"/>
        <w:keepNext w:val="true"/>
        <w:keepLines w:val="false"/>
        <w:widowControl w:val="true"/>
        <w:numPr>
          <w:ilvl w:val="0"/>
          <w:numId w:val="0"/>
        </w:numPr>
        <w:pBdr/>
        <w:bidi w:val="false"/>
        <w:spacing w:after="240" w:before="240" w:line="360" w:lineRule="auto"/>
        <w:ind w:right="180" w:firstLine="709" w:left="0"/>
        <w:contextualSpacing w:val="false"/>
        <w:jc w:val="left"/>
        <w:rPr/>
      </w:pPr>
      <w:r/>
      <w:bookmarkStart w:id="31" w:name="_Toc232598799"/>
      <w:r/>
      <w:bookmarkStart w:id="32" w:name="_Toc233625989"/>
      <w:r/>
      <w:bookmarkStart w:id="33" w:name="_Hlk233111372_Copy_1"/>
      <w:r/>
      <w:bookmarkEnd w:id="33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1.4. Языки программирования, на которых написана программа</w:t>
      </w:r>
      <w:bookmarkEnd w:id="31"/>
      <w:r/>
      <w:bookmarkEnd w:id="32"/>
      <w:r/>
      <w:r/>
    </w:p>
    <w:p>
      <w:pPr>
        <w:pStyle w:val="1745"/>
        <w:keepNext w:val="false"/>
        <w:keepLines w:val="false"/>
        <w:widowControl w:val="true"/>
        <w:numPr>
          <w:ilvl w:val="0"/>
          <w:numId w:val="0"/>
        </w:numPr>
        <w:pBdr/>
        <w:bidi w:val="false"/>
        <w:spacing w:after="120" w:before="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Основной язык разработки – Python. Серверная часть ПК ОТН реализована на Python версии 3.10 (базовый образ python:3.10.16), сервис-ш</w:t>
      </w:r>
      <w:r>
        <w:rPr>
          <w:rFonts w:cs="Times New Roman"/>
          <w:iCs w:val="0"/>
          <w:sz w:val="24"/>
        </w:rPr>
        <w:t xml:space="preserve">люз – на Python версии 3.11 и выше (базовый образ python:3.12-slim). Окончательный перечень использованных языков программирования и технологий, необходимых для работы комплекса, приведён в Руководстве программиста (п. 1.4) в соответствии с п. 4.5.3.1 ЧТЗ.</w:t>
      </w:r>
      <w:r/>
    </w:p>
    <w:p>
      <w:pPr>
        <w:pStyle w:val="1745"/>
        <w:widowControl w:val="true"/>
        <w:numPr>
          <w:ilvl w:val="0"/>
          <w:numId w:val="0"/>
        </w:numPr>
        <w:pBdr/>
        <w:bidi w:val="false"/>
        <w:spacing w:after="120" w:before="0"/>
        <w:ind w:right="180" w:firstLine="720" w:left="0"/>
        <w:contextualSpacing w:val="false"/>
        <w:jc w:val="both"/>
        <w:rPr>
          <w:rFonts w:cs="Times New Roman"/>
          <w:iCs w:val="0"/>
        </w:rPr>
      </w:pPr>
      <w:r>
        <w:rPr>
          <w:rFonts w:cs="Times New Roman"/>
          <w:iCs w:val="0"/>
        </w:rPr>
      </w:r>
      <w:r>
        <w:rPr>
          <w:rFonts w:cs="Times New Roman"/>
          <w:iCs w:val="0"/>
        </w:rPr>
      </w:r>
      <w:r>
        <w:rPr>
          <w:rFonts w:cs="Times New Roman"/>
          <w:iCs w:val="0"/>
        </w:rPr>
      </w:r>
    </w:p>
    <w:p>
      <w:pPr>
        <w:pStyle w:val="1747"/>
        <w:keepNext w:val="true"/>
        <w:keepLines w:val="false"/>
        <w:widowControl w:val="true"/>
        <w:numPr>
          <w:ilvl w:val="0"/>
          <w:numId w:val="0"/>
        </w:numPr>
        <w:pBdr/>
        <w:bidi w:val="false"/>
        <w:spacing w:after="240" w:before="240" w:line="360" w:lineRule="auto"/>
        <w:ind w:right="180" w:firstLine="709" w:left="0"/>
        <w:contextualSpacing w:val="false"/>
        <w:jc w:val="left"/>
        <w:rPr/>
      </w:pPr>
      <w:r/>
      <w:bookmarkStart w:id="34" w:name="_Toc233625990"/>
      <w:r/>
      <w:bookmarkStart w:id="35" w:name="_Toc232598800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1.5. Среда функционирования</w:t>
      </w:r>
      <w:bookmarkEnd w:id="34"/>
      <w:r/>
      <w:bookmarkEnd w:id="35"/>
      <w:r/>
      <w:r/>
    </w:p>
    <w:p>
      <w:pPr>
        <w:pStyle w:val="1745"/>
        <w:keepNext w:val="false"/>
        <w:keepLines w:val="false"/>
        <w:widowControl w:val="true"/>
        <w:numPr>
          <w:ilvl w:val="0"/>
          <w:numId w:val="0"/>
        </w:numPr>
        <w:pBdr/>
        <w:bidi w:val="false"/>
        <w:spacing w:after="120" w:before="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ПК ОТН развёртывается в контейнерной среде </w:t>
      </w:r>
      <w:r>
        <w:rPr>
          <w:rFonts w:cs="Times New Roman"/>
          <w:iCs w:val="0"/>
          <w:sz w:val="24"/>
        </w:rPr>
        <w:t xml:space="preserve">в защищённом контуре эксплуатирующей организации. Сервер приложений и очередь задач размещаются на серверном оборудовании, объектное хранилище и СУБД – в том же контуре; доступ к комплексу предоставляется через сервис-шлюз, опубликованный в сети заказчика.</w:t>
      </w:r>
      <w:r/>
    </w:p>
    <w:p>
      <w:pPr>
        <w:pStyle w:val="1745"/>
        <w:keepNext w:val="false"/>
        <w:keepLines w:val="false"/>
        <w:widowControl w:val="true"/>
        <w:numPr>
          <w:ilvl w:val="0"/>
          <w:numId w:val="0"/>
        </w:numPr>
        <w:pBdr/>
        <w:bidi w:val="false"/>
        <w:spacing w:after="120" w:before="0" w:line="360" w:lineRule="auto"/>
        <w:ind w:right="180" w:firstLine="72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Источником дан</w:t>
      </w:r>
      <w:r>
        <w:rPr>
          <w:rFonts w:cs="Times New Roman"/>
          <w:iCs w:val="0"/>
          <w:sz w:val="24"/>
        </w:rPr>
        <w:t xml:space="preserve">ных для комплекса являются файлы, передаваемые пользователями через REST API, и данные, получаемые от внешних систем через сервис-шлюз. Инициирование передачи данных выполняется стороной-источником: ПК ОТН не выполняет самостоятельный опрос приборов учёта.</w:t>
      </w:r>
      <w:r/>
    </w:p>
    <w:p>
      <w:pPr>
        <w:pStyle w:val="1745"/>
        <w:pBdr/>
        <w:spacing w:after="120" w:before="0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6"/>
        <w:keepNext w:val="true"/>
        <w:keepLines w:val="false"/>
        <w:pageBreakBefore w:val="false"/>
        <w:numPr>
          <w:ilvl w:val="0"/>
          <w:numId w:val="0"/>
        </w:numPr>
        <w:pBdr/>
        <w:spacing w:after="360" w:before="360" w:line="360" w:lineRule="auto"/>
        <w:ind w:right="140" w:firstLine="0" w:left="0"/>
        <w:contextualSpacing w:val="false"/>
        <w:jc w:val="center"/>
        <w:rPr/>
      </w:pPr>
      <w:r/>
      <w:bookmarkStart w:id="36" w:name="_Toc233625991"/>
      <w:r/>
      <w:bookmarkStart w:id="37" w:name="_Toc232598801"/>
      <w:r>
        <w:rPr>
          <w:rFonts w:cs="Times New Roman"/>
          <w:b/>
          <w:i w:val="0"/>
          <w:iCs w:val="0"/>
          <w:color w:val="auto"/>
          <w:sz w:val="24"/>
        </w:rPr>
        <w:t xml:space="preserve">2. ФУНКЦИОНАЛЬНОЕ НАЗНАЧЕНИЕ</w:t>
      </w:r>
      <w:bookmarkEnd w:id="36"/>
      <w:r/>
      <w:bookmarkEnd w:id="37"/>
      <w:r/>
      <w:r/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/>
      </w:pPr>
      <w:r/>
      <w:bookmarkStart w:id="38" w:name="_Toc232598802"/>
      <w:r/>
      <w:bookmarkStart w:id="39" w:name="_Toc233625992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2.1. Классы решаемых задач</w:t>
      </w:r>
      <w:bookmarkEnd w:id="38"/>
      <w:r/>
      <w:bookmarkEnd w:id="39"/>
      <w:r/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90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ПК ОТН решает следующие классы задач: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90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приём и валидация входных файлов (данных измерений RAW и разметки LOADS), размещение файлов в объектном хранилище и регистрация метаданных; (Согласно ЧТЗ п. 4.1.2.3.1–4.1.2.3.6)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90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формирование датасетов: потоковый разбор CSV-файлов, декодирование массивов мгновенных значений тока и напряжения по параметрам АЦП, запись декодированных данных и разметки в базу данных датасета;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90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ведение справочника нагрузок (load_devices) и разметки фрагментов данных по классам нагрузки;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90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предобработка данных методами цифровой обработки сигналов: прямое представление, разделение фаз, скользящее окно, преобразование Фурье (FFT), кратковременное преобразование Фурье (STFT), аугментация данных шумом;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90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создание ML-моделей заданных архитектур (cnn_1d, mlp, fft_mlp, stft_mlp, transformer) с автоматическим присвоением версии; (Согласно ЧТЗ п. 4.1.2.5.2)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90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обучение моделей машинного обучения на подготовленных датасетах, включая обучение популяции моделей, квантование весов (QAT, 4 или 8 бит) и прунинг; (Согласно ЧТЗ п. 4.1.2.5.1)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90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подбор гиперпараметров (автоматический поиск конфигурации ML-модели): формирование популяции конфигураций по осям варьирования гиперпараметров, прогон обучения и тестирования, ранжирование и отбор лучших конфигураций;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90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тестирование модели на размеченном датасете с расчётом точности распознавания и распределения результатов по выходам модели (истинно и ложно положительные и отрицательные), формирование отчёта; (Согласно ЧТЗ п. 4.1.2.4.4, 4.1.2.5.3)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90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идентификация типа подключённой нагрузки методом инференса по данным с неизвестным типом нагрузки, включая синхронный инференс по одному фрагменту измерений; (Согласно ЧТЗ п. 4.1.2.4.1–4.1.2.4.5)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90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предоставление по запросу обученных моделей (основной формат хранения — H5; экспорт — H5 и ONNX), файлов данных и отчётов о качестве классификации; (Согласно ЧТЗ п. 4.1.2.6.1)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90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управление вычислительными задачами: постановка в очередь, получение списка и статусов, приостановка, возобновление, аварийное прерывание;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90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аутентификация и разграничение доступа пользователей и внешних систем по ролям, управление учётными записями; (Согласно ЧТЗ п. 4.1.2.7.1–4.1.2.7.3)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90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конфигурирование состава и параметров подключений компонентов комплекса; (Согласно ЧТЗ п. 4.1.2.9)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90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версионирование алгоритмов и моделей: присвоение версии вида {архитектура}.{hex8} при создании модели, хранение версии в метаданных модели и фильтрация моделей по версии. (Согласно ЧТЗ п. 4.1.1.3)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90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Отдельной задачи определения мощности нагрузки комплекс не решает: нагрузка описывается в справочнике нагрузок (load_devices) как постоянная известная величина, а параметр мощности в расчётах комплекса не используется и </w:t>
      </w:r>
      <w:r>
        <w:rPr>
          <w:rFonts w:cs="Times New Roman"/>
          <w:iCs w:val="0"/>
          <w:sz w:val="24"/>
        </w:rPr>
        <w:t xml:space="preserve">в схему данных не входит. Оборудование с несколькими режимами потребления представляется при разметке разными нагрузками с разными идентификаторами (LoadID), поскольку регистрируемые в этих режимах массивы мгновенных значений тока и напряжения различаются.</w:t>
      </w:r>
      <w:r/>
    </w:p>
    <w:p>
      <w:pPr>
        <w:pStyle w:val="1745"/>
        <w:pBdr/>
        <w:spacing w:after="120" w:before="0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/>
      </w:pPr>
      <w:r/>
      <w:bookmarkStart w:id="40" w:name="_Toc232598803"/>
      <w:r/>
      <w:bookmarkStart w:id="41" w:name="_Toc233625993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2.2. Назначение программных компонентов</w:t>
      </w:r>
      <w:bookmarkEnd w:id="40"/>
      <w:r/>
      <w:bookmarkEnd w:id="41"/>
      <w:r/>
      <w:r/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Компоненты ПК ОТН реализованы как пайплайны. Ниже для каждого компонента приведены назначение, состав пайплайна и исполняющие модули.</w:t>
      </w:r>
      <w:r/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Загрузчик профиля – пайплайн «приём файла → датасет». Пайплайн выполняет: приём файла через REST API с указанием типа (RAW – данные измерений, LOADS – разметка); валидацию расширения, типа содержимого и обяза</w:t>
      </w:r>
      <w:r>
        <w:rPr>
          <w:rFonts w:cs="Times New Roman"/>
          <w:iCs w:val="0"/>
          <w:sz w:val="24"/>
        </w:rPr>
        <w:t xml:space="preserve">тельных колонок заголовка; размещение файла в объектном хранилище и регистрацию метаданных файла; создание датасета; асинхронный разбор CSV и запись декодированных массивов мгновенных значений и разметки в базу данных. (Согласно ЧТЗ п. 4.1.2.3.1–4.1.2.3.6)</w:t>
      </w:r>
      <w:r/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Хранилище – пайплайн ведения данных к</w:t>
      </w:r>
      <w:r>
        <w:rPr>
          <w:rFonts w:cs="Times New Roman"/>
          <w:iCs w:val="0"/>
          <w:sz w:val="24"/>
        </w:rPr>
        <w:t xml:space="preserve">омплекса: файловые артефакты (CSV, H5, ZIP-отчёты) в объектном хранилище, метаданные и результаты – в СУБД. Компонент обеспечивает хранение датасетов, справочника нагрузок, разметки, предобработанных данных, моделей, результатов инференса и статусов задач.</w:t>
      </w:r>
      <w:r/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Обучение – пайплайн «датасет и конфигурация модели → обученная модель». Пайплайн выполняет: валидацию запроса (существование модели и датасета, соответствие устройств модели устройствам датасета, тип фазы</w:t>
      </w:r>
      <w:r>
        <w:rPr>
          <w:rFonts w:cs="Times New Roman"/>
          <w:iCs w:val="0"/>
          <w:sz w:val="24"/>
        </w:rPr>
        <w:t xml:space="preserve">); построение цепочки предобработки данных по конфигурации модели и параметрам запроса; обучение одной модели либо популяции моделей; сохранение обученной модели в формате H5 и создание метаданных новой модели с новой версией. Дополнительно компонент выпол</w:t>
      </w:r>
      <w:r>
        <w:rPr>
          <w:rFonts w:cs="Times New Roman"/>
          <w:iCs w:val="0"/>
          <w:sz w:val="24"/>
        </w:rPr>
        <w:t xml:space="preserve">няет квантование весов при обучении и автоматический подбор гиперпараметров (формирование популяции конфигураций по осям варьирования гиперпараметров, обучение и тестирование каждой конфигурации, ранжирование и отбор). (Согласно ЧТЗ п. 4.1.2.5.1–4.1.2.5.3)</w:t>
      </w:r>
      <w:r/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Идентификация – пайплайн «данные → результат идентификации». Компонент обеспечивает два пайплайна, соответствующих требованиям ЧТЗ к режимам:</w:t>
      </w:r>
      <w:r/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• </w:t>
      </w:r>
      <w:r>
        <w:rPr>
          <w:rFonts w:cs="Times New Roman"/>
          <w:iCs w:val="0"/>
          <w:sz w:val="24"/>
        </w:rPr>
        <w:t xml:space="preserve">тестирование модели на датасете – прогон обученной модели по размеченному датасету, расч</w:t>
      </w:r>
      <w:r>
        <w:rPr>
          <w:rFonts w:cs="Times New Roman"/>
          <w:iCs w:val="0"/>
          <w:sz w:val="24"/>
        </w:rPr>
        <w:t xml:space="preserve">ёт точности распознавания и распределения результатов по выходам модели (истинно и ложно положительные и отрицательные), формирование текстового отчёта и архива отчёта, запись истории тестирования в метаданные модели. (Согласно ЧТЗ п. 4.1.2.4.4, 4.1.2.5.3)</w:t>
      </w:r>
      <w:r/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• </w:t>
      </w:r>
      <w:r>
        <w:rPr>
          <w:rFonts w:cs="Times New Roman"/>
          <w:iCs w:val="0"/>
          <w:sz w:val="24"/>
        </w:rPr>
        <w:t xml:space="preserve">идентификация нагрузки (инференс) – применение обученной модели к данным, тип нагрузки которых неизвестен: асинхронный инференс по датасету с запис</w:t>
      </w:r>
      <w:r>
        <w:rPr>
          <w:rFonts w:cs="Times New Roman"/>
          <w:iCs w:val="0"/>
          <w:sz w:val="24"/>
        </w:rPr>
        <w:t xml:space="preserve">ью результатов в таблицу предсказаний и формированием отчёта, а также синхронный инференс по одному фрагменту измерений (шесть массивов мгновенных значений) с возвратом списка результатов по выходам модели. (Согласно ЧТЗ п. 4.1.2.4.1, 4.1.2.4.2, 4.1.2.4.5)</w:t>
      </w:r>
      <w:r/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Выгрузка – пайплайн предоставления артефактов по запросу: скачивание файла модели и файлов данных по идентификатору, экспорт модели в формате ONNX, получение свойств модели, получение результатов и отчётов по данным задачи. (Согласно ЧТЗ п. 4.1.2.6.1)</w:t>
      </w:r>
      <w:r/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Интеграция – пайплайн приёма и обработки запросов внешних систем. Компонент реализован в составе отдельного сервиса-</w:t>
      </w:r>
      <w:r>
        <w:rPr>
          <w:rFonts w:cs="Times New Roman"/>
          <w:iCs w:val="0"/>
          <w:sz w:val="24"/>
        </w:rPr>
        <w:t xml:space="preserve">шлюза: принимает запросы внешних систем, проверяет права по роли, передаёт запрос во внутренний сервис и возвращает ответ в едином формате; авторизационные заголовки во внутренний сервис не передаются. (Согласно ЧТЗ п. 4.1.2.8.1–4.1.2.8.3, 4.5.2.1–4.5.2.3)</w:t>
      </w:r>
      <w:r/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Администрирование – пайплайн управления доступом, реализованный в составе сервиса-шлюза: аутентификация пользователей по логину и паролю с выдачей и обновлением токенов доступа, </w:t>
      </w:r>
      <w:r>
        <w:rPr>
          <w:rFonts w:cs="Times New Roman"/>
          <w:iCs w:val="0"/>
          <w:sz w:val="24"/>
        </w:rPr>
        <w:t xml:space="preserve">проверка токенов, отзыв токенов, ведение учётных записей и ролей, проверка права пользователя на метод и путь запроса. Поддерживаются три уровня доступа: Администратор (admin), Менеджер (manager), Абонент (subscriber). (Согласно ЧТЗ п. 4.1.2.7.1–4.1.2.7.3)</w:t>
      </w:r>
      <w:r/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Управление – конфигурирование и версионирование ИНС и алгоритмов определения нагрузки: создание модели с заданной конфигурацией (состав и параметр</w:t>
      </w:r>
      <w:r>
        <w:rPr>
          <w:rFonts w:cs="Times New Roman"/>
          <w:iCs w:val="0"/>
          <w:sz w:val="24"/>
        </w:rPr>
        <w:t xml:space="preserve">ы слоёв, тип фазы, число выходов, привязка выходов к устройствам), загрузка готовой модели с метаданными, обучение и переобучение модели, автоматический подбор гиперпараметров, получение описания модели и удаление модели. Конфигурация и версия модели форми</w:t>
      </w:r>
      <w:r>
        <w:rPr>
          <w:rFonts w:cs="Times New Roman"/>
          <w:iCs w:val="0"/>
          <w:sz w:val="24"/>
        </w:rPr>
        <w:t xml:space="preserve">руются и сохраняются серверным приложением в метаданных модели. Внешний интерфейс и разграничение прав на операции с моделями обеспечивает сервис-шлюз: запись – роль Менеджер (manager), чтение – роль Абонент (subscriber). (Согласно ЧТЗ п. 4.1.2.9, 4.1.1.4)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54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Состав компонентов, реализованных в каждом </w:t>
      </w:r>
      <w:r>
        <w:rPr>
          <w:rFonts w:cs="Times New Roman"/>
          <w:iCs w:val="0"/>
          <w:sz w:val="24"/>
        </w:rPr>
        <w:t xml:space="preserve">сервисе: сервер приложений ПК ОТН (репозиторий backend) содержит компоненты «Загрузчик профиля», «Хранилище», «Обучение», «Идентификация», «Выгрузка»; сервис-шлюз (репозиторий middleware) содержит компоненты «Интеграция», «Администрирование», «Управление».</w:t>
      </w:r>
      <w:r/>
    </w:p>
    <w:p>
      <w:pPr>
        <w:pStyle w:val="1745"/>
        <w:widowControl w:val="true"/>
        <w:pBdr/>
        <w:bidi w:val="false"/>
        <w:spacing w:after="120" w:before="0" w:line="360" w:lineRule="auto"/>
        <w:ind w:right="180" w:firstLine="540" w:left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Для управления комплексом может применяться виртуальный ассистент – «Ассистент интеллектуального управления сервером обучения нейросетей» (репозиторий assistant-energomera), зарегистрированны</w:t>
      </w:r>
      <w:r>
        <w:rPr>
          <w:rFonts w:cs="Times New Roman"/>
          <w:iCs w:val="0"/>
          <w:sz w:val="24"/>
        </w:rPr>
        <w:t xml:space="preserve">й в Реестре программ для ЭВМ (свидетельство о государственной регистрации программы для ЭВМ № 2026686555 от 1 сентября 2026 г.; правообладатель – Федеральное государственное бюджетное образовательное учреждение высшего образования «Санкт-Петербургский госу</w:t>
      </w:r>
      <w:r>
        <w:rPr>
          <w:rFonts w:cs="Times New Roman"/>
          <w:iCs w:val="0"/>
          <w:sz w:val="24"/>
        </w:rPr>
        <w:t xml:space="preserve">дарственный университет»). Ассистент не входит в состав ПК ОТН и разворачивается отдельно от комплекса: это самостоятельное приложение (сервер ассистента с REST API и веб-интерфейсом), взаимодействующее с большой языковой моделью (LLM) внешнего провайдера.</w:t>
      </w:r>
      <w:r/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Назначение ассистента – управление комплексом: LLM-агент по запросу пользователя формирует и выполняет вызовы методов REST API се</w:t>
      </w:r>
      <w:r>
        <w:rPr>
          <w:rFonts w:cs="Times New Roman"/>
          <w:iCs w:val="0"/>
          <w:sz w:val="24"/>
        </w:rPr>
        <w:t xml:space="preserve">рвера приложений – загрузку файлов данных (RAW) и разметки (LOADS), создание и заполнение датасетов, создание, загрузку, получение описания и удаление ML-моделей, запуск обучения, проверки и инференса (включая синхронный инференс по одному фрагменту измере</w:t>
      </w:r>
      <w:r>
        <w:rPr>
          <w:rFonts w:cs="Times New Roman"/>
          <w:iCs w:val="0"/>
          <w:sz w:val="24"/>
        </w:rPr>
        <w:t xml:space="preserve">ний), ведение справочника нагрузок (load_devices) и управление задачами (получение списка и статусов, пауза, возобновление, прерывание). Ассистент обращается к серверу приложений напрямую, по адресу его REST API; обращение через сервис-шлюз не поддерживает</w:t>
      </w:r>
      <w:r>
        <w:rPr>
          <w:rFonts w:cs="Times New Roman"/>
          <w:iCs w:val="0"/>
          <w:sz w:val="24"/>
        </w:rPr>
        <w:t xml:space="preserve">ся: HTTP-адаптер ассистента не реализует аутентификацию и не передаёт токены доступа комплекса, а сервис-шлюз не выполняет запросы без действующего токена. Разграничение прав по ролям (Администратор, Менеджер, Абонент) к запросам ассистента не применяется.</w:t>
      </w:r>
      <w:r/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/>
      </w:pPr>
      <w:r/>
      <w:bookmarkStart w:id="42" w:name="_Toc233625994"/>
      <w:r/>
      <w:bookmarkStart w:id="43" w:name="_Toc232598804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2.3. Область применения</w:t>
      </w:r>
      <w:bookmarkEnd w:id="42"/>
      <w:r/>
      <w:bookmarkEnd w:id="43"/>
      <w:r/>
      <w:r/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ПК ОТН предназначен для применения в составе интеллектуальных систем учёта электроэнергии (ИСУЭ) сетевых и энергосбытовых предприятий, использующих ПО «ceCloud» АО «Энергомера».</w:t>
      </w:r>
      <w:r/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Комплекс обеспечивает:</w:t>
      </w:r>
      <w:r/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определение типа подключённой нагрузки потребителя в трёхфазной сети переменного тока 50 Гц напряжением 0,4 кВ по массивам мгновенных значений тока и напряжения;</w:t>
      </w:r>
      <w:r/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выявление нагрузок, относящихся к классам, заданным при разметке данных (майнинговая ферма, электроотопительный прибор, устройство малой генерации, прочие виды нагрузок);</w:t>
      </w:r>
      <w:r/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оценку достоверности полученного результата (значение confidence по каждому выходу модели) и расчёт точности распознавания на размеченном датасете и распределения результатов по выходам модели.</w:t>
      </w:r>
      <w:r/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Область применения ограничена анализом данных, поступающих в комплекс в виде файлов и через сервис-шлюз; комплекс не выполняет измерений, не воздействует на электрическую сеть</w:t>
      </w:r>
      <w:r>
        <w:rPr>
          <w:rFonts w:cs="Times New Roman"/>
          <w:iCs w:val="0"/>
          <w:sz w:val="24"/>
        </w:rPr>
        <w:t xml:space="preserve"> и её оборудование и не формирует программное обеспечение приборов учёта, поэтому результаты идентификации носят информационный характер. Идентификация выполняется для нагрузок классов, включённых в разметку датасета, на котором обучена применённая модель.</w:t>
      </w:r>
      <w:r/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Применение комплекса обеспечивает:</w:t>
      </w:r>
      <w:r/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получение сведений о составе нагрузок, подключённых в контролируемом сегменте сети 0,4 кВ, по переданным массивам мгновенных значений тока и напряжения — без выезда на объект и без установки дополнительного оборудования у потребителя;</w:t>
      </w:r>
      <w:r/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автоматическое определение типа нагрузки обученной ML-моделью: участие персонала сводится к подготовке датасета, запуску задач и оценке полученных результатов;</w:t>
      </w:r>
      <w:r/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выявление в контролируемом сегменте сети нагрузок заданных классов с указанием достоверности результата, что позволяет планировать обследование потребителей по фактическим данным измерений;</w:t>
      </w:r>
      <w:r/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накопление размеченных данных, обученных моделей и результатов идентификации в едином хранилище с предоставлением их смежным системам через ПО «ceCloud».</w:t>
      </w:r>
      <w:r/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/>
      </w:pPr>
      <w:r/>
      <w:bookmarkStart w:id="44" w:name="_Toc233625995"/>
      <w:r/>
      <w:bookmarkStart w:id="45" w:name="_Toc232598805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2.4. Функциональные ограничения</w:t>
      </w:r>
      <w:bookmarkEnd w:id="44"/>
      <w:r/>
      <w:bookmarkEnd w:id="45"/>
      <w:r/>
      <w:r/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работа серверной части в среде Linux версии не ниже Debian 10 или Astra Linux LTS с обязательной контейнеризацией (Docker Engine 20.10 и выше, Docker Compose 2.0 и выше);</w:t>
      </w:r>
      <w:r/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доступ внешних систем к функциональности комплекса только через сервис-шлюз; сервер приложений и очередь задач не публикуются во внешней сети;</w:t>
      </w:r>
      <w:r/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анализ данных выполняется в асинхронном режиме: комплекс не обеспечивает обработку данных в реальном времени;</w:t>
      </w:r>
      <w:r/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идентификация нагрузки выполняется централизованно на сервере по переданным массивам мгновенных значений; программное обеспечение приборов учёта комплексом не формируется;</w:t>
      </w:r>
      <w:r/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результаты идентификации содержат класс нагрузки, номер выхода модели, перечень устройств учёта и значение достоверности (confidence);</w:t>
      </w:r>
      <w:r/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дообучение выполняется только на датасете, который специалист предварительно проверил: датасет должен быть качественно собран и корректно размечен, данные без такой проверки на дообучение не подаются. Проверку состава и разм</w:t>
      </w:r>
      <w:r>
        <w:rPr>
          <w:rFonts w:cs="Times New Roman"/>
          <w:iCs w:val="0"/>
          <w:sz w:val="24"/>
        </w:rPr>
        <w:t xml:space="preserve">етки загружаемых данных выполняет специалист, готовящий данные; средствами комплекса достоверность разметки не проверяется, признак «датасет проверен» в данных комплекса не ведётся. Режим онлайн-дообучения без проверки датасета специалистом не применяется;</w:t>
      </w:r>
      <w:r/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дообучение выполняется как обучение новой модели на новом датасете с автоматическим присвоением новой версии; исходная модель сохраняется без изменений.</w:t>
      </w:r>
      <w:r/>
    </w:p>
    <w:p>
      <w:pPr>
        <w:pStyle w:val="1746"/>
        <w:keepNext w:val="true"/>
        <w:keepLines w:val="false"/>
        <w:pageBreakBefore w:val="false"/>
        <w:numPr>
          <w:ilvl w:val="0"/>
          <w:numId w:val="0"/>
        </w:numPr>
        <w:pBdr/>
        <w:spacing w:after="360" w:before="360" w:line="360" w:lineRule="auto"/>
        <w:ind w:right="140" w:firstLine="0" w:left="0"/>
        <w:contextualSpacing w:val="false"/>
        <w:jc w:val="center"/>
        <w:rPr>
          <w:rFonts w:cs="Times New Roman"/>
          <w:iCs w:val="0"/>
          <w:color w:val="auto"/>
        </w:rPr>
      </w:pPr>
      <w:r/>
      <w:bookmarkStart w:id="46" w:name="_Toc233625996"/>
      <w:r/>
      <w:bookmarkStart w:id="47" w:name="_Toc232598806"/>
      <w:r>
        <w:rPr>
          <w:rFonts w:cs="Times New Roman"/>
          <w:b/>
          <w:i w:val="0"/>
          <w:iCs w:val="0"/>
          <w:color w:val="auto"/>
          <w:sz w:val="24"/>
        </w:rPr>
        <w:t xml:space="preserve">3. ОПИСАНИЕ ЛОГИЧЕСКОЙ СТРУКТУРЫ</w:t>
      </w:r>
      <w:bookmarkEnd w:id="46"/>
      <w:r/>
      <w:bookmarkEnd w:id="47"/>
      <w:r>
        <w:rPr>
          <w:rFonts w:cs="Times New Roman"/>
          <w:iCs w:val="0"/>
          <w:color w:val="auto"/>
        </w:rPr>
      </w:r>
      <w:r>
        <w:rPr>
          <w:rFonts w:cs="Times New Roman"/>
          <w:iCs w:val="0"/>
          <w:color w:val="auto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48" w:name="_Toc233625997"/>
      <w:r/>
      <w:bookmarkStart w:id="49" w:name="_Toc232598807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3.1. Алгоритм программы</w:t>
      </w:r>
      <w:bookmarkEnd w:id="48"/>
      <w:r/>
      <w:bookmarkEnd w:id="49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Функционирование ПК ОТН описывается как последовательн</w:t>
      </w:r>
      <w:r>
        <w:rPr>
          <w:rFonts w:cs="Times New Roman"/>
          <w:iCs w:val="0"/>
          <w:sz w:val="24"/>
        </w:rPr>
        <w:t xml:space="preserve">ость пайплайнов обработки данных и управления вычислительными задачами. Каждый пайплайн запускается запросом к REST API, выполняется асинхронно диспетчером задач (кроме методов, выполняемых синхронно) и завершается записью результата в хранилище комплекса.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 рисунке 2 показана последовательность этапов: инициализация среды, загрузка и</w:t>
      </w:r>
      <w:r>
        <w:rPr>
          <w:rFonts w:cs="Times New Roman"/>
          <w:iCs w:val="0"/>
          <w:sz w:val="24"/>
        </w:rPr>
        <w:t xml:space="preserve">сходных данных, формирование датасета, обучение модели, тестирование модели, идентификация нагрузки, выгрузка результатов и управление задачами. Каждому этапу соответствует отдельный пайплайн, что позволяет выполнять их независимо и в произвольном порядке.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134350"/>
                <wp:effectExtent l="0" t="0" r="0" b="0"/>
                <wp:docPr id="5" name="Рисунок 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Рисунок 6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3600" cy="813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68.00pt;height:640.5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60" w:line="360" w:lineRule="auto"/>
        <w:ind w:right="140" w:firstLine="0"/>
        <w:contextualSpacing w:val="false"/>
        <w:jc w:val="center"/>
        <w:rPr>
          <w:rFonts w:cs="Times New Roman"/>
          <w:bCs w:val="0"/>
          <w:iCs w:val="0"/>
        </w:rPr>
      </w:pPr>
      <w:r>
        <w:rPr>
          <w:rFonts w:cs="Times New Roman"/>
          <w:bCs w:val="0"/>
          <w:i/>
          <w:sz w:val="24"/>
        </w:rPr>
        <w:t xml:space="preserve">Рисунок 2 – Алгоритм функционирования ПК ОТН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50" w:name="_Toc232598808"/>
      <w:r/>
      <w:bookmarkStart w:id="51" w:name="_Toc233625998"/>
      <w:r>
        <w:rPr>
          <w:rFonts w:cs="Times New Roman"/>
          <w:b/>
          <w:i w:val="0"/>
          <w:color w:val="auto"/>
          <w:sz w:val="24"/>
          <w:szCs w:val="24"/>
        </w:rPr>
        <w:t xml:space="preserve">3.1.1. Инициализация и подготовка среды</w:t>
      </w:r>
      <w:bookmarkEnd w:id="50"/>
      <w:r/>
      <w:bookmarkEnd w:id="51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При запуске комплекса выполняются следующие действия: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запускается сервер приложений (FastAPI), который при старте проверяет наличие и доступность бакета объектного хранилища и создаёт его при отсутствии;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запускается контейнер исполнения задач (Celery worker) с подключением к брокеру Redis (база 0 – брокер, база 1 – результаты); контейнеры сервера приложений, очереди задач и мониторинга (Flower) запускаются раздельно;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устанавливаются соединения с PostgreSQL (метаданные, разметка, результаты, статусы задач) и MinIO (файловые артефакты);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сервис-шлюз при старте загружает конфигурацию подключений, подключается к своей базе данных, создаёт и активирует служебную учётную запись администратора и запускает периодическую очистку списка отозванных токенов;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схемы базы данных приводятся в актуальное состояние миграциями Alembic;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доступность комплекса проверяется методом GET /health, сведения о сборке – методом GET /version.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52" w:name="_Toc233625999"/>
      <w:r/>
      <w:bookmarkStart w:id="53" w:name="_Toc232598809"/>
      <w:r>
        <w:rPr>
          <w:rFonts w:cs="Times New Roman"/>
          <w:b/>
          <w:i w:val="0"/>
          <w:color w:val="auto"/>
          <w:sz w:val="24"/>
          <w:szCs w:val="24"/>
        </w:rPr>
        <w:t xml:space="preserve">3.1.2. Загрузка исходных данных</w:t>
      </w:r>
      <w:bookmarkEnd w:id="52"/>
      <w:r/>
      <w:bookmarkEnd w:id="53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Пользователь или внешняя система передаёт через REST API файл и его тип: RAW (данные измерений) либо LOADS (разметка). При приёме файла выполняются следующие действия: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проверяется тип файла: принимаются типы RAW и LOADS, остальные значения отклоняются с кодом 400;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проверяется тип содержимого запроса (text/csv либо application/vnd.ms-excel) и расширение файла (.csv);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проверяется наличие обязательных колонок заголовка: для типа RAW – chunkID, timestamp, U_A_rms, U_B_rms, U_C_rms, I_A_rms,</w:t>
      </w:r>
      <w:r>
        <w:rPr>
          <w:rFonts w:cs="Times New Roman"/>
          <w:iCs w:val="0"/>
          <w:sz w:val="24"/>
        </w:rPr>
        <w:t xml:space="preserve"> I_B_rms, I_C_rms, sample_rate, signal_length, channel_mask, signal_bytes, byte_order, coding, U_mult, U_dev, I_mult, I_dev, U_A_signal, U_B_signal, U_C_signal, I_A_signal, I_B_signal, I_C_signal; для типа LOADS – markupID, chunkID, LoadID, ph_n, category;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файл размещается в объектном хранилище по ключу вида {тип_файла}/{год}/{месяц}/{день}/{имя файла} (при совпадении имени добавляется числовой индекс);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в базе данных регистрируются метаданные файла: идентификатор, имя, путь в хранилище, размер, тип и дата импорта;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при отклонении файла по типу, содержимому или составу колонок возвращается код 400 с указанием причины.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Загруженный файл становится доступен для формирования датасетов. Перечень файлов и их метаданные доступны методом GET /api/data/files с фильтрацией по идентификатору, имени, дате импорта и типу файла.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54" w:name="_Toc233626000"/>
      <w:r/>
      <w:bookmarkStart w:id="55" w:name="_Toc232598810"/>
      <w:r>
        <w:rPr>
          <w:rFonts w:cs="Times New Roman"/>
          <w:b/>
          <w:i w:val="0"/>
          <w:color w:val="auto"/>
          <w:sz w:val="24"/>
          <w:szCs w:val="24"/>
        </w:rPr>
        <w:t xml:space="preserve">3.1.3. Формирование обучающих и тестовых выборок</w:t>
      </w:r>
      <w:bookmarkEnd w:id="54"/>
      <w:r/>
      <w:bookmarkEnd w:id="55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Пользователь создаёт датасет (POST /api/datasets/) с ука</w:t>
      </w:r>
      <w:r>
        <w:rPr>
          <w:rFonts w:cs="Times New Roman"/>
          <w:iCs w:val="0"/>
          <w:sz w:val="24"/>
        </w:rPr>
        <w:t xml:space="preserve">занием имени, описания и типа трансформации (direct_fill) и запускает его заполнение (POST /api/datasets/fill/{dataset_id}), передавая перечень файлов данных и, при наличии, перечень файлов разметки. Заполнение выполняется асинхронной задачей dataset-fill: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выполняется проверка переданных файлов: каждый файл должен существовать и его тип должен соответствовать назначению (RAW – для файлов данных, LOADS – для файлов разметки);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файлы данных разбираются потоково, без загрузки файла целиком в память; из каждой строки формируется запись фрагмента измерений;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массивы мгновенных значений декодируются из текстового </w:t>
      </w:r>
      <w:r>
        <w:rPr>
          <w:rFonts w:cs="Times New Roman"/>
          <w:iCs w:val="0"/>
          <w:sz w:val="24"/>
        </w:rPr>
        <w:t xml:space="preserve">представления (Base64 или Hex, параметр coding) с учётом порядка байт (byte_order) и числа байт на отсчёт (signal_bytes); значения приводятся к физическим величинам по коэффициентам пересчёта напряжения и тока (U_mult/U_dev, I_mult/I_dev) и параметрам АЦП;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декодированные фрагменты записываются в таблицу данных датасета (raw_data) с указанием внешнего идентификатора фрагмента (chunkID), метки времени в UTC, действующих значений напряжения и тока по фазам, длины сигнала, частоты дискретизации и маски каналов;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файлы разметки разбирают</w:t>
      </w:r>
      <w:r>
        <w:rPr>
          <w:rFonts w:cs="Times New Roman"/>
          <w:iCs w:val="0"/>
          <w:sz w:val="24"/>
        </w:rPr>
        <w:t xml:space="preserve">ся и сопоставляются с фрагментами данных по идентификатору chunkID; результаты записываются в таблицу разметки (data_markup) с указанием нагрузки (load_id), фазы (Ph_A, Ph_B, Ph_C, Ph_E) и класса нагрузки (category); проверяется допустимость значения фазы;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нагрузки, отсутствующие в справочнике нагрузок, вносятся в него; для нагрузок без известного идентификатора используется служебная запись __OTHER__;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задача поддерживает приостановку и возобновление: обработанное количество строк сохраняется, при возобновлении разбор продолжается с сохранённой позиции;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по завершении задачи формируется статистика обработки (число обработанных строк, число записанных фрагментов и записей разметки), которая сохраняется как результат задачи.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Датасет без файлов разметки формируется и хранится, но не может быть использован для обучения и тестирования: обучение и тестирование требуют разметки классов нагрузки.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56" w:name="_Toc233626001"/>
      <w:r/>
      <w:bookmarkStart w:id="57" w:name="_Toc232598811"/>
      <w:r>
        <w:rPr>
          <w:rFonts w:cs="Times New Roman"/>
          <w:b/>
          <w:i w:val="0"/>
          <w:color w:val="auto"/>
          <w:sz w:val="24"/>
          <w:szCs w:val="24"/>
        </w:rPr>
        <w:t xml:space="preserve">3.1.4. Обучение моделей</w:t>
      </w:r>
      <w:bookmarkEnd w:id="56"/>
      <w:r/>
      <w:bookmarkEnd w:id="57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Обучение выполняется методом POST /api/ml_models/models/{model_id}/train</w:t>
      </w:r>
      <w:r>
        <w:rPr>
          <w:rFonts w:cs="Times New Roman"/>
          <w:iCs w:val="0"/>
          <w:sz w:val="24"/>
        </w:rPr>
        <w:t xml:space="preserve">. В запросе указываются идентификатор датасета, размер батча, число эпох, скорость обучения, параметры аугментации данных, тип предобработки и параметры квантования весов. Сценарий обучения выбирается не отдельным переключателем, а набором этих параметров.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Перед постановкой задачи выполняется валидация запроса: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проверяется существование модели и датасета, а также наличие размеченных данных в датасете;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проверяется соответствие перечня устройств учёта, закреплённых за выходами модели, устройствам, представленным в датасете;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проверяется тип фазы модели (однофазная либо трёхфазная сеть);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проверяется корректность параметров аугментации (задаются парой: процент шума и число синтетических выборок) и диапазон числа эпох и размера батча.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После успешной валидации создаётся задача типа training и запускается её выполнение в очереди задач. Пайплайн обучения выполняет: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извлечение размеченных данных датасета и их декодирование;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построение цепочки предобработки данных автоматически по типу модели и параметрам запроса: аугментация шумом, скользящее окно (если длина фрагмента в датасете превышает длину сигнала модели), разделение фаз, FFT или STFT, прямое представление;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обучение модели с контролем прогресса по эпохам и батчам; по итогам каждой эпохи сохраняются контрольные точки, обеспечивающие приостановку и возобновление обучения;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квантование весов при включённом параметре (QAT, 4 или 8 бит, симметричное квантование) и учёт маски прунинга, если она задана в метаданных модели;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сохранение обученной модели в формате H5 в объектном хранилище и создание метаданных новой модели с именем, заданным параметром trained_model_name (если имя не задано, используется имя исходной модели с новой версией);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запись в метаданные новой модели параметров обучения, конфигурации, привязки выходов модели к устройствам учёта и перечня идентификаторов созданных моделей;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сохранение статуса задачи, промежуточного результата и итогового результата в базе данных.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Обучение выполняется в контейнере исполнения задач с ограничением доступной памяти; при исчерпании памяти задача завершается с ошибкой, информация об ошибке сохраняется в результате задачи.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Дополнительно компонент «Об</w:t>
      </w:r>
      <w:r>
        <w:rPr>
          <w:rFonts w:cs="Times New Roman"/>
          <w:iCs w:val="0"/>
          <w:sz w:val="24"/>
        </w:rPr>
        <w:t xml:space="preserve">учение» выполняет автоматический подбор гиперпараметров (задача find-params): по базовой модели формируется популяция конфигураций как произведение значений по осям варьирования гиперпараметров (правила мутации задают путь в конфигурации, способ применения</w:t>
      </w:r>
      <w:r>
        <w:rPr>
          <w:rFonts w:cs="Times New Roman"/>
          <w:iCs w:val="0"/>
          <w:sz w:val="24"/>
        </w:rPr>
        <w:t xml:space="preserve"> значения, число значений по оси, границы и округление), выполняется обучение и тестирование каждой конфигурации, результаты ранжируются и помечаются метками best, normal, discarded, failed. Состав популяции конфигураций выгружается в CSV методом grid.csv.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58" w:name="_Toc233626002"/>
      <w:r/>
      <w:bookmarkStart w:id="59" w:name="_Toc232598812"/>
      <w:r>
        <w:rPr>
          <w:rFonts w:cs="Times New Roman"/>
          <w:b/>
          <w:i w:val="0"/>
          <w:color w:val="auto"/>
          <w:sz w:val="24"/>
          <w:szCs w:val="24"/>
        </w:rPr>
        <w:t xml:space="preserve">3.1.5. Тестирование модели на датасете</w:t>
      </w:r>
      <w:bookmarkEnd w:id="58"/>
      <w:r/>
      <w:bookmarkEnd w:id="59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Тестирование выполняется методом POST /api/ml_models/models/{model_id}/check. В запросе указываются идентиф</w:t>
      </w:r>
      <w:r>
        <w:rPr>
          <w:rFonts w:cs="Times New Roman"/>
          <w:iCs w:val="0"/>
          <w:sz w:val="24"/>
        </w:rPr>
        <w:t xml:space="preserve">икатор датасета с разметкой и порог классификации threshold (от 0 до 1, по умолчанию 0,5). Перед постановкой задачи выполняется та же валидация, что и при обучении: проверяются модель, датасет, наличие размеченных данных, соответствие устройств и тип фазы.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Задача типа model-testing выполняет: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загрузку модели из объектного хранилища (формат H5) и загрузку размеченных данных датасета;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построение пайплайна предобработки в соответствии с конфигурацией модели и выбранным типом предобработки; для фрагментов, длина которых превышает длину сигнала модели, применяется случайное окно;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инференс по всем фрагментам датасета с бинаризацией результатов по порогу threshold;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расчёт точности распознавания, числа обработанных фрагментов и батчей; по каждому выходу модели накапливаются значения истинно положительных, истинно отрицательных, ложно положительных и ложно отрицательных результатов;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формирование те</w:t>
      </w:r>
      <w:r>
        <w:rPr>
          <w:rFonts w:cs="Times New Roman"/>
          <w:iCs w:val="0"/>
          <w:sz w:val="24"/>
        </w:rPr>
        <w:t xml:space="preserve">кстового отчёта о тестировании (порог классификации, точность распознавания, разбивка по классам и по выходам модели, распределение результатов), упаковку отчёта в ZIP-архив вида model-{модель}-{метка времени}.zip и размещение архива в объектном хранилище;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запись истории тестирования в метаданные модели: значение accuracy, идентификатор файла отчёта, идентификатор датасета и время тестирования;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сохранение в результате задачи идентификаторов моделей, значений accuracy, идентификаторов и имён файлов отчётов и счётчиков ошибок по каждому выходу. (Согласно ЧТЗ п. 4.1.2.4.4, 4.1.2.5.3)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Поддерживается проверка нескольких моделей одной задачей: перечень и параметры проверяемых моделей задаются при постановке задачи.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60" w:name="_Toc233626003"/>
      <w:r/>
      <w:bookmarkStart w:id="61" w:name="_Toc232598813"/>
      <w:r>
        <w:rPr>
          <w:rFonts w:cs="Times New Roman"/>
          <w:b/>
          <w:i w:val="0"/>
          <w:color w:val="auto"/>
          <w:sz w:val="24"/>
          <w:szCs w:val="24"/>
        </w:rPr>
        <w:t xml:space="preserve">3.1.6. Идентификация нагрузки (инференс)</w:t>
      </w:r>
      <w:bookmarkEnd w:id="60"/>
      <w:r/>
      <w:bookmarkEnd w:id="61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Идентификация выполняется по данным, тип нагрузки которых неизвестен, и выполняется двумя методами: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POST /api/ml_models/models/{model_id}/inference – асинхронный инференс по датасету. В запросе указываются идентификатор датасета и порог threshold. Задача типа inference загружает модель, выполняет предобработку данных той же цепочкой, что и пр</w:t>
      </w:r>
      <w:r>
        <w:rPr>
          <w:rFonts w:cs="Times New Roman"/>
          <w:iCs w:val="0"/>
          <w:sz w:val="24"/>
        </w:rPr>
        <w:t xml:space="preserve">и тестировании, рассчитывает уверенность по каждому выходу модели и для значений не ниже порога записывает результаты в таблицу предсказаний: идентификатор фрагмента данных, идентификатор модели, идентификатор датасета, идентификатор задачи, номер выхода м</w:t>
      </w:r>
      <w:r>
        <w:rPr>
          <w:rFonts w:cs="Times New Roman"/>
          <w:iCs w:val="0"/>
          <w:sz w:val="24"/>
        </w:rPr>
        <w:t xml:space="preserve">одели, значение уверенности и фаза. По итогам формируется отчёт с распределением результатов по выходам модели и средним значением уверенности; отчёт упаковывается в ZIP-архив вида inference-{модель}-{метка времени}.zip и размещается в объектном хранилище;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POST /api/ml_models/models/{model_id}/inference/single – синхронный инференс по одному фрагменту измерений. В запросе передаются шесть массивов мгновенных значений (U_A_signal, </w:t>
      </w:r>
      <w:r>
        <w:rPr>
          <w:rFonts w:cs="Times New Roman"/>
          <w:iCs w:val="0"/>
          <w:sz w:val="24"/>
        </w:rPr>
        <w:t xml:space="preserve">U_B_signal, U_C_signal, I_A_signal, I_B_signal, I_C_signal) в кодировке Base64 с параметрами U_mult, U_dev, I_mult, I_dev, byte_order, signal_bytes и порог threshold. Метод возвращает список результатов по выходам модели; каждый результат содержит фазу под</w:t>
      </w:r>
      <w:r>
        <w:rPr>
          <w:rFonts w:cs="Times New Roman"/>
          <w:iCs w:val="0"/>
          <w:sz w:val="24"/>
        </w:rPr>
        <w:t xml:space="preserve">ключения (ph_n), номер выхода (signal_num), перечень устройств учёта, закреплённых за этим выходом, значение уверенности (confidence) и признак обнаружения нагрузки (detected) при уверенности не ниже порога. Длина всех переданных сигналов должна совпадать.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Метрики достоверности при идентификации не рассчитываются: эталонная разметка в этом пайплайне не используется. Качество модели оценивается отдельно – тестированием на размеченном датасете (п. 3.1.5).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Требование ЧТЗ п. 4.1.2.4.3 к режиму «Идентификация.Эксплуатация» (компактная ИНС, загружаемая в модуль искусствен</w:t>
      </w:r>
      <w:r>
        <w:rPr>
          <w:rFonts w:cs="Times New Roman"/>
          <w:iCs w:val="0"/>
          <w:sz w:val="24"/>
        </w:rPr>
        <w:t xml:space="preserve">ного интеллекта в составе прибора учёта) реализуется в границах ПК ОТН в части подготовки модели: по результатам обучения модель экспортируется в формат ONNX (GET /api/ml_models/models/{model_id}/download_onnx) и передаётся Индустриальному партнёру для раз</w:t>
      </w:r>
      <w:r>
        <w:rPr>
          <w:rFonts w:cs="Times New Roman"/>
          <w:iCs w:val="0"/>
          <w:sz w:val="24"/>
        </w:rPr>
        <w:t xml:space="preserve">мещения во встраиваемой части программного обеспечения. Сжатие модели (пайплайн сжиматора) и загрузка её в модуль искусственного интеллекта в составе прибора учёта выполняются вне границ ПК ОТН в соответствии с ЧТЗ п. 4.1.2.4.6. (Согласно ЧТЗ п. 4.1.2.4.3)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62" w:name="_Toc233626004"/>
      <w:r/>
      <w:bookmarkStart w:id="63" w:name="_Toc232598814"/>
      <w:r>
        <w:rPr>
          <w:rFonts w:cs="Times New Roman"/>
          <w:b/>
          <w:i w:val="0"/>
          <w:color w:val="auto"/>
          <w:sz w:val="24"/>
          <w:szCs w:val="24"/>
        </w:rPr>
        <w:t xml:space="preserve">3.1.7. Выгрузка и предоставление результатов</w:t>
      </w:r>
      <w:bookmarkEnd w:id="62"/>
      <w:r/>
      <w:bookmarkEnd w:id="63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Через REST API пользователь или внешняя система получает: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обученные модели: файл модели в формате H5 по идентификатору файла (GET /api/data/file/{file_id}/download) и экспорт модели в формате ONNX (GET /api/ml_models/models/{model_id}/download_onnx); (Согласно ЧТЗ п. 4.1.2.6.1)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свойства модели и её метрики (GET /api/ml_models/models/{model_id});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отчёты о тестировании модели: архив отчёта и сведения о нём доступны по данным задачи тестирования (GET /api/tasks/{task_id}), в состав результата задачи включены значение accuracy и идентификаторы файлов отчётов;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результаты идентификации: записи таблицы предсказаний (идентификатор фрагмента данных, модель, датасет, задача, номер выхода, уверенность, фаза) и архив отчёта инференса; ссылки на архивы входят в результат соответствующей задачи;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метаданные файлов, датасетов, моделей и задач в формате JSON.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Передача информации внешним системам выполняется через сервис-шлюз при обращении внешней системы к методам комплекса.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64" w:name="_Toc233626005"/>
      <w:r/>
      <w:bookmarkStart w:id="65" w:name="_Toc232598815"/>
      <w:r>
        <w:rPr>
          <w:rFonts w:cs="Times New Roman"/>
          <w:b/>
          <w:i w:val="0"/>
          <w:color w:val="auto"/>
          <w:sz w:val="24"/>
          <w:szCs w:val="24"/>
        </w:rPr>
        <w:t xml:space="preserve">3.1.8. Обновление модели</w:t>
      </w:r>
      <w:bookmarkEnd w:id="64"/>
      <w:r/>
      <w:bookmarkEnd w:id="65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Обновление модели выполняется как обучение новой модели на новом датасете. Инженер проекта указывает исходную модель (её конфигурация используется как основа), выбирает датасет и запускает обучение. Последовательность операций: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выполняется обучение на выбранном датасете; при этом исходная модель загружается из хранилища только для продолжения обучения на её весах;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по завершении обучения создаются метаданные новой модели с новой версией вида {архитектура}.{hex8}; имя новой модели задаётся параметром запроса, при отсутствии параметра формируется автоматически;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исходная модель сохраняется в хранилище без изменений: обе версии доступны одновременно и различаются значением version;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сравнение качества выполняется по метрикам, полученным тестированием обеих моделей на одном и том же датасете (п. 3.1.5); значения accuracy сохраняются в истории тестирования метаданных каждой модели.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color w:val="ee0000"/>
        </w:rPr>
      </w:pPr>
      <w:r>
        <w:rPr>
          <w:rFonts w:cs="Times New Roman"/>
          <w:iCs w:val="0"/>
          <w:sz w:val="24"/>
        </w:rPr>
        <w:t xml:space="preserve">Таким образом, дообучение не изменяет существующую модель и не требует её предварительного копирования: результатом является самостоятельная модель с собственной версией и собственной историей тестирования.</w:t>
      </w:r>
      <w:r>
        <w:rPr>
          <w:rFonts w:cs="Times New Roman"/>
          <w:bCs w:val="0"/>
          <w:iCs w:val="0"/>
          <w:color w:val="ee0000"/>
        </w:rPr>
      </w:r>
      <w:r>
        <w:rPr>
          <w:rFonts w:cs="Times New Roman"/>
          <w:bCs w:val="0"/>
          <w:iCs w:val="0"/>
          <w:color w:val="ee000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66" w:name="_Toc233626006"/>
      <w:r/>
      <w:bookmarkStart w:id="67" w:name="_Toc232598816"/>
      <w:r>
        <w:rPr>
          <w:rFonts w:cs="Times New Roman"/>
          <w:b/>
          <w:i w:val="0"/>
          <w:color w:val="auto"/>
          <w:sz w:val="24"/>
          <w:szCs w:val="24"/>
        </w:rPr>
        <w:t xml:space="preserve">3.1.9. Управление задачами</w:t>
      </w:r>
      <w:bookmarkEnd w:id="66"/>
      <w:r/>
      <w:bookmarkEnd w:id="67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Все длительные операции выполняются асинхронно и управляются через REST API. Пользователь имеет возможность: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получать список задач с фильтрацией по типу задачи, статусу и датам создания, с постраничной выдачей (limit от 1 до 1000, по умолчанию 100; offset от 0);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получать сведения о задаче и всех её запусках (GET /api/tasks/{task_id});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приостанавливать выполнение задачи (POST /api/tasks/{task_id}/pause), возобновлять (POST /api/tasks/{task_id}/resume) и аварийно прерывать его (POST /api/tasks/{task_id}/interrupt).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Задача может находиться в одном из следующих состояний: new (создана), running (выполняется), pausing (запрошена приостановка, ожидается подтверждение исполняющего процесса), paused (приостановлена), completed (завершена ус</w:t>
      </w:r>
      <w:r>
        <w:rPr>
          <w:rFonts w:cs="Times New Roman"/>
          <w:iCs w:val="0"/>
          <w:sz w:val="24"/>
        </w:rPr>
        <w:t xml:space="preserve">пешно), interrupted (аварийно прервана), failed (завершена с ошибкой), not_found (запуск не найден). Приостановка выполняется с подтверждением со стороны исполняющего процесса; данные о задачах и их запусках хранятся в PostgreSQL и доступны через REST API.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Типы задач: celery-test (проверка работо</w:t>
      </w:r>
      <w:r>
        <w:rPr>
          <w:rFonts w:cs="Times New Roman"/>
          <w:iCs w:val="0"/>
          <w:sz w:val="24"/>
        </w:rPr>
        <w:t xml:space="preserve">способности очереди), dataset-fill (формирование датасета), training (обучение), model-testing (тестирование модели), find-params (подбор гиперпараметров), inference (идентификация нагрузки). Имя задачи уникально; повторное использование имени отклоняется.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68" w:name="_Toc233626007"/>
      <w:r/>
      <w:bookmarkStart w:id="69" w:name="_Toc232598817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3.2. Используемые методы</w:t>
      </w:r>
      <w:bookmarkEnd w:id="68"/>
      <w:r/>
      <w:bookmarkEnd w:id="69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70" w:name="_Toc233626008"/>
      <w:r/>
      <w:bookmarkStart w:id="71" w:name="_Toc232598818"/>
      <w:r>
        <w:rPr>
          <w:rFonts w:cs="Times New Roman"/>
          <w:b/>
          <w:i w:val="0"/>
          <w:color w:val="auto"/>
          <w:sz w:val="24"/>
          <w:szCs w:val="24"/>
        </w:rPr>
        <w:t xml:space="preserve">3.2.1. REST API</w:t>
      </w:r>
      <w:bookmarkEnd w:id="70"/>
      <w:r/>
      <w:bookmarkEnd w:id="71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Единой точкой входа для клиентов служит REST API сервера приложений; сервис-шлюз принимает запросы внешних систем и передаёт их в сервер приложений. API организовано по функциональным группам и документируется авт</w:t>
      </w:r>
      <w:r>
        <w:rPr>
          <w:rFonts w:cs="Times New Roman"/>
          <w:iCs w:val="0"/>
          <w:sz w:val="24"/>
        </w:rPr>
        <w:t xml:space="preserve">оматически средствами FastAPI по спецификации OpenAPI 3.1.0 (ЧТЗ п. 4.5.3.3). Для методов обучения, тестирования, идентификации и управления моделями реализованы методы REST API (ЧТЗ п. 4.1.2.1.7). Перечень методов ведётся в Руководстве программиста (РП2).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Методы сервера приложений: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состояние сервиса и сведения о сборке: GET /health, GET /version;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Примечание. Метод GET /version возвращает содержимое файла version.json из базового каталога приложения: наименовани</w:t>
      </w:r>
      <w:r>
        <w:rPr>
          <w:rFonts w:cs="Times New Roman"/>
          <w:iCs w:val="0"/>
          <w:sz w:val="24"/>
        </w:rPr>
        <w:t xml:space="preserve">е ветви (branch), сокращённую и полную ревизию (revision, commit), сообщение коммита (message), автора и адрес его электронной почты (author, email), дату и время сборки (build_date) в формате ISO 8601. Файл формируется на этапе сборки образа: скрипт scrip</w:t>
      </w:r>
      <w:r>
        <w:rPr>
          <w:rFonts w:cs="Times New Roman"/>
          <w:iCs w:val="0"/>
          <w:sz w:val="24"/>
        </w:rPr>
        <w:t xml:space="preserve">ts/energomera.sh (операции start, update, ci-deploy) получает сведения о сборке средствами git и включает version.json в образ приложения (конвейер сборки может быть любым); в репозитории файл отсутствует – после сборки временный файл удаляется. Если файл </w:t>
      </w:r>
      <w:r>
        <w:rPr>
          <w:rFonts w:cs="Times New Roman"/>
          <w:iCs w:val="0"/>
          <w:sz w:val="24"/>
        </w:rPr>
        <w:t xml:space="preserve">недоступен, метод возвращает JSON {"error": "Файл version.json не найден"}; при ошибке чтения или разбора содержимого – JSON {"error": "Не удалось прочитать version.json"}. В обоих случаях код ответа – 200 (метод объявлен с постоянным кодом успешного ответ</w:t>
      </w:r>
      <w:r>
        <w:rPr>
          <w:rFonts w:cs="Times New Roman"/>
          <w:iCs w:val="0"/>
          <w:sz w:val="24"/>
        </w:rPr>
        <w:t xml:space="preserve">а), поэтому факт отсутствия файла проверяется по телу ответа. Отсутствие файла в развёрнутом экземпляре свидетельствует о нарушении технологии сборки: штатный конвейер сборки формирует файл всегда, ответственность за его формирование несёт конвейер сборки.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файлы: POST /api/data/file (загрузка файла с указанием типа RAW или LOADS), GET /api/data/files (перечень с фильтрацией), GET /api/data/file/{file_id}/download (скачивание файла);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Примечание. Метод DELETE /api/{file_id} удаляет файл и его метаданные по идентификатору из общего реестра файлов (file_metadata) и применим к файлу любого назначения – данным измерений и разметке (RAW, LOADS), модели </w:t>
      </w:r>
      <w:r>
        <w:rPr>
          <w:rFonts w:cs="Times New Roman"/>
          <w:iCs w:val="0"/>
          <w:sz w:val="24"/>
        </w:rPr>
        <w:t xml:space="preserve">(H5), архиву отчёта (ZIP), поэтому путь метода не содержит сегмента /data/. Удаление модели вместе с метаданными и привязкой выходов выполняется методом DELETE /api/ml_models/models/{model_id}, удаление датасета – методом DELETE /api/datasets/{dataset_id}.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датасе</w:t>
      </w:r>
      <w:r>
        <w:rPr>
          <w:rFonts w:cs="Times New Roman"/>
          <w:iCs w:val="0"/>
          <w:sz w:val="24"/>
        </w:rPr>
        <w:t xml:space="preserve">ты: POST /api/datasets/, GET /api/datasets/, GET /api/datasets/{dataset_id}, PUT /api/datasets/{dataset_id}, DELETE /api/datasets/{dataset_id} (каскадное удаление данных датасета), POST /api/datasets/fill/{dataset_id} (заполнение датасета, код ответа 202);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справочник нагрузок: GET /api/loads/list, POST /api/loads, PUT /api/loads/{load_id};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модели: POST /api/ml_models/models, POST /api/ml_models/models/upload (загрузка готовой модели с метаданными), GET /api/ml_models/models (фильтры: идентификатор, архитектура, версия, имя, тип фазы, числ</w:t>
      </w:r>
      <w:r>
        <w:rPr>
          <w:rFonts w:cs="Times New Roman"/>
          <w:iCs w:val="0"/>
          <w:sz w:val="24"/>
        </w:rPr>
        <w:t xml:space="preserve">о выходов, идентификатор устройства), GET /api/ml_models/models/{model_id}, DELETE /api/ml_models/models/{model_id}, GET /api/ml_models/architectures (перечень поддерживаемых архитектур), GET /api/ml_models/models/{model_id}/download_onnx (экспорт в ONNX);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обучение: POST /api/ml_models/models/{model_id}/train;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тестирование: POST /api/ml_models/models/{model_id}/check (код ответа 202);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идентификация: POST /api/ml_models/models/{model_id}/inference (код ответа 202), POST /api/ml_models/models/{model_id}/inference/single;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подбор гиперпараметров: POST /api/ml_models/models/{model_id}/find_params/population (создание попу</w:t>
      </w:r>
      <w:r>
        <w:rPr>
          <w:rFonts w:cs="Times New Roman"/>
          <w:iCs w:val="0"/>
          <w:sz w:val="24"/>
        </w:rPr>
        <w:t xml:space="preserve">ляции по базовой модели), POST /api/ml_models/find_params/population/{population_id}/selection (запуск итерации отбора, код ответа 202), DELETE /api/ml_models/find_params/population/{population_id}, GET /api/ml_models/find_params/population, GET /api/ml_mo</w:t>
      </w:r>
      <w:r>
        <w:rPr>
          <w:rFonts w:cs="Times New Roman"/>
          <w:iCs w:val="0"/>
          <w:sz w:val="24"/>
        </w:rPr>
        <w:t xml:space="preserve">dels/find_params/population/{population_id}, GET /api/ml_models/find_params/population/{population_id}/mutated_models, GET /api/ml_models/find_params/population/{population_id}/selections, GET /api/ml_models/find_params/population/{population_id}/grid.csv;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задачи: POST /api/tasks/test (проверка очереди задач), GET /api/tasks/ (перечень с фильтрами и пагинацией), GET /api/tasks/{task_id}, POST /api/tasks/{task_id}/pause, POST /api/tasks/{task_id}/resume, POST /api/tasks/{task_id}/interrupt.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Методы сервиса-шлюза: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аутентификация: POST /api/auth/login, POST /api/auth/refresh, POST /api/auth/logout, GET /api/auth/me, GET /api/auth/internal/check-access;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администрирование: POST /api/admin/register, GET /api/admin/users, GET</w:t>
      </w:r>
      <w:r>
        <w:rPr>
          <w:rFonts w:cs="Times New Roman"/>
          <w:iCs w:val="0"/>
          <w:sz w:val="24"/>
        </w:rPr>
        <w:t xml:space="preserve"> /api/admin/users/{username}, PUT /api/admin/users/{username}/role, PUT /api/admin/users/{username}/status, PUT /api/admin/users/{username}/kick, DELETE /api/admin/users/{username}, GET /api/admin/roles/permissions, PUT /api/admin/roles/{role}/permissions;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приём запросов внешних систем к серверу приложений: маршруты с префиксом /api (кроме /api/auth и /api/admin) проксируются в сервер приложений после проверки прав.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Формат ответов: успешные ответы методов, возвращающих данные, – JSON; методы скачивания файлов и экспорта модели возвращают бинарный поток; метод удаления файла возвращает JSON с сообщением, идентификатором файла</w:t>
      </w:r>
      <w:r>
        <w:rPr>
          <w:rFonts w:cs="Times New Roman"/>
          <w:iCs w:val="0"/>
          <w:sz w:val="24"/>
        </w:rPr>
        <w:t xml:space="preserve"> и признаком успеха; методы постановки задач возвращают идентификатор задачи и статус постановки. Ответы сервиса-шлюза имеют единый вид: успешный ответ – {"data": &lt;ответ сервера приложений&gt;}, ответ с ошибкой – {"error": &lt;код&gt;, "errorMessage": &lt;сообщение&gt;}.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72" w:name="_Toc233626009"/>
      <w:r/>
      <w:bookmarkStart w:id="73" w:name="_Toc232598819"/>
      <w:r>
        <w:rPr>
          <w:rFonts w:cs="Times New Roman"/>
          <w:b/>
          <w:i w:val="0"/>
          <w:color w:val="auto"/>
          <w:sz w:val="24"/>
          <w:szCs w:val="24"/>
        </w:rPr>
        <w:t xml:space="preserve">3.2.2. Очередь задач</w:t>
      </w:r>
      <w:bookmarkEnd w:id="72"/>
      <w:r/>
      <w:bookmarkEnd w:id="73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Асинхронное исполнение длительных операций обе</w:t>
      </w:r>
      <w:r>
        <w:rPr>
          <w:rFonts w:cs="Times New Roman"/>
          <w:iCs w:val="0"/>
          <w:sz w:val="24"/>
        </w:rPr>
        <w:t xml:space="preserve">спечивает диспетчер задач: формирование датасетов, обучение, тестирование, идентификация, подбор гиперпараметров. Сервер приложений создаёт задачу и её запуск по API и возвращает идентификатор задачи; исполнение выполняет отдельный контейнер очереди задач.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Задачи создаются профильными методами (train, check, inference, fill, find_params) и тестовым </w:t>
      </w:r>
      <w:r>
        <w:rPr>
          <w:rFonts w:cs="Times New Roman"/>
          <w:iCs w:val="0"/>
          <w:sz w:val="24"/>
        </w:rPr>
        <w:t xml:space="preserve">методом POST /api/tasks/test; метода создания задачи произвольного вида нет. Задача и её запуски хранятся в таблицах celery_tasks и celery_task_runtimes; в запуске фиксируются параметры, статус, время начала и окончания, промежуточный и итоговый результат.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очереди: </w:t>
      </w:r>
      <w:r>
        <w:rPr>
          <w:rFonts w:cs="Times New Roman"/>
          <w:iCs w:val="0"/>
          <w:sz w:val="24"/>
        </w:rPr>
        <w:t xml:space="preserve">брокер сообщений – Redis (база 0), хранилище результатов – Redis (база 1), сериализация задач и результатов – JSON, срок жизни результатов – 86400 с, отслеживание начала выполнения включено, часовой пояс UTC. Мониторинг очереди выполняется сервисом Flower.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74" w:name="_Toc233626010"/>
      <w:r/>
      <w:bookmarkStart w:id="75" w:name="_Toc232598820"/>
      <w:r>
        <w:rPr>
          <w:rFonts w:cs="Times New Roman"/>
          <w:b/>
          <w:i w:val="0"/>
          <w:color w:val="auto"/>
          <w:sz w:val="24"/>
          <w:szCs w:val="24"/>
        </w:rPr>
        <w:t xml:space="preserve">3.2.3. Хранилище данных</w:t>
      </w:r>
      <w:bookmarkEnd w:id="74"/>
      <w:r/>
      <w:bookmarkEnd w:id="75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Компонент «Хранилище» обеспечивает хранение массивов мгновенных значений тока и напряжения, метаданных, датасетов с разметкой, предобработанных наборов данных, обученных моделей, результатов идентификации и отчётов. Хранение организовано на двух уровнях: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PostgreSQL: метаданные файлов (file_metadata), датасеты (datasets), декодированные данные измерений (ra</w:t>
      </w:r>
      <w:r>
        <w:rPr>
          <w:rFonts w:cs="Times New Roman"/>
          <w:iCs w:val="0"/>
          <w:sz w:val="24"/>
        </w:rPr>
        <w:t xml:space="preserve">w_data), разметка (data_markup), предобработанные данные (preprocessed_data), справочник нагрузок (load_devices), метаданные моделей и привязка выходов моделей к устройствам учёта (model_metadata, model_metadata_signals), результаты идентификации (predicti</w:t>
      </w:r>
      <w:r>
        <w:rPr>
          <w:rFonts w:cs="Times New Roman"/>
          <w:iCs w:val="0"/>
          <w:sz w:val="24"/>
        </w:rPr>
        <w:t xml:space="preserve">ons), задачи и их запуски (celery_tasks, celery_task_runtimes), популяции и результаты подбора гиперпараметров (find_params_population, find_params_mutated_models, find_params_selection); учётные записи и права доступа хранятся в базе данных сервиса-шлюза;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MinIO: исходные CSV-файлы данных и разметки, файлы обученных и загруженных моделей в формате H5, архивы отчётов о тестировании (model-{модель}-{метка времени}.zip) и об идентификации (inference-{модель}-{метка времени}.zip).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Ключи объектов в хранилище формируются по типу файла и дате загрузки: {тип}/{год}/{месяц}/{день}/{имя}. Файлы моделей именуются как {имя модели}_{версия}. Отдельные результаты идентификации хранятся в таблице predictions, сводные – в архиве отчёта.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Примечание. Комплекс предоставляет средства хранения данных (СУБД PostgreSQL, объектное хранилище MinIO) и методы управления отдельными объектами: удаление файла методом DELETE /api/{file_id} с удалени</w:t>
      </w:r>
      <w:r>
        <w:rPr>
          <w:rFonts w:cs="Times New Roman"/>
          <w:iCs w:val="0"/>
          <w:sz w:val="24"/>
        </w:rPr>
        <w:t xml:space="preserve">ем объекта из объектного хранилища, каскадное удаление датасета, удаление модели. Автоматическая очистка объектного хранилища по срокам хранения, версионирование объектов и правила архивирования программными средствами комплекса не выполняются: политика хр</w:t>
      </w:r>
      <w:r>
        <w:rPr>
          <w:rFonts w:cs="Times New Roman"/>
          <w:iCs w:val="0"/>
          <w:sz w:val="24"/>
        </w:rPr>
        <w:t xml:space="preserve">анения данных и жизненного цикла объектов определяется правилами эксплуатации эксплуатирующей организации и реализуется штатными средствами PostgreSQL, MinIO и Docker. Резервное копирование и восстановление данных также выполняются штатными средствами окру</w:t>
      </w:r>
      <w:r>
        <w:rPr>
          <w:rFonts w:cs="Times New Roman"/>
          <w:iCs w:val="0"/>
          <w:sz w:val="24"/>
        </w:rPr>
        <w:t xml:space="preserve">жения (выгрузка базы данных средствами PostgreSQL, копирование томов данных, выгрузка объектов объектного хранилища средствами S3); порядок резервного копирования, восстановления и уничтожения данных приведён в Руководстве системного программиста (п. 3.5).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76" w:name="_Toc233626011"/>
      <w:r/>
      <w:bookmarkStart w:id="77" w:name="_Toc232598821"/>
      <w:r>
        <w:rPr>
          <w:rFonts w:cs="Times New Roman"/>
          <w:b/>
          <w:i w:val="0"/>
          <w:color w:val="auto"/>
          <w:sz w:val="24"/>
          <w:szCs w:val="24"/>
        </w:rPr>
        <w:t xml:space="preserve">3.2.4. Загрузчик профиля</w:t>
      </w:r>
      <w:bookmarkEnd w:id="76"/>
      <w:r/>
      <w:bookmarkEnd w:id="77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Пайплайн «Загрузчик профиля» выполняет приём исходных данных и разметки, их валидацию и сохранение, а также формирование датасетов. Входные данные: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файл данных (тип RAW) – CSV с разделителем «;» в кодировке UTF-8, содержащий обязат</w:t>
      </w:r>
      <w:r>
        <w:rPr>
          <w:rFonts w:cs="Times New Roman"/>
          <w:iCs w:val="0"/>
          <w:sz w:val="24"/>
        </w:rPr>
        <w:t xml:space="preserve">ельные поля: chunkID (идентификатор фрагмента), timestamp (метка времени в UTC), действующие значения напряжения U_A_rms, U_B_rms, U_C_rms и тока I_A_rms, I_B_rms, I_C_rms, частоту дискретизации sample_rate, длину сигнала signal_length, маску каналов chann</w:t>
      </w:r>
      <w:r>
        <w:rPr>
          <w:rFonts w:cs="Times New Roman"/>
          <w:iCs w:val="0"/>
          <w:sz w:val="24"/>
        </w:rPr>
        <w:t xml:space="preserve">el_mask, число байт на отсчёт signal_bytes, порядок байт byte_order, способ кодирования coding, коэффициенты пересчёта U_mult, U_dev, I_mult, I_dev и шесть массивов мгновенных значений U_A_signal, U_B_signal, U_C_signal, I_A_signal, I_B_signal, I_C_signal;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файл разметки (тип LOADS) – CSV с обязательными полями markupID, chunkID, LoadID, ph_n, category.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Оба типа файлов проходят проверку расширения (.csv), тип</w:t>
      </w:r>
      <w:r>
        <w:rPr>
          <w:rFonts w:cs="Times New Roman"/>
          <w:iCs w:val="0"/>
          <w:sz w:val="24"/>
        </w:rPr>
        <w:t xml:space="preserve">а содержимого запроса и обязательных колонок заголовка. Файл размещается в объектном хранилище, метаданные файла – в PostgreSQL. При формировании датасета данные разбираются потоково, массивы мгновенных значений декодируются и записываются в базу данных да</w:t>
      </w:r>
      <w:r>
        <w:rPr>
          <w:rFonts w:cs="Times New Roman"/>
          <w:iCs w:val="0"/>
          <w:sz w:val="24"/>
        </w:rPr>
        <w:t xml:space="preserve">тасета вместе с разметкой; разметка связывается с данными по идентификатору фрагмента (chunkID), а нагрузки – со справочником нагрузок. Описание параметров измерений и методика их получения приведены в п. 6.1 и п. 6.4. (Согласно ЧТЗ п. 4.1.2.3.2–4.1.2.3.6)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78" w:name="_Toc233626012"/>
      <w:r/>
      <w:bookmarkStart w:id="79" w:name="_Toc232598822"/>
      <w:r>
        <w:rPr>
          <w:rFonts w:cs="Times New Roman"/>
          <w:b/>
          <w:i w:val="0"/>
          <w:color w:val="auto"/>
          <w:sz w:val="24"/>
          <w:szCs w:val="24"/>
        </w:rPr>
        <w:t xml:space="preserve">3.2.5. Формирование датасетов</w:t>
      </w:r>
      <w:bookmarkEnd w:id="78"/>
      <w:r/>
      <w:bookmarkEnd w:id="79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/>
          <w:i/>
        </w:rPr>
      </w:pPr>
      <w:r>
        <w:rPr>
          <w:rFonts w:cs="Times New Roman"/>
          <w:iCs w:val="0"/>
          <w:sz w:val="24"/>
        </w:rPr>
        <w:t xml:space="preserve">Датасет – име</w:t>
      </w:r>
      <w:r>
        <w:rPr>
          <w:rFonts w:cs="Times New Roman"/>
          <w:iCs w:val="0"/>
          <w:sz w:val="24"/>
        </w:rPr>
        <w:t xml:space="preserve">нованная совокупность данных датасета и связанной с ней разметки, создаваемая пользователем и заполняемая из ранее загруженных файлов. Датасет хранит идентификатор, дату создания, имя, описание и тип трансформации; версионирование датасетов не выполняется.</w:t>
      </w:r>
      <w:r>
        <w:rPr>
          <w:rFonts w:cs="Times New Roman"/>
          <w:b/>
          <w:i/>
        </w:rPr>
      </w:r>
      <w:r>
        <w:rPr>
          <w:rFonts w:cs="Times New Roman"/>
          <w:b/>
          <w:i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/>
          <w:i/>
        </w:rPr>
      </w:pPr>
      <w:r>
        <w:rPr>
          <w:rFonts w:cs="Times New Roman"/>
          <w:iCs w:val="0"/>
          <w:sz w:val="24"/>
        </w:rPr>
        <w:t xml:space="preserve">Заполнение датасета выполняется асинхронной задачей: файлы данных разбираются и записываются в raw_data, файлы разметки – в data_markup с сопоставлением по chunkID. Тип трансформации определяет способ обработки данных п</w:t>
      </w:r>
      <w:r>
        <w:rPr>
          <w:rFonts w:cs="Times New Roman"/>
          <w:iCs w:val="0"/>
          <w:sz w:val="24"/>
        </w:rPr>
        <w:t xml:space="preserve">ри заполнении; поддерживается тип direct_fill (прямое заполнение с преобразованием массивов мгновенных значений из текстового представления). Если тип переданного файла не соответствует ожидаемому для выбранного типа датасета, задача завершается с ошибкой.</w:t>
      </w:r>
      <w:r>
        <w:rPr>
          <w:rFonts w:cs="Times New Roman"/>
          <w:b/>
          <w:i/>
        </w:rPr>
      </w:r>
      <w:r>
        <w:rPr>
          <w:rFonts w:cs="Times New Roman"/>
          <w:b/>
          <w:i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/>
          <w:i/>
        </w:rPr>
      </w:pPr>
      <w:r>
        <w:rPr>
          <w:rFonts w:cs="Times New Roman"/>
          <w:iCs w:val="0"/>
          <w:sz w:val="24"/>
        </w:rPr>
        <w:t xml:space="preserve">Задачу заполнения можно приостановить и возобновить: при возобновлении разбор продолжается с последней обработанной строки. Удаление датасета выполняется каскадно: удаляются разметка, данные измерений и сам датасет.</w:t>
      </w:r>
      <w:r>
        <w:rPr>
          <w:rFonts w:cs="Times New Roman"/>
          <w:b/>
          <w:i/>
        </w:rPr>
      </w:r>
      <w:r>
        <w:rPr>
          <w:rFonts w:cs="Times New Roman"/>
          <w:b/>
          <w:i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80" w:name="_Toc233626013"/>
      <w:r/>
      <w:bookmarkStart w:id="81" w:name="_Toc232598823"/>
      <w:r>
        <w:rPr>
          <w:rFonts w:cs="Times New Roman"/>
          <w:b/>
          <w:i w:val="0"/>
          <w:color w:val="auto"/>
          <w:sz w:val="24"/>
          <w:szCs w:val="24"/>
        </w:rPr>
        <w:t xml:space="preserve">3.2.6. Обучение моделей</w:t>
      </w:r>
      <w:bookmarkEnd w:id="80"/>
      <w:r/>
      <w:bookmarkEnd w:id="81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Обучение выполняется через вызов REST API; в запросе указываются идентификатор модели, идентификатор датасета и параметры обучения: размер батча (по умолчанию 32, от 1</w:t>
      </w:r>
      <w:r>
        <w:rPr>
          <w:rFonts w:cs="Times New Roman"/>
          <w:iCs w:val="0"/>
          <w:sz w:val="24"/>
        </w:rPr>
        <w:t xml:space="preserve"> до 256), число эпох (по умолчанию 50, от 1 до 1000), скорость обучения (по умолчанию 1e-7), параметры аугментации данных (процент шума и число синтетических выборок), тип предобработки и параметры квантования весов (4 или 8 бит, симметричное квантование).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Тип предобработки данных задаётся параметром preprocessing_converter: direct (прямое представление), fft (преобр</w:t>
      </w:r>
      <w:r>
        <w:rPr>
          <w:rFonts w:cs="Times New Roman"/>
          <w:iCs w:val="0"/>
          <w:sz w:val="24"/>
        </w:rPr>
        <w:t xml:space="preserve">азование Фурье), stft (кратковременное преобразование Фурье). Дополнительно пайплайн автоматически включает разделение трёхфазного сигнала на однофазный, скользящее окно при длине фрагмента в датасете больше длины сигнала модели и аугментацию данных шумом.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Поддерживаемые архитектуры ML-моделей: cnn_1d (одномерная свёрточная нейронная сеть), mlp (многослойный перцептрон), fft_mlp (перцептрон по спектру FFT), stft_mlp (перцептрон по </w:t>
      </w:r>
      <w:r>
        <w:rPr>
          <w:rFonts w:cs="Times New Roman"/>
          <w:iCs w:val="0"/>
          <w:sz w:val="24"/>
        </w:rPr>
        <w:t xml:space="preserve">спектрограмме STFT), transformer (трансформер). Тип фазы модели – однофазная (single) либо трёхфазная (three); число выходов модели задаётся при создании и определяет число идентифицируемых нагрузок, за каждым выходом закрепляется перечень устройств учёта.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Автоматически строится предобработка и аугментация, соответствую</w:t>
      </w:r>
      <w:r>
        <w:rPr>
          <w:rFonts w:cs="Times New Roman"/>
          <w:iCs w:val="0"/>
          <w:sz w:val="24"/>
        </w:rPr>
        <w:t xml:space="preserve">щие архитектуре; результатом задачи является новая модель в формате H5 с метаданными, содержащими параметры обучения, конфигурацию и привязку выходов к устройствам. Подбор гиперпараметров выполняется задачей find-params: популяция конфигураций формируется </w:t>
      </w:r>
      <w:r>
        <w:rPr>
          <w:rFonts w:cs="Times New Roman"/>
          <w:iCs w:val="0"/>
          <w:sz w:val="24"/>
        </w:rPr>
        <w:t xml:space="preserve">как произведение значений по осям варьирования гиперпараметров, для каждой конфигурации выполняется обучение и тестирование, результаты ранжируются и помечаются метками (best, normal, discarded, failed), состав популяции выгружается в CSV методом grid.csv.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82" w:name="_Toc233626014"/>
      <w:r/>
      <w:bookmarkStart w:id="83" w:name="_Toc232598824"/>
      <w:r>
        <w:rPr>
          <w:rFonts w:cs="Times New Roman"/>
          <w:b/>
          <w:i w:val="0"/>
          <w:color w:val="auto"/>
          <w:sz w:val="24"/>
          <w:szCs w:val="24"/>
        </w:rPr>
        <w:t xml:space="preserve">3.2.7. Тестирование и инференс</w:t>
      </w:r>
      <w:bookmarkEnd w:id="82"/>
      <w:r/>
      <w:bookmarkEnd w:id="83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Тестирование выполняется методом POST /a</w:t>
      </w:r>
      <w:r>
        <w:rPr>
          <w:rFonts w:cs="Times New Roman"/>
          <w:iCs w:val="0"/>
          <w:sz w:val="24"/>
        </w:rPr>
        <w:t xml:space="preserve">pi/ml_models/models/{model_id}/check на размеченном датасете. Метод возвращает идентификатор задачи; результат задачи содержит значения accuracy по каждой проверенной модели, идентификаторы и имена файлов отчётов, а также счётчики ошибок по выходам модели.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Отчёт о тестировании формируется в </w:t>
      </w:r>
      <w:r>
        <w:rPr>
          <w:rFonts w:cs="Times New Roman"/>
          <w:iCs w:val="0"/>
          <w:sz w:val="24"/>
        </w:rPr>
        <w:t xml:space="preserve">текстовом формате (точность распознавания, разбивка по классам и по выходам модели, распределение результатов) и сохраняется в объектном хранилище в составе ZIP-архива; сведения о тестировании (accuracy, идентификатор файла отчёта, идентификатор датасета, </w:t>
      </w:r>
      <w:r>
        <w:rPr>
          <w:rFonts w:cs="Times New Roman"/>
          <w:iCs w:val="0"/>
          <w:sz w:val="24"/>
        </w:rPr>
        <w:t xml:space="preserve">время) добавляются в метаданные модели. Идентификация (инференс) выполняется методами POST /api/ml_models/models/{model_id}/inference и POST /api/ml_models/models/{model_id}/inference/single; результаты сохраняются в таблице предсказаний и в архиве отчёта.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84" w:name="_Toc233626015"/>
      <w:r/>
      <w:bookmarkStart w:id="85" w:name="_Toc232598825"/>
      <w:r>
        <w:rPr>
          <w:rFonts w:cs="Times New Roman"/>
          <w:b/>
          <w:i w:val="0"/>
          <w:color w:val="auto"/>
          <w:sz w:val="24"/>
          <w:szCs w:val="24"/>
        </w:rPr>
        <w:t xml:space="preserve">3.2.8. Выгрузка результатов</w:t>
      </w:r>
      <w:bookmarkEnd w:id="84"/>
      <w:r/>
      <w:bookmarkEnd w:id="85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Выгрузка результатов выполняется следующими методами: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GET /api/ml_models/models/{model_id} – свойства модели (архитектура, версия, тип фазы, число выходов, метрики, конфигурация, привязка выходов к устройствам);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GET /api/data/file/{file_id}/download – скачивание файла модели в формате H5 по идентификатору файла модели, а также скачивание исходных файлов данных и разметки;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GET /api/ml_models/models/{model_id}/download_onnx – конвертация модели в формат ONNX и скачивание полученного файла;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GET /api/tasks/{task_id} – сведения о задаче и её запусках, включая результат: значения accuracy, идентификаторы и имена файлов отчётов, идентификаторы моделей;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GET /api/ml_models/find_params/population/{population_id}/grid.csv – выгрузка популяции конфигураций подбора гиперпараметров в формате CSV.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86" w:name="_Toc232598826"/>
      <w:r/>
      <w:bookmarkStart w:id="87" w:name="_Toc233626016"/>
      <w:r>
        <w:rPr>
          <w:rFonts w:cs="Times New Roman"/>
          <w:b/>
          <w:i w:val="0"/>
          <w:color w:val="auto"/>
          <w:sz w:val="24"/>
          <w:szCs w:val="24"/>
        </w:rPr>
        <w:t xml:space="preserve">3.2.9. Управление задачами / мониторинг</w:t>
      </w:r>
      <w:bookmarkEnd w:id="86"/>
      <w:r/>
      <w:bookmarkEnd w:id="87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  <w:lang w:val="en-US"/>
        </w:rPr>
      </w:pPr>
      <w:r>
        <w:rPr>
          <w:rFonts w:cs="Times New Roman"/>
          <w:iCs w:val="0"/>
          <w:sz w:val="24"/>
        </w:rPr>
        <w:t xml:space="preserve">Управление задачами и их мониторинг выполняются методами: GET /api/tasks/ (перечень задач с фильтрацией по типу, статусу и датам, с пагинацией), GET /api/tasks/{task_id</w:t>
      </w:r>
      <w:r>
        <w:rPr>
          <w:rFonts w:cs="Times New Roman"/>
          <w:iCs w:val="0"/>
          <w:sz w:val="24"/>
        </w:rPr>
        <w:t xml:space="preserve">} (сведения о задаче и её запусках), POST /api/tasks/{task_id}/pause, POST /api/tasks/{task_id}/resume, POST /api/tasks/{task_id}/interrupt. Состояния задач и правила управления ими приведены в п. 3.1.9; мониторинг очереди задач обеспечивает сервис Flower.</w:t>
      </w:r>
      <w:r>
        <w:rPr>
          <w:rFonts w:cs="Times New Roman"/>
          <w:bCs w:val="0"/>
          <w:iCs w:val="0"/>
          <w:lang w:val="en-US"/>
        </w:rPr>
      </w:r>
      <w:r>
        <w:rPr>
          <w:rFonts w:cs="Times New Roman"/>
          <w:bCs w:val="0"/>
          <w:iCs w:val="0"/>
          <w:lang w:val="en-US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88" w:name="_Toc232598827"/>
      <w:r/>
      <w:bookmarkStart w:id="89" w:name="_Toc233626017"/>
      <w:r>
        <w:rPr>
          <w:rFonts w:cs="Times New Roman"/>
          <w:b/>
          <w:i w:val="0"/>
          <w:color w:val="auto"/>
          <w:sz w:val="24"/>
          <w:szCs w:val="24"/>
        </w:rPr>
        <w:t xml:space="preserve">3.2.10. Интеграция с ceCloud</w:t>
      </w:r>
      <w:bookmarkEnd w:id="88"/>
      <w:r/>
      <w:bookmarkEnd w:id="89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Взаимодействие с внешними системами (ПО «ceCloud» И</w:t>
      </w:r>
      <w:r>
        <w:rPr>
          <w:rFonts w:cs="Times New Roman"/>
          <w:iCs w:val="0"/>
          <w:sz w:val="24"/>
        </w:rPr>
        <w:t xml:space="preserve">ндустриального партнёра) выполняется через сервис-шлюз: внешняя система обращается к методу комплекса с токеном доступа, шлюз проверяет права и передаёт запрос в сервер приложений, после чего возвращает полученный ответ в едином формате. Шлюз обеспечивает: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приём запросов внешних систем по маршрутам с префиксом /api (кроме /api/auth и /api/admin) и передачу их в сервер приложений с настройками адреса, префикса и таймаута, заданными в конфигурации;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снятие авторизационных заголовков перед передачей запроса во внутренние сервисы: токены доступа не передаются в сервер приложений;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ограничение частоты запросов (по умолчанию 10 запросов в секунду с одного адреса, параметры задаются в конфигурации);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приведение ответов и ошибок к единому формату;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фильтрацию полей ответа (обработчик зарезервирован и включается настройкой маршрута).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Состав передаваемых данных определяется методами комплекса: файлы данных и разметки (RAW, LOADS)</w:t>
      </w:r>
      <w:r>
        <w:rPr>
          <w:rFonts w:cs="Times New Roman"/>
          <w:iCs w:val="0"/>
          <w:sz w:val="24"/>
        </w:rPr>
        <w:t xml:space="preserve">, датасеты, модели (H5, ONNX), результаты идентификации (таблица предсказаний, архивы отчётов), метаданные и статусы задач. Перечень маршрутов и параметров фиксируется в Руководстве программиста (РП2). (Согласно ЧТЗ п. 4.1.2.8.1–4.1.2.8.3, 4.5.2.1–4.5.2.3)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90" w:name="_Toc233626018"/>
      <w:r/>
      <w:bookmarkStart w:id="91" w:name="_Toc232598828"/>
      <w:r>
        <w:rPr>
          <w:rFonts w:cs="Times New Roman"/>
          <w:b/>
          <w:i w:val="0"/>
          <w:color w:val="auto"/>
          <w:sz w:val="24"/>
          <w:szCs w:val="24"/>
        </w:rPr>
        <w:t xml:space="preserve">3.2.11. Администрирование</w:t>
      </w:r>
      <w:bookmarkEnd w:id="90"/>
      <w:r/>
      <w:bookmarkEnd w:id="91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Аутентификация и разграничение доступа выполняются сервисом-шлюзом. Пользователь аутентифицируется по логину и паролю, шлюз выдаёт токен доступа и токен обновления (подпись RS256; срок действия токена доступа 30 минут, токена обновления 7 суто</w:t>
      </w:r>
      <w:r>
        <w:rPr>
          <w:rFonts w:cs="Times New Roman"/>
          <w:iCs w:val="0"/>
          <w:sz w:val="24"/>
        </w:rPr>
        <w:t xml:space="preserve">к). Проверяются подпись токена, срок действия и признак отзыва; отозванные токены хранятся в списке отзыва с периодической очисткой просроченных записей. Учётные записи создаются в сервисе авторизации, а запись пользователя с ролью – администратором шлюза.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Разграничение доступа выполняется по роли и представл</w:t>
      </w:r>
      <w:r>
        <w:rPr>
          <w:rFonts w:cs="Times New Roman"/>
          <w:iCs w:val="0"/>
          <w:sz w:val="24"/>
        </w:rPr>
        <w:t xml:space="preserve">яет собой матрицу «роль → метод → путь» с поддержкой шаблонов путей: доступ предоставляется, если метод запроса и путь совпадают с разрешёнными для роли. Правило по умолчанию – запрет доступа. Роли: admin (Администратор) – доступ ко всем методам, manager (</w:t>
      </w:r>
      <w:r>
        <w:rPr>
          <w:rFonts w:cs="Times New Roman"/>
          <w:iCs w:val="0"/>
          <w:sz w:val="24"/>
        </w:rPr>
        <w:t xml:space="preserve">Менеджер) и subscriber (Абонент) – доступ в объёме матрицы прав роли. Заблокированные учётные записи доступа не получают. Администратор управляет учётными записями (создание, просмотр, смена роли, блокировка, отзыв токенов, удаление) и составом прав ролей.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Сервер приложений не содержит собственной подсистемы аутентификации: доступ к его методам предоставляется только через сервис-шлюз. (Согласно ЧТЗ п. 4.1.2.7.1–4.1.2.7.3)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92" w:name="_Toc233626019"/>
      <w:r/>
      <w:bookmarkStart w:id="93" w:name="_Toc232598829"/>
      <w:r>
        <w:rPr>
          <w:rFonts w:cs="Times New Roman"/>
          <w:b/>
          <w:i w:val="0"/>
          <w:color w:val="auto"/>
          <w:sz w:val="24"/>
          <w:szCs w:val="24"/>
        </w:rPr>
        <w:t xml:space="preserve">3.2.12. Управление версиями алгоритмов и моделей</w:t>
      </w:r>
      <w:bookmarkEnd w:id="92"/>
      <w:r/>
      <w:bookmarkEnd w:id="93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Версионирование моделей и конфигурирование алгоритмов выполняются следующим образом: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каждой модели при создании присваивается версия вида {архитектура}.{hex8}, формируемая автоматически; версия хранится в метаданных мод</w:t>
      </w:r>
      <w:r>
        <w:rPr>
          <w:rFonts w:cs="Times New Roman"/>
          <w:iCs w:val="0"/>
          <w:sz w:val="24"/>
        </w:rPr>
        <w:t xml:space="preserve">ели вместе с датой создания и обновления, входит в имя файла модели ({имя модели}_{версия}), возвращается методами GET /api/ml_models/models и GET /api/ml_models/models/{model_id} и доступна для фильтрации по параметру version (точное совпадение значения);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конфигурация модели (состав и параметры слоёв, тип фазы, число</w:t>
      </w:r>
      <w:r>
        <w:rPr>
          <w:rFonts w:cs="Times New Roman"/>
          <w:iCs w:val="0"/>
          <w:sz w:val="24"/>
        </w:rPr>
        <w:t xml:space="preserve"> выходов, привязка выходов к устройствам) задаётся при создании модели или наследуется из конфигурации по умолчанию для выбранной архитектуры; конфигурация сохраняется в метаданных модели и может быть передана методом загрузки готовой модели с метаданными;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параметры обучения и идентификации задаются пр</w:t>
      </w:r>
      <w:r>
        <w:rPr>
          <w:rFonts w:cs="Times New Roman"/>
          <w:iCs w:val="0"/>
          <w:sz w:val="24"/>
        </w:rPr>
        <w:t xml:space="preserve">и вызове соответствующих методов и не хранятся в качестве отдельного режима работы комплекса: поведение определяется конфигурацией применённой модели и параметрами запроса (для идентификации – порогом threshold, для обучения – составом параметров запроса).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Автоматический подбор гиперпараметров обеспечив</w:t>
      </w:r>
      <w:r>
        <w:rPr>
          <w:rFonts w:cs="Times New Roman"/>
          <w:iCs w:val="0"/>
          <w:sz w:val="24"/>
        </w:rPr>
        <w:t xml:space="preserve">ает поиск конфигурации ML-модели перебором комбинаций значений гиперпараметров: значения каждой оси варьирования, результаты обучения и тестирования каждой конфигурации, ранги и метки отбора сохраняются в базе данных и доступны методами группы find_params.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94" w:name="_Toc233626020"/>
      <w:r/>
      <w:bookmarkStart w:id="95" w:name="_Toc232598830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3.3. Общая архитектура программного обеспечения</w:t>
      </w:r>
      <w:bookmarkEnd w:id="94"/>
      <w:r/>
      <w:bookmarkEnd w:id="95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ПК ОТН реализован как совокупн</w:t>
      </w:r>
      <w:r>
        <w:rPr>
          <w:rFonts w:cs="Times New Roman"/>
          <w:iCs w:val="0"/>
          <w:sz w:val="24"/>
        </w:rPr>
        <w:t xml:space="preserve">ость двух сервисов, взаимодействующих по HTTP: сервера приложений (репозиторий backend) и сервиса-шлюза (репозиторий middleware). Разделение обеспечивает выполнение требования ЧТЗ о предоставлении доступа к функциональности только через единую точку входа.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Сервер приложений содержит: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REST API (FastAPI) – приём запросов, валидация параметров, постановка задач, выдача результатов;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диспетчер задач (Celery и Redis) – асинхронное исполнение задач формирования датасетов, обучения, тестирования, идентификации и подбора гиперпараметров;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хранилище объектов (MinIO) – CSV-файлы, модели H5, архивы отчётов;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базу данных (PostgreSQL) – метаданные файлов, датасеты, декодированные данные, разметка, справочник нагрузок, метаданные моделей, результаты идентификации, задачи и их запуски;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исполняющие модули пайплайнов компонентов «Загрузчик профиля», «Обучение», «Идентификация», «Выгрузка» и модули обеспечения компонента «Хранилище».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Сервис-шлюз содержит: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модуль аутентификации – вход по логину и паролю, выдача и обновление токенов, проверка и отзыв токенов;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модуль администрирования – учётные записи, роли и матрица прав ролей;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конвейер обработки запросов – ограничение частоты запросов, проверка токена, проверка прав по роли, передача запроса в сервер приложений, приведение ответа к единому формату;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базу данных шлюза – учётные записи, роли, права ролей, список отозванных токенов;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конфигурацию подключений – состав и параметры маршрутов к внутренним сервисам, лимиты, параметры сессий доступа.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Границы этапа: на этапе РП1 разработаны компоненты ПК АПГС «Загрузчик профиля», «Хранилище», «Идентификация», «Обучение» и «Выгрузка» (сервер приложений, репозиторий backend); на э</w:t>
      </w:r>
      <w:r>
        <w:rPr>
          <w:rFonts w:cs="Times New Roman"/>
          <w:iCs w:val="0"/>
          <w:sz w:val="24"/>
        </w:rPr>
        <w:t xml:space="preserve">тапе РП2 разработаны компоненты «Интеграция», «Администрирование» и «Управление» (сервис-шлюз, репозиторий middleware) и расширены пайплайны компонентов «Загрузчик профиля» и «Идентификация». Перечень доработок этапа РП2 относительно РП1 приведён в п. 1.1.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 рисунке 3 показана общая архитектура программного обеспечения ПК ОТН.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029200"/>
                <wp:effectExtent l="0" t="0" r="0" b="0"/>
                <wp:docPr id="6" name="Рисунок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Рисунок 2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600" cy="502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68.00pt;height:396.0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60" w:line="360" w:lineRule="auto"/>
        <w:ind w:right="140" w:firstLine="0"/>
        <w:contextualSpacing w:val="false"/>
        <w:jc w:val="center"/>
        <w:rPr>
          <w:rFonts w:cs="Times New Roman"/>
          <w:bCs w:val="0"/>
          <w:iCs w:val="0"/>
        </w:rPr>
      </w:pPr>
      <w:r>
        <w:rPr>
          <w:rFonts w:cs="Times New Roman"/>
          <w:bCs w:val="0"/>
          <w:i/>
          <w:sz w:val="24"/>
        </w:rPr>
        <w:t xml:space="preserve">Рисунок 3 – Общая архитектура программного обеспечения ПК ОТН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7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96" w:name="_Toc233626021"/>
      <w:r/>
      <w:bookmarkStart w:id="97" w:name="_Toc232598831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3.4. Логическая структура</w:t>
      </w:r>
      <w:bookmarkEnd w:id="96"/>
      <w:r/>
      <w:bookmarkEnd w:id="97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12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3. </w:t>
      </w:r>
      <w:r>
        <w:rPr>
          <w:rFonts w:cs="Times New Roman"/>
          <w:b w:val="0"/>
          <w:iCs w:val="0"/>
          <w:sz w:val="24"/>
        </w:rPr>
        <w:t xml:space="preserve">Связи компонентов ПК ОТН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8500" w:type="dxa"/>
        <w:tblCellMar>
          <w:left w:w="100" w:type="dxa"/>
          <w:top w:w="60" w:type="dxa"/>
          <w:right w:w="10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34"/>
        <w:gridCol w:w="1625"/>
        <w:gridCol w:w="2438"/>
        <w:gridCol w:w="2102"/>
      </w:tblGrid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334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Отправитель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62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Получатель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438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Что передаётся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02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Формат данных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334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Пользователи и внешние системы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62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Сервис-шлюз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438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Запросы к методам комплекса, загрузка файлов, аутентификация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02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  <w:lang w:val="en-US"/>
              </w:rPr>
            </w:pPr>
            <w:r>
              <w:rPr>
                <w:rFonts w:cs="Times New Roman"/>
                <w:bCs w:val="0"/>
                <w:iCs w:val="0"/>
                <w:sz w:val="24"/>
                <w:lang w:val="en-US"/>
              </w:rPr>
              <w:t xml:space="preserve">HTTP (JSON, multipart для файлов)</w:t>
            </w:r>
            <w:r>
              <w:rPr>
                <w:rFonts w:cs="Times New Roman"/>
                <w:bCs w:val="0"/>
                <w:iCs w:val="0"/>
                <w:lang w:val="en-US"/>
              </w:rPr>
            </w:r>
            <w:r>
              <w:rPr>
                <w:rFonts w:cs="Times New Roman"/>
                <w:bCs w:val="0"/>
                <w:iCs w:val="0"/>
                <w:lang w:val="en-US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334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Сервис-шлюз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62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Сервер приложений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438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Запрос, прошедший проверку прав (без авторизационных заголовков)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02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HTTP (JSON, multipart)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334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Сервер приложений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62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PostgreSQL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438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Метаданные файлов, датасеты, декодированные данные измерений, разметка, метаданные моделей, результаты идентификации, задачи и состояния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02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SQL-записи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334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Сервер приложений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62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MinIO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438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Файлы данных и разметки, модели H5, архивы отчётов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02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CSV, H5, ONNX, ZIP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334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Сервер приложений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62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Очередь задач (Redis)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438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Задачи и их параметры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02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JSON-сообщения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334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Очередь задач (Redis)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62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Контейнер исполнения задач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438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Задача на исполнение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02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JSON (идентификаторы, параметры)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334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Контейнер исполнения задач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62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PostgreSQL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438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Промежуточные и итоговые результаты, состояния задач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02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SQL-записи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334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Контейнер исполнения задач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62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MinIO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438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Модели H5, архивы отчётов о тестировании и идентификации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02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H5, ZIP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334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Загрузчик профиля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62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PostgreSQL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438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Данные измерений и разметка датасета, справочник нагрузок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02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SQL-записи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334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Загрузчик профиля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62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MinIO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438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Исходные CSV-файлы данных и разметки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02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CSV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334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Обучение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62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MinIO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438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Обученные модели H5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02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H5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334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Обучение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62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PostgreSQL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438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Метаданные моделей, версии, конфигурации, параметры обучения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02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SQL-записи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334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Идентификация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62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PostgreSQL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438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Результаты идентификации (таблица предсказаний), история тестирования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02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SQL-записи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334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Идентификация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62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MinIO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438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Архивы отчётов о тестировании и об идентификации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02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ZIP, TXT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334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Выгрузка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62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Пользователи и внешние системы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438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Файлы моделей, отчёты, метаданные, результаты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02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H5, ONNX, ZIP, JSON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334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Администрирование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62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Сервис авторизации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438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Аутентификация пользователя, обновление и отзыв токенов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02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HTTP REST (JWT)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334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Администрирование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62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База данных шлюза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438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Учётные записи, роли, права ролей, список отозванных токенов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02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SQL-записи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334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Управление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62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Сервер приложений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438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Запросы на операции с моделями (создание с конфигурацией, загрузка, обучение, подбор гиперпараметров), прошедшие проверку прав по роли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02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HTTP (JSON)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334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Сервер приложений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62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Пользователи и внешние системы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438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Ответы методов, результаты задач, сообщения об ошибках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02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JSON, бинарный поток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98" w:name="_Toc233626022"/>
      <w:r/>
      <w:bookmarkStart w:id="99" w:name="_Toc232598832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3.5. Сценарии прохождения данных</w:t>
      </w:r>
      <w:bookmarkEnd w:id="98"/>
      <w:r/>
      <w:bookmarkEnd w:id="99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100" w:name="_Toc233626023"/>
      <w:r/>
      <w:bookmarkStart w:id="101" w:name="_Toc232598833"/>
      <w:r>
        <w:rPr>
          <w:rFonts w:cs="Times New Roman"/>
          <w:b/>
          <w:i w:val="0"/>
          <w:color w:val="auto"/>
          <w:sz w:val="24"/>
          <w:szCs w:val="24"/>
        </w:rPr>
        <w:t xml:space="preserve">3.5.1. Загрузка и предобработка данных</w:t>
      </w:r>
      <w:bookmarkEnd w:id="100"/>
      <w:r/>
      <w:bookmarkEnd w:id="101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CSV-файл данных передаётся через REST API с указанием типа RAW. Компонент «Загрузчик профиля» пров</w:t>
      </w:r>
      <w:r>
        <w:rPr>
          <w:rFonts w:cs="Times New Roman"/>
          <w:iCs w:val="0"/>
          <w:sz w:val="24"/>
        </w:rPr>
        <w:t xml:space="preserve">еряет тип файла, тип содержимого и обязательные колонки, размещает файл в объектном хранилище и регистрирует метаданные файла в базе данных. Файл становится доступен для формирования датасетов. Итог: объект в хранилище и запись в таблице метаданных файлов.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 рисунке 4 показана последовательность операций при загрузке данных.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60" w:line="360" w:lineRule="auto"/>
        <w:ind w:right="140" w:firstLine="0"/>
        <w:contextualSpacing w:val="false"/>
        <w:jc w:val="center"/>
        <w:rPr>
          <w:rFonts w:cs="Times New Roman"/>
          <w:bCs w:val="0"/>
          <w:iCs w:val="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437130"/>
                <wp:effectExtent l="0" t="0" r="0" b="0"/>
                <wp:docPr id="7" name="Рисунок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Рисунок 1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39790" cy="2437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67.70pt;height:191.9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cs="Times New Roman"/>
          <w:bCs w:val="0"/>
          <w:i/>
          <w:sz w:val="24"/>
        </w:rPr>
        <w:t xml:space="preserve">Рисунок 4 – Сценарий 3.5.1: Загрузка и предобработка данных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60"/>
        <w:ind w:right="140" w:firstLine="0"/>
        <w:contextualSpacing w:val="false"/>
        <w:jc w:val="center"/>
        <w:rPr>
          <w:rFonts w:cs="Times New Roman"/>
          <w:bCs w:val="0"/>
          <w:i/>
        </w:rPr>
      </w:pPr>
      <w:r>
        <w:rPr>
          <w:rFonts w:cs="Times New Roman"/>
          <w:bCs w:val="0"/>
          <w:i/>
        </w:rPr>
      </w:r>
      <w:r>
        <w:rPr>
          <w:rFonts w:cs="Times New Roman"/>
          <w:bCs w:val="0"/>
          <w:i/>
        </w:rPr>
      </w:r>
      <w:r>
        <w:rPr>
          <w:rFonts w:cs="Times New Roman"/>
          <w:bCs w:val="0"/>
          <w:i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102" w:name="_Toc233626024"/>
      <w:r/>
      <w:bookmarkStart w:id="103" w:name="_Toc232598834"/>
      <w:r>
        <w:rPr>
          <w:rFonts w:cs="Times New Roman"/>
          <w:b/>
          <w:i w:val="0"/>
          <w:color w:val="auto"/>
          <w:sz w:val="24"/>
          <w:szCs w:val="24"/>
        </w:rPr>
        <w:t xml:space="preserve">3.5.2. Формирование датасета</w:t>
      </w:r>
      <w:bookmarkEnd w:id="102"/>
      <w:r/>
      <w:bookmarkEnd w:id="103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Пользователь создаёт датасет и передаёт перечень файлов данных и разметки. Асинхронная задача разбирает файлы, декодирует массивы </w:t>
      </w:r>
      <w:r>
        <w:rPr>
          <w:rFonts w:cs="Times New Roman"/>
          <w:iCs w:val="0"/>
          <w:sz w:val="24"/>
        </w:rPr>
        <w:t xml:space="preserve">мгновенных значений с учётом параметров АЦП и записывает данные в таблицу данных датасета, разметку – в таблицу разметки; нагрузки вносятся в справочник нагрузок. Итог: датасет, готовый к обучению и тестированию, и статистика обработки в результате задачи.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 рисунке 5 показана последовательность операций при формировании датасета.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rPr>
          <w:rFonts w:cs="Times New Roman"/>
          <w:bCs w:val="0"/>
          <w:iCs w:val="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093720"/>
                <wp:effectExtent l="0" t="0" r="0" b="0"/>
                <wp:docPr id="8" name="Image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2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39790" cy="3093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67.70pt;height:243.60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60" w:line="360" w:lineRule="auto"/>
        <w:ind w:right="140" w:firstLine="0"/>
        <w:contextualSpacing w:val="false"/>
        <w:jc w:val="center"/>
        <w:rPr>
          <w:rFonts w:cs="Times New Roman"/>
          <w:bCs w:val="0"/>
          <w:iCs w:val="0"/>
        </w:rPr>
      </w:pPr>
      <w:r>
        <w:rPr>
          <w:rFonts w:cs="Times New Roman"/>
          <w:bCs w:val="0"/>
          <w:i/>
          <w:sz w:val="24"/>
        </w:rPr>
        <w:t xml:space="preserve">Рисунок 5 – Сценарий 3.5.2: Формирование датасета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  <w:lang w:val="en-US"/>
        </w:rPr>
      </w:pPr>
      <w:r>
        <w:rPr>
          <w:rFonts w:cs="Times New Roman"/>
          <w:bCs w:val="0"/>
          <w:iCs w:val="0"/>
          <w:lang w:val="en-US"/>
        </w:rPr>
      </w:r>
      <w:r>
        <w:rPr>
          <w:rFonts w:cs="Times New Roman"/>
          <w:bCs w:val="0"/>
          <w:iCs w:val="0"/>
          <w:lang w:val="en-US"/>
        </w:rPr>
      </w:r>
      <w:r>
        <w:rPr>
          <w:rFonts w:cs="Times New Roman"/>
          <w:bCs w:val="0"/>
          <w:iCs w:val="0"/>
          <w:lang w:val="en-US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104" w:name="_Toc233626025"/>
      <w:r/>
      <w:bookmarkStart w:id="105" w:name="_Toc232598835"/>
      <w:r>
        <w:rPr>
          <w:rFonts w:cs="Times New Roman"/>
          <w:b/>
          <w:i w:val="0"/>
          <w:color w:val="auto"/>
          <w:sz w:val="24"/>
          <w:szCs w:val="24"/>
        </w:rPr>
        <w:t xml:space="preserve">3.5.3. Обучение модели</w:t>
      </w:r>
      <w:bookmarkEnd w:id="104"/>
      <w:r/>
      <w:bookmarkEnd w:id="105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Запрос на обучение передаётся через REST API с указанием датасета и параметров обучения. Сервер приложений проверяет соответствие модели и да</w:t>
      </w:r>
      <w:r>
        <w:rPr>
          <w:rFonts w:cs="Times New Roman"/>
          <w:iCs w:val="0"/>
          <w:sz w:val="24"/>
        </w:rPr>
        <w:t xml:space="preserve">тасета, создаёт задачу и передаёт её в очередь; контейнер исполнения задач строит цепочку предобработки, выполняет обучение и сохраняет модель в формате H5 в объектном хранилище. Итог: файл модели H5 и метаданные новой модели с новой версией в базе данных.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 рисунке 6 показана последовательность операций при обучении модели.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rPr>
          <w:rFonts w:cs="Times New Roman"/>
          <w:bCs w:val="0"/>
          <w:iCs w:val="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79445"/>
                <wp:effectExtent l="0" t="0" r="0" b="0"/>
                <wp:docPr id="9" name="Image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3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39790" cy="3179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467.70pt;height:250.3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60" w:line="360" w:lineRule="auto"/>
        <w:ind w:right="140" w:firstLine="0"/>
        <w:contextualSpacing w:val="false"/>
        <w:jc w:val="center"/>
        <w:rPr>
          <w:rFonts w:cs="Times New Roman"/>
          <w:bCs w:val="0"/>
          <w:iCs w:val="0"/>
        </w:rPr>
      </w:pPr>
      <w:r>
        <w:rPr>
          <w:rFonts w:cs="Times New Roman"/>
          <w:bCs w:val="0"/>
          <w:i/>
          <w:sz w:val="24"/>
        </w:rPr>
        <w:t xml:space="preserve">Рисунок 6 – Сценарий 3.5.3: Обучение модели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106" w:name="_Toc233626026"/>
      <w:r/>
      <w:bookmarkStart w:id="107" w:name="_Toc232598836"/>
      <w:r>
        <w:rPr>
          <w:rFonts w:cs="Times New Roman"/>
          <w:b/>
          <w:i w:val="0"/>
          <w:color w:val="auto"/>
          <w:sz w:val="24"/>
          <w:szCs w:val="24"/>
        </w:rPr>
        <w:t xml:space="preserve">3.5.4. Тестирование модели на датасете</w:t>
      </w:r>
      <w:bookmarkEnd w:id="106"/>
      <w:r/>
      <w:bookmarkEnd w:id="107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Запрос на тестирование передаётся через REST API с указанием датасета и порога классификации. Задача загружает модель и размеченные данные, выполняет инференс, рассчитывает т</w:t>
      </w:r>
      <w:r>
        <w:rPr>
          <w:rFonts w:cs="Times New Roman"/>
          <w:iCs w:val="0"/>
          <w:sz w:val="24"/>
        </w:rPr>
        <w:t xml:space="preserve">очность распознавания и распределение результатов по выходам модели, формирует текстовый отчёт и упаковывает его в ZIP-архив в объектном хранилище. Итог: архив отчёта, значения accuracy в результате задачи и запись истории тестирования в метаданных модели.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 рисунке 7 показана последовательность операций при тестировании модели.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rPr>
          <w:rFonts w:cs="Times New Roman"/>
          <w:bCs w:val="0"/>
          <w:iCs w:val="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02660"/>
                <wp:effectExtent l="0" t="0" r="0" b="0"/>
                <wp:docPr id="10" name="Image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Image4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39790" cy="3502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467.70pt;height:275.80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60" w:line="360" w:lineRule="auto"/>
        <w:ind w:right="140" w:firstLine="0"/>
        <w:contextualSpacing w:val="false"/>
        <w:jc w:val="center"/>
        <w:rPr>
          <w:rFonts w:cs="Times New Roman"/>
          <w:bCs w:val="0"/>
          <w:iCs w:val="0"/>
        </w:rPr>
      </w:pPr>
      <w:r>
        <w:rPr>
          <w:rFonts w:cs="Times New Roman"/>
          <w:i/>
          <w:sz w:val="24"/>
        </w:rPr>
        <w:t xml:space="preserve">Рисунок 7 – Сценарий 3.5.4: Тестирование модели на датасете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108" w:name="_Toc233626027"/>
      <w:r/>
      <w:bookmarkStart w:id="109" w:name="_Toc232598837"/>
      <w:r>
        <w:rPr>
          <w:rFonts w:cs="Times New Roman"/>
          <w:b/>
          <w:i w:val="0"/>
          <w:color w:val="auto"/>
          <w:sz w:val="24"/>
          <w:szCs w:val="24"/>
        </w:rPr>
        <w:t xml:space="preserve">3.5.5. Идентификация нагрузки (инференс)</w:t>
      </w:r>
      <w:bookmarkEnd w:id="108"/>
      <w:r/>
      <w:bookmarkEnd w:id="109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Пользователь или внешняя система направляет запрос на идентификацию с указанием модели, датасета и порога классификации. Задача загружает модель и данные, выполняет предобработку и инференс, записывает результаты с уверенностью не ниже порога в таблицу</w:t>
      </w:r>
      <w:r>
        <w:rPr>
          <w:rFonts w:cs="Times New Roman"/>
          <w:iCs w:val="0"/>
          <w:sz w:val="24"/>
        </w:rPr>
        <w:t xml:space="preserve"> предсказаний и формирует отчёт в виде ZIP-архива. При синхронном инференсе (inference/single) результат возвращается непосредственно в ответе метода: список выходов модели с перечнем устройств учёта, значением уверенности и признаком обнаружения нагрузки.</w:t>
      </w:r>
      <w:r/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/>
      </w:pPr>
      <w:r>
        <w:rPr>
          <w:rFonts w:cs="Times New Roman"/>
          <w:iCs w:val="0"/>
          <w:sz w:val="24"/>
        </w:rPr>
        <w:t xml:space="preserve">На рисунке 8 показана последовательность операций при идентификации нагрузки.</w:t>
      </w:r>
      <w:r/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045460"/>
                <wp:effectExtent l="0" t="0" r="0" b="0"/>
                <wp:docPr id="11" name="Рисунок 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Рисунок 5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39790" cy="3045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67.70pt;height:239.80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60" w:line="360" w:lineRule="auto"/>
        <w:ind w:right="140" w:firstLine="0"/>
        <w:contextualSpacing w:val="false"/>
        <w:jc w:val="center"/>
        <w:rPr>
          <w:rFonts w:cs="Times New Roman"/>
          <w:bCs w:val="0"/>
          <w:iCs w:val="0"/>
        </w:rPr>
      </w:pPr>
      <w:r>
        <w:rPr>
          <w:rFonts w:cs="Times New Roman"/>
          <w:i/>
          <w:sz w:val="24"/>
        </w:rPr>
        <w:t xml:space="preserve">Рисунок 8 – Сценарий 3.5.5: Идентификация нагрузки (инференс)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/>
      <w:bookmarkStart w:id="110" w:name="_Toc233626028"/>
      <w:r/>
      <w:bookmarkStart w:id="111" w:name="_Toc232598838"/>
      <w:r>
        <w:rPr>
          <w:rFonts w:cs="Times New Roman"/>
          <w:b/>
          <w:i w:val="0"/>
          <w:color w:val="auto"/>
          <w:sz w:val="24"/>
          <w:szCs w:val="24"/>
        </w:rPr>
        <w:t xml:space="preserve">3.5.6. Управление задачами</w:t>
      </w:r>
      <w:bookmarkEnd w:id="110"/>
      <w:r/>
      <w:bookmarkEnd w:id="111"/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Пользователь управляет задачам</w:t>
      </w:r>
      <w:r>
        <w:rPr>
          <w:rFonts w:cs="Times New Roman"/>
          <w:iCs w:val="0"/>
          <w:sz w:val="24"/>
        </w:rPr>
        <w:t xml:space="preserve">и через API: получает перечень и состояние задач, приостанавливает, возобновляет и аварийно прерывает выполнение. Состояния задач, их параметры и результаты хранятся в PostgreSQL и доступны через REST API; приостановка подтверждается исполняющим процессом.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 рисунке 9 показана последовательность операций при управлении задачей.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60" w:line="360" w:lineRule="auto"/>
        <w:ind w:right="140" w:firstLine="0"/>
        <w:contextualSpacing w:val="false"/>
        <w:jc w:val="center"/>
        <w:rPr>
          <w:rFonts w:cs="Times New Roman"/>
          <w:bCs w:val="0"/>
          <w:iCs w:val="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5863590"/>
                <wp:effectExtent l="0" t="0" r="0" b="0"/>
                <wp:docPr id="12" name="Рисунок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Рисунок 4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39790" cy="5863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467.70pt;height:461.70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cs="Times New Roman"/>
          <w:bCs w:val="0"/>
          <w:i/>
          <w:sz w:val="24"/>
        </w:rPr>
        <w:t xml:space="preserve"> </w:t>
      </w:r>
      <w:r>
        <w:rPr>
          <w:rFonts w:cs="Times New Roman"/>
          <w:bCs w:val="0"/>
          <w:i/>
          <w:sz w:val="24"/>
        </w:rPr>
        <w:t xml:space="preserve">Рисунок 9 – Сценарий 3.5.6: Управление задачами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/>
        </w:rPr>
      </w:pPr>
      <w:r>
        <w:rPr>
          <w:rFonts w:cs="Times New Roman"/>
          <w:bCs w:val="0"/>
          <w:i/>
        </w:rPr>
      </w:r>
      <w:r>
        <w:rPr>
          <w:rFonts w:cs="Times New Roman"/>
          <w:bCs w:val="0"/>
          <w:i/>
        </w:rPr>
      </w:r>
      <w:r>
        <w:rPr>
          <w:rFonts w:cs="Times New Roman"/>
          <w:bCs w:val="0"/>
          <w:i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>
        <w:rPr>
          <w:rFonts w:cs="Times New Roman"/>
          <w:b/>
          <w:i w:val="0"/>
          <w:iCs w:val="0"/>
          <w:sz w:val="24"/>
        </w:rPr>
        <w:t xml:space="preserve">3.5.7. Выгрузка результатов</w:t>
      </w:r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Пользователь через REST API запрашивает артефакты: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файл модели в формате H5 по идентификатору файла (GET /api/data/file/{file_id}/download); последний скачанный файл модели определяется по данным задачи обучения либо по метаданным модели (идентификатор файла модели);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экспорт модели в формат ONNX (GET /api/ml_models/models/{model_id}/download_onnx);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свойства модели и метрики (GET /api/ml_models/models/{model_id});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отчёт о тестировании и результаты идентификации – по данным задачи (GET /api/tasks/{task_id}): в результате задачи указаны значение accuracy, идентификаторы и имена файлов отчётов, идентификаторы моделей.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Компонент «Выгрузка» извлекает запрошенный файл из объектного хранилища и возвращает его пользователю; методы скачивания возвращают бинарный поток, методы получения свойств – JSON.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60" w:line="360" w:lineRule="auto"/>
        <w:ind w:right="140" w:firstLine="0"/>
        <w:contextualSpacing w:val="false"/>
        <w:jc w:val="center"/>
        <w:rPr>
          <w:rFonts w:cs="Times New Roman"/>
          <w:bCs w:val="0"/>
          <w:iCs w:val="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749800"/>
                <wp:effectExtent l="0" t="0" r="0" b="0"/>
                <wp:docPr id="13" name="Image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Image5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39790" cy="4749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467.70pt;height:374.00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cs="Times New Roman"/>
          <w:bCs w:val="0"/>
          <w:i/>
          <w:sz w:val="24"/>
        </w:rPr>
        <w:t xml:space="preserve"> </w:t>
      </w:r>
      <w:r>
        <w:rPr>
          <w:rFonts w:cs="Times New Roman"/>
          <w:bCs w:val="0"/>
          <w:i/>
          <w:sz w:val="24"/>
        </w:rPr>
        <w:t xml:space="preserve">Рисунок 10 – Сценарий 3.5.7: Выгрузка результатов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/>
        </w:rPr>
      </w:pPr>
      <w:r>
        <w:rPr>
          <w:rFonts w:cs="Times New Roman"/>
          <w:bCs w:val="0"/>
          <w:i/>
        </w:rPr>
      </w:r>
      <w:r>
        <w:rPr>
          <w:rFonts w:cs="Times New Roman"/>
          <w:bCs w:val="0"/>
          <w:i/>
        </w:rPr>
      </w:r>
      <w:r>
        <w:rPr>
          <w:rFonts w:cs="Times New Roman"/>
          <w:bCs w:val="0"/>
          <w:i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>
        <w:rPr>
          <w:rFonts w:cs="Times New Roman"/>
          <w:b/>
          <w:i w:val="0"/>
          <w:iCs w:val="0"/>
          <w:sz w:val="24"/>
        </w:rPr>
        <w:t xml:space="preserve">3.5.8. Обновление модели (дообучение)</w:t>
      </w:r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Инженер проекта указывает исходную модель, выбирает датасет и запускает обучение. Выполняется обучение на выбранном датасете, пос</w:t>
      </w:r>
      <w:r>
        <w:rPr>
          <w:rFonts w:cs="Times New Roman"/>
          <w:iCs w:val="0"/>
          <w:sz w:val="24"/>
        </w:rPr>
        <w:t xml:space="preserve">ле чего создаются метаданные новой модели с новой версией; исходная модель остаётся в хранилище без изменений. Сравнение качества выполняется тестированием обеих моделей на одном датасете: значения accuracy сохраняются в истории тестирования каждой модели.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 рисунке 11 показана последовательность операций при обновлении модели.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60" w:line="360" w:lineRule="auto"/>
        <w:ind w:right="140" w:firstLine="0"/>
        <w:contextualSpacing w:val="false"/>
        <w:jc w:val="center"/>
        <w:rPr>
          <w:rFonts w:cs="Times New Roman"/>
          <w:bCs w:val="0"/>
          <w:iCs w:val="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79445"/>
                <wp:effectExtent l="0" t="0" r="0" b="0"/>
                <wp:docPr id="14" name="Image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Image6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39790" cy="3179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467.70pt;height:250.3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cs="Times New Roman"/>
          <w:bCs w:val="0"/>
          <w:i/>
          <w:sz w:val="24"/>
        </w:rPr>
        <w:t xml:space="preserve">Рисунок 11 – Сценарий 3.5.8: Обновление модели (дообучение)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/>
        </w:rPr>
      </w:pPr>
      <w:r>
        <w:rPr>
          <w:rFonts w:cs="Times New Roman"/>
          <w:bCs w:val="0"/>
          <w:i/>
        </w:rPr>
      </w:r>
      <w:r>
        <w:rPr>
          <w:rFonts w:cs="Times New Roman"/>
          <w:bCs w:val="0"/>
          <w:i/>
        </w:rPr>
      </w:r>
      <w:r>
        <w:rPr>
          <w:rFonts w:cs="Times New Roman"/>
          <w:bCs w:val="0"/>
          <w:i/>
        </w:rPr>
      </w:r>
    </w:p>
    <w:p>
      <w:pPr>
        <w:pStyle w:val="1748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/>
          <w:color w:val="auto"/>
          <w:sz w:val="24"/>
          <w:szCs w:val="24"/>
        </w:rPr>
      </w:pPr>
      <w:r>
        <w:rPr>
          <w:rFonts w:cs="Times New Roman"/>
          <w:b/>
          <w:i w:val="0"/>
          <w:iCs w:val="0"/>
          <w:sz w:val="24"/>
        </w:rPr>
        <w:t xml:space="preserve">3.5.9. Получение результатов классификации (ceCloud)</w:t>
      </w:r>
      <w:r>
        <w:rPr>
          <w:rFonts w:cs="Times New Roman"/>
          <w:i/>
          <w:color w:val="auto"/>
          <w:sz w:val="24"/>
          <w:szCs w:val="24"/>
        </w:rPr>
      </w:r>
      <w:r>
        <w:rPr>
          <w:rFonts w:cs="Times New Roman"/>
          <w:i/>
          <w:color w:val="auto"/>
          <w:sz w:val="24"/>
          <w:szCs w:val="24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Внешняя система (ПО «ceCloud») направляет HTTP-запрос с токеном доступа через сервис-шлюз. Шлюз проверяет токен и права роли на запрошенный метод и путь, при успешной проверке передаёт запрос в сервер приложен</w:t>
      </w:r>
      <w:r>
        <w:rPr>
          <w:rFonts w:cs="Times New Roman"/>
          <w:iCs w:val="0"/>
          <w:sz w:val="24"/>
        </w:rPr>
        <w:t xml:space="preserve">ий и возвращает ответ в едином формате; при недостаточных правах возвращается код 403, при недействительном токене – код 401, при недоступности внутреннего сервиса – код 502. Результаты идентификации внешняя система получает по данным задачи идентификации.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Результаты идентификации предоставляются внешней системе методами комплекса: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при идентификации одиночного фрагмента измерений – синхронно, в ответе метода POST /api/ml_models/models/{m</w:t>
      </w:r>
      <w:r>
        <w:rPr>
          <w:rFonts w:cs="Times New Roman"/>
          <w:iCs w:val="0"/>
          <w:sz w:val="24"/>
        </w:rPr>
        <w:t xml:space="preserve">odel_id}/inference/single (JSON: model_id, threshold, classes – по каждому выходу модели фаза подключения ph_n, номер выхода модели signal_num, перечень устройств учёта device_ids, значение достоверности confidence и признак обнаружения нагрузки detected);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при идентификации по датасету (задача POST /api/ml_models/models/{model_id}/inference) – по р</w:t>
      </w:r>
      <w:r>
        <w:rPr>
          <w:rFonts w:cs="Times New Roman"/>
          <w:iCs w:val="0"/>
          <w:sz w:val="24"/>
        </w:rPr>
        <w:t xml:space="preserve">езультату задачи GET /api/tasks/{task_id} (JSON: status, file_id, file_name, total_predictions) и отчётом из хранилища: перечень отчётов (GET /api/data/files, фильтр file_type = REPORT_ZIP), скачивание архива отчёта (GET /api/data/file/{file_id}/download).</w:t>
      </w:r>
      <w:r>
        <w:rPr>
          <w:rFonts w:cs="Times New Roman"/>
          <w:iCs w:val="0"/>
          <w:sz w:val="24"/>
        </w:rPr>
        <w:t xml:space="preserve"> Отчёт представляет собой ZIP-архив inference-{модель}-{метка времени}.zip, содержащий текстовый отчёт report.md с агрегациями по выходам модели (количество предсказаний и среднее значение достоверности) и файл predictions.csv с построчными предсказаниями.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 рисунке 12 показана последовательность операций при получении результатов классификации.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788410"/>
                <wp:effectExtent l="0" t="0" r="0" b="0"/>
                <wp:docPr id="15" name="Рисунок 9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Рисунок 9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39790" cy="3788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467.70pt;height:298.30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60" w:line="360" w:lineRule="auto"/>
        <w:ind w:right="140" w:firstLine="0"/>
        <w:contextualSpacing w:val="false"/>
        <w:jc w:val="center"/>
        <w:rPr>
          <w:rFonts w:cs="Times New Roman"/>
          <w:bCs w:val="0"/>
          <w:iCs w:val="0"/>
        </w:rPr>
      </w:pPr>
      <w:r>
        <w:rPr>
          <w:rFonts w:cs="Times New Roman"/>
          <w:bCs w:val="0"/>
          <w:i/>
          <w:sz w:val="24"/>
        </w:rPr>
        <w:t xml:space="preserve">Рисунок 12 – Сценарий 3.5.9: Получение результатов классификации (ceCloud)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6"/>
        <w:keepNext w:val="true"/>
        <w:keepLines w:val="false"/>
        <w:numPr>
          <w:ilvl w:val="0"/>
          <w:numId w:val="0"/>
        </w:numPr>
        <w:pBdr/>
        <w:spacing w:after="360" w:before="360" w:line="360" w:lineRule="auto"/>
        <w:ind w:right="140" w:firstLine="0" w:left="0"/>
        <w:contextualSpacing w:val="false"/>
        <w:jc w:val="center"/>
        <w:rPr>
          <w:rFonts w:cs="Times New Roman"/>
          <w:iCs w:val="0"/>
          <w:color w:val="auto"/>
        </w:rPr>
      </w:pPr>
      <w:r/>
      <w:bookmarkStart w:id="112" w:name="_Toc233626029"/>
      <w:r/>
      <w:bookmarkStart w:id="113" w:name="_Toc232598839"/>
      <w:r>
        <w:rPr>
          <w:rFonts w:cs="Times New Roman"/>
          <w:b/>
          <w:i w:val="0"/>
          <w:iCs w:val="0"/>
          <w:color w:val="auto"/>
          <w:sz w:val="24"/>
        </w:rPr>
        <w:t xml:space="preserve">4. ИСПОЛЬЗУЕМЫЕ ТЕХНИЧЕСКИЕ СРЕДСТВА</w:t>
      </w:r>
      <w:bookmarkEnd w:id="112"/>
      <w:r/>
      <w:bookmarkEnd w:id="113"/>
      <w:r>
        <w:rPr>
          <w:rFonts w:cs="Times New Roman"/>
          <w:iCs w:val="0"/>
          <w:color w:val="auto"/>
        </w:rPr>
      </w:r>
      <w:r>
        <w:rPr>
          <w:rFonts w:cs="Times New Roman"/>
          <w:iCs w:val="0"/>
          <w:color w:val="auto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ПК ОТН функционирует в контейнеризированной среде. Требования к техническим средствам приведены в подпунктах 4.1–4.4.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14" w:name="_Toc233626030"/>
      <w:r/>
      <w:bookmarkStart w:id="115" w:name="_Toc232598840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4.1. Аппаратные средства</w:t>
      </w:r>
      <w:bookmarkEnd w:id="114"/>
      <w:r/>
      <w:bookmarkEnd w:id="115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Рекомендуемые требования к серверной части: процессор не ниже Intel Core i7, объём оперативной памяти от 64 ГБ (рекомендуется от 128 ГБ), объём дискового пространства от </w:t>
      </w:r>
      <w:r>
        <w:rPr>
          <w:rFonts w:cs="Times New Roman"/>
          <w:iCs w:val="0"/>
          <w:sz w:val="24"/>
        </w:rPr>
        <w:t xml:space="preserve">4 ТБ (рекомендуется от 16 ТБ), доступ к локальной или корпоративной сети для работы API и обмена с внешними системами. Объём оперативной памяти определяется требованиями обучения моделей; исполнение задач ограничено лимитом памяти контейнера очереди задач.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Для сервиса-шлюза и базы данных используется то же серверное оборудование; отдельные требования к производительности не предъявляются (расчётная нагрузка – до 100 учётных записей, ограничение частоты запросов 10 в секунду на адрес).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Устро</w:t>
      </w:r>
      <w:r>
        <w:rPr>
          <w:rFonts w:cs="Times New Roman"/>
          <w:iCs w:val="0"/>
          <w:sz w:val="24"/>
        </w:rPr>
        <w:t xml:space="preserve">йство сбора данных обеспечивает получение массивов мгновенных значений тока и напряжения: встроенный АЦП с частотой дискретизации не ниже 12 кГц, разрядностью не ниже 14 бит (рекомендуется от 20 бит) и различением гармонических составляющих не ниже 10-го п</w:t>
      </w:r>
      <w:r>
        <w:rPr>
          <w:rFonts w:cs="Times New Roman"/>
          <w:iCs w:val="0"/>
          <w:sz w:val="24"/>
        </w:rPr>
        <w:t xml:space="preserve">орядка. Требования приведены по техническому заданию на съём данных; применяется АЦП одного типа, фактическая частота дискретизации поступающих данных составляет 25,6 кГц, разрядность – 21 бит (значение ADC_max = 2 097 152), что не ниже указанных значений.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16" w:name="_Toc233626031"/>
      <w:r/>
      <w:bookmarkStart w:id="117" w:name="_Toc232598841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4.2. Программные средства (системное ПО)</w:t>
      </w:r>
      <w:bookmarkEnd w:id="116"/>
      <w:r/>
      <w:bookmarkEnd w:id="117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операционная система: Linux семейства Debian версии не ниже Debian 10 или Astra Linux LTS; для проверки применяются РедОС, АстраЛинукс, АльтЛинукс последних стабильных версий и выше (ЧТЗ п. 4.5.1.1);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Docker Engine 20.10 и выше, Docker Compose 2.0 и выше – контейнеризация и развёртывание компонентов комплекса (ЧТЗ п. 4.5.3.2);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PostgreSQL 13 – хранение метаданных, разметки, результатов и состояний задач;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MinIO – объектное хранилище, совместимое с S3;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Redis 7.0 – брокер сообщений и хранилище результатов очереди задач;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Celery 5.3.6 – исполнение асинхронных задач; в составе образа приложения используется клиентская библиотека redis 5.0.1;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Flower – мониторинг очереди задач;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Alembic – применение миграций схемы базы данных.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18" w:name="_Toc233626032"/>
      <w:r/>
      <w:bookmarkStart w:id="119" w:name="_Toc232598842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4.3. Программные средства (прикладное ПО)</w:t>
      </w:r>
      <w:bookmarkEnd w:id="118"/>
      <w:r/>
      <w:bookmarkEnd w:id="119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Прикладное ПО комплекса состоит из двух поставляемых частей. Серверная часть (репозито</w:t>
      </w:r>
      <w:r>
        <w:rPr>
          <w:rFonts w:cs="Times New Roman"/>
          <w:iCs w:val="0"/>
          <w:sz w:val="24"/>
        </w:rPr>
        <w:t xml:space="preserve">рий backend) реализована на Python 3.10; REST API построен на FastAPI 0.104.1 и Uvicorn 0.24 и документируется по спецификации OpenAPI 3.1.0 (ЧТЗ п. 4.5.3.3). Состав модулей Python, обеспечивающих обработку данных и машинное обучение, приведён в таблице 4.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12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4. </w:t>
      </w:r>
      <w:r>
        <w:rPr>
          <w:rFonts w:cs="Times New Roman"/>
          <w:b w:val="0"/>
          <w:iCs w:val="0"/>
          <w:sz w:val="24"/>
        </w:rPr>
        <w:t xml:space="preserve">Прикладные программные средства серверной части (библиотеки Python)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8500" w:type="dxa"/>
        <w:tblCellMar>
          <w:left w:w="100" w:type="dxa"/>
          <w:top w:w="60" w:type="dxa"/>
          <w:right w:w="10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500"/>
        <w:gridCol w:w="4999"/>
      </w:tblGrid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Назначение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Компонент и версия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Язык реализации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  <w:lang w:val="en-US"/>
              </w:rPr>
            </w:pPr>
            <w:r>
              <w:rPr>
                <w:rFonts w:cs="Times New Roman"/>
                <w:bCs w:val="0"/>
                <w:iCs w:val="0"/>
                <w:sz w:val="24"/>
                <w:lang w:val="en-US"/>
              </w:rPr>
              <w:t xml:space="preserve">Python 3.10</w:t>
            </w:r>
            <w:r>
              <w:rPr>
                <w:rFonts w:cs="Times New Roman"/>
                <w:bCs w:val="0"/>
                <w:iCs w:val="0"/>
                <w:lang w:val="en-US"/>
              </w:rPr>
            </w:r>
            <w:r>
              <w:rPr>
                <w:rFonts w:cs="Times New Roman"/>
                <w:bCs w:val="0"/>
                <w:iCs w:val="0"/>
                <w:lang w:val="en-US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Сервер приложений и REST API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FastAPI 0.104.1 (спецификация OpenAPI 3.1.0), Uvicorn 0.24.0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Построение и обучение моделей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  <w:lang w:val="en-US"/>
              </w:rPr>
            </w:pPr>
            <w:r>
              <w:rPr>
                <w:rFonts w:cs="Times New Roman"/>
                <w:bCs w:val="0"/>
                <w:iCs w:val="0"/>
                <w:sz w:val="24"/>
                <w:lang w:val="en-US"/>
              </w:rPr>
              <w:t xml:space="preserve">TensorFlow 2.10.0, Keras 2.10.0</w:t>
            </w:r>
            <w:r>
              <w:rPr>
                <w:rFonts w:cs="Times New Roman"/>
                <w:bCs w:val="0"/>
                <w:iCs w:val="0"/>
                <w:lang w:val="en-US"/>
              </w:rPr>
            </w:r>
            <w:r>
              <w:rPr>
                <w:rFonts w:cs="Times New Roman"/>
                <w:bCs w:val="0"/>
                <w:iCs w:val="0"/>
                <w:lang w:val="en-US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Численные операции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NumPy 1.23.5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Метрики качества классификации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scikit-learn 1.3.0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Спектральный анализ сигналов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librosa 0.11.0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Формат H5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h5py 3.14.0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Формат ONNX и конвертация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onnx 1.12.0, onnxruntime 1.12.1, tf2onnx 1.13.0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Работа с базой данных и миграции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SQLAlchemy 2.0.23, psycopg2-binary 2.9.7, Alembic 1.12.1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Работа с объектным хранилищем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boto3 1.28.62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Очередь задач и мониторинг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Celery 5.3.6, redis 5.0.1, Flower 2.0.1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Валидация данных и настройки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pydantic 2.4.2, pydantic-settings 2.0.3, python-multipart 0.0.6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Сервис-шлюз (репозиторий middleware) реализован на Python версии 3.11 и выше (базовый образ python:3.12-slim) и объеди</w:t>
      </w:r>
      <w:r>
        <w:rPr>
          <w:rFonts w:cs="Times New Roman"/>
          <w:iCs w:val="0"/>
          <w:sz w:val="24"/>
        </w:rPr>
        <w:t xml:space="preserve">няет собственно шлюз (порт 8082) и сервис авторизации (порт 8081, OAuth 2.0, токены RS256); состав прикладных программных средств приведён в таблице 5. В файле зависимостей шлюза версии заданы нижними границами, точные версии фиксируются при сборке образа.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12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5. </w:t>
      </w:r>
      <w:r>
        <w:rPr>
          <w:rFonts w:cs="Times New Roman"/>
          <w:b w:val="0"/>
          <w:iCs w:val="0"/>
          <w:sz w:val="24"/>
        </w:rPr>
        <w:t xml:space="preserve">Прикладные программные средства сервиса-шлюза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8500" w:type="dxa"/>
        <w:tblCellMar>
          <w:left w:w="100" w:type="dxa"/>
          <w:top w:w="60" w:type="dxa"/>
          <w:right w:w="10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500"/>
        <w:gridCol w:w="4999"/>
      </w:tblGrid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Назначение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Компонент и версия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Язык реализации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  <w:lang w:val="en-US"/>
              </w:rPr>
            </w:pPr>
            <w:r>
              <w:rPr>
                <w:rFonts w:cs="Times New Roman"/>
                <w:bCs w:val="0"/>
                <w:iCs w:val="0"/>
                <w:sz w:val="24"/>
                <w:lang w:val="en-US"/>
              </w:rPr>
              <w:t xml:space="preserve">Python 3.11 и выше (базовый образ python:3.12-slim)</w:t>
            </w:r>
            <w:r>
              <w:rPr>
                <w:rFonts w:cs="Times New Roman"/>
                <w:bCs w:val="0"/>
                <w:iCs w:val="0"/>
                <w:lang w:val="en-US"/>
              </w:rPr>
            </w:r>
            <w:r>
              <w:rPr>
                <w:rFonts w:cs="Times New Roman"/>
                <w:bCs w:val="0"/>
                <w:iCs w:val="0"/>
                <w:lang w:val="en-US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REST API шлюза и сервиса авторизации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FastAPI не ниже 0.115.0, Uvicorn с дополнением standard не ниже 0.30.0; спецификация OpenAPI 3.1.0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Хранение учётных записей, ролей и прав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  <w:lang w:val="en-US"/>
              </w:rPr>
            </w:pPr>
            <w:r>
              <w:rPr>
                <w:rFonts w:cs="Times New Roman"/>
                <w:bCs w:val="0"/>
                <w:iCs w:val="0"/>
                <w:sz w:val="24"/>
                <w:lang w:val="en-US"/>
              </w:rPr>
              <w:t xml:space="preserve">SQLAlchemy в асинхронном режиме не ниже 2.0.0, драйвер asyncpg не ниже 0.30.0, миграции Alembic не ниже 1.14.0</w:t>
            </w:r>
            <w:r>
              <w:rPr>
                <w:rFonts w:cs="Times New Roman"/>
                <w:bCs w:val="0"/>
                <w:iCs w:val="0"/>
                <w:lang w:val="en-US"/>
              </w:rPr>
            </w:r>
            <w:r>
              <w:rPr>
                <w:rFonts w:cs="Times New Roman"/>
                <w:bCs w:val="0"/>
                <w:iCs w:val="0"/>
                <w:lang w:val="en-US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Обмен с сервером приложений и сервисом авторизации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httpx не ниже 0.28.0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Аутентификация и работа с токенами доступа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PyJWT не ниже 2.9.0 (алгоритм RS256), bcrypt не ниже 4.2.0, cryptography не ниже 42.0.0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Валидация данных и настройки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pydantic не ниже 2.0.0, pydantic-settings не ниже 2.0.0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35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Конфигурация и перечисления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49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PyYAML не ниже 6.0.0 (файл config/gateway.yaml), StrEnum не ниже 0.4.0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Форматы данных: CSV (данные измерений и разметка), JSON (метаданные, результаты, состояния задач), H5 (модели), ONNX (экспорт модели), ZIP (архивы отчётов), TXT (отчёты о тестировании), Base64 и Hex (кодирование массивов мгновенных значений внутри CSV).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20" w:name="_Toc233626033"/>
      <w:r/>
      <w:bookmarkStart w:id="121" w:name="_Toc232598843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4.4. Среда функционирования</w:t>
      </w:r>
      <w:bookmarkEnd w:id="120"/>
      <w:r/>
      <w:bookmarkEnd w:id="121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Развёртывание выполняется средствами Docker Compose; состав контейнеров и их взаимодействие: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app – сервер приложений (порт 8000), точка доступа к REST API;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celery-worker – контейнер исполнения задач; число процессов задаётся параметром, доступная память ограничивается настройкой развёртывания;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flower – мониторинг очереди задач (порт 5555);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db – PostgreSQL (порт 5432), redis – брокер задач (порт 6379), minio – объектное хранилище (порты 9000 и 9001);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gateway – сервис-шлюз (порт 8082), доступный внешним системам; сервис авторизации и база данных шлюза (порт 5433) развёртываются вместе со шлюзом;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контейнеры объединены в общую виртуальную сеть; публикуются только порты, необходимые для доступа пользователей и внешних систем;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источником конфигурации служат файлы окружения (режимы dev, demo, prod), размещённые в каталоге config;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масштабирование выполняется добавлением процессов исполнения задач.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22" w:name="_Toc233626034"/>
      <w:r/>
      <w:bookmarkStart w:id="123" w:name="_Toc232598844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4.5. Требования к персоналу</w:t>
      </w:r>
      <w:bookmarkEnd w:id="122"/>
      <w:r/>
      <w:bookmarkEnd w:id="123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Для эксплуатации и сопровождения необходим персонал со следующими компетенциями: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администрирование Linux-систем;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работа с Docker и Docker Compose;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настройка и сопровождение PostgreSQL и объектного хранилища;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работа с Redis и системами очередей задач;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знание основ машинного обучения для настройки параметров обучения и интерпретации метрик качества;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настройка прав доступа пользователей и внешних систем.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Численность персонала: для развёртывани</w:t>
      </w:r>
      <w:r>
        <w:rPr>
          <w:rFonts w:cs="Times New Roman"/>
          <w:iCs w:val="0"/>
          <w:sz w:val="24"/>
        </w:rPr>
        <w:t xml:space="preserve">я и сопровождения — один специалист (развёртывание, обновление и перезапуск комплекса, выдача прав доступа на сервисе-шлюзе); для эксплуатации — не менее одного специалиста (обучение моделей, загрузка данных и разметки, контроль результатов идентификации).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6"/>
        <w:keepNext w:val="true"/>
        <w:keepLines w:val="false"/>
        <w:numPr>
          <w:ilvl w:val="0"/>
          <w:numId w:val="0"/>
        </w:numPr>
        <w:pBdr/>
        <w:spacing w:after="360" w:before="360" w:line="360" w:lineRule="auto"/>
        <w:ind w:right="140" w:firstLine="0" w:left="0"/>
        <w:contextualSpacing w:val="false"/>
        <w:jc w:val="center"/>
        <w:rPr>
          <w:rFonts w:cs="Times New Roman"/>
          <w:iCs w:val="0"/>
          <w:color w:val="auto"/>
        </w:rPr>
      </w:pPr>
      <w:r/>
      <w:bookmarkStart w:id="124" w:name="_Toc233626035"/>
      <w:r/>
      <w:bookmarkStart w:id="125" w:name="_Toc232598845"/>
      <w:r>
        <w:rPr>
          <w:rFonts w:cs="Times New Roman"/>
          <w:b/>
          <w:i w:val="0"/>
          <w:iCs w:val="0"/>
          <w:color w:val="auto"/>
          <w:sz w:val="24"/>
        </w:rPr>
        <w:t xml:space="preserve">5. ВЫЗОВ И ЗАГРУЗКА</w:t>
      </w:r>
      <w:bookmarkEnd w:id="124"/>
      <w:r/>
      <w:bookmarkEnd w:id="125"/>
      <w:r>
        <w:rPr>
          <w:rFonts w:cs="Times New Roman"/>
          <w:iCs w:val="0"/>
          <w:color w:val="auto"/>
        </w:rPr>
      </w:r>
      <w:r>
        <w:rPr>
          <w:rFonts w:cs="Times New Roman"/>
          <w:iCs w:val="0"/>
          <w:color w:val="auto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26" w:name="_Toc232598846"/>
      <w:r/>
      <w:bookmarkStart w:id="127" w:name="_Toc233626036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5.1. Общая схема взаимодействия</w:t>
      </w:r>
      <w:bookmarkEnd w:id="126"/>
      <w:r/>
      <w:bookmarkEnd w:id="127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ПК ОТН предоставляет REST API для взаимодействия с пользователями и внешними системами. Внешние системы обращаются к сервису-шлюзу, кот</w:t>
      </w:r>
      <w:r>
        <w:rPr>
          <w:rFonts w:cs="Times New Roman"/>
          <w:iCs w:val="0"/>
          <w:sz w:val="24"/>
        </w:rPr>
        <w:t xml:space="preserve">орый выполняет аутентификацию, проверку прав, передачу запроса в сервер приложений и приведение ответа к единому формату; прямой доступ внешних систем к серверу приложений не предусмотрен. API документируется по спецификации OpenAPI 3.1.0 (ЧТЗ п. 4.5.3.3).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Основные функции вызова и загрузки обеспечивают: сервер приложений (FastA</w:t>
      </w:r>
      <w:r>
        <w:rPr>
          <w:rFonts w:cs="Times New Roman"/>
          <w:iCs w:val="0"/>
          <w:sz w:val="24"/>
        </w:rPr>
        <w:t xml:space="preserve">PI) – приём HTTP-запросов; PostgreSQL – хранение метаданных, разметки, результатов и состояний задач; MinIO – хранение файловых артефактов; Redis и Celery – асинхронную обработку и постановку задач; сервис-шлюз – доступ внешних систем и разграничение прав.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Загрузка (развёртывание) комплекса выполняется на сервере средствами Docker Compose под управлением скрипта управления ./scripts/energomera.sh. Запуск</w:t>
      </w:r>
      <w:r>
        <w:rPr>
          <w:rFonts w:cs="Times New Roman"/>
          <w:iCs w:val="0"/>
          <w:sz w:val="24"/>
        </w:rPr>
        <w:t xml:space="preserve">: ./scripts/energomera.sh start [dev|demo|prod] – окружение по умолчанию dev. Перед сборкой образа скрипт формирует временные файлы requirements.txt (перечень зависимостей Python, выгружаемый из манифеста pdm) и version.json (сведения о ветви, редакции и д</w:t>
      </w:r>
      <w:r>
        <w:rPr>
          <w:rFonts w:cs="Times New Roman"/>
          <w:iCs w:val="0"/>
          <w:sz w:val="24"/>
        </w:rPr>
        <w:t xml:space="preserve">ате сборки), затем собирает образ приложения, запускает контейнеры и удаляет временные файлы. Прямой вызов docker compose вместо скрипта не применяется: без перечисленных файлов образ приложения не собирается и сведения о редакции комплекса не формируются.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Остановка и управление: ./scripts/energomera.sh stop [env] – остановка контейнеров без удаления; ./scripts/energomera.sh down [env] – остановка с удалением контейнеров (тома данных сохраняютс</w:t>
      </w:r>
      <w:r>
        <w:rPr>
          <w:rFonts w:cs="Times New Roman"/>
          <w:iCs w:val="0"/>
          <w:sz w:val="24"/>
        </w:rPr>
        <w:t xml:space="preserve">я); ./scripts/energomera.sh restart [env] – перезапуск; ./scripts/energomera.sh status [env] – состояние контейнеров; ./scripts/energomera.sh logs [env] – журналы; ./scripts/energomera.sh update [env] – обновление приложения (пересборка и перезапуск сервер</w:t>
      </w:r>
      <w:r>
        <w:rPr>
          <w:rFonts w:cs="Times New Roman"/>
          <w:iCs w:val="0"/>
          <w:sz w:val="24"/>
        </w:rPr>
        <w:t xml:space="preserve">а приложений и контейнера исполнения задач); ./scripts/energomera.sh rollback [env] – откат к предыдущему образу. Полный перечень команд, режимы окружений и порядок развёртывания сервиса-шлюза приведены в Руководстве системного программиста (пп. 3.3, 3.4).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При первом запуске сервер приложений создаёт базу данных и применяет миграции схемы автоматически (docker/entrypoint.sh, migrations/migrations.sh); контейнер сервера приложений запускается после подтверждения готовности PostgreSQL, Redis и MinIO. Данные</w:t>
      </w:r>
      <w:r>
        <w:rPr>
          <w:rFonts w:cs="Times New Roman"/>
          <w:iCs w:val="0"/>
          <w:sz w:val="24"/>
        </w:rPr>
        <w:t xml:space="preserve">, сохраняемые между развёртываниями (база данных, объектное хранилище, очередь задач), размещаются в томах Docker, поэтому повторное развёртывание данные не уничтожает; порядок резервного копирования приведён в Руководстве системного программиста (п. 3.5).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Точки входа после запуска: http://&lt;хост&gt;:8000/docs – интерактивный интерфейс Swagger UI; http://&lt;хост&gt;:8000/redoc – инте</w:t>
      </w:r>
      <w:r>
        <w:rPr>
          <w:rFonts w:cs="Times New Roman"/>
          <w:iCs w:val="0"/>
          <w:sz w:val="24"/>
        </w:rPr>
        <w:t xml:space="preserve">рфейс ReDoc; http://&lt;хост&gt;:8000/openapi.json – спецификация API в формате JSON (OpenAPI 3.1.0). Внешние системы обращаются к методам через сервис-шлюз (по умолчанию порт 8082, путь /api/*); документация методов шлюза – http://&lt;хост&gt;:8082/docs. Пример для л</w:t>
      </w:r>
      <w:r>
        <w:rPr>
          <w:rFonts w:cs="Times New Roman"/>
          <w:iCs w:val="0"/>
          <w:sz w:val="24"/>
        </w:rPr>
        <w:t xml:space="preserve">окального развёртывания: http://localhost:8000/docs. Интерфейс Swagger UI подгружает статические ресурсы (JavaScript, CSS) из внешних источников, поэтому в закрытом контуре применяется файл /openapi.json либо размещение статических ресурсов внутри контура.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28" w:name="_Toc233626037"/>
      <w:r/>
      <w:bookmarkStart w:id="129" w:name="_Toc232598847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5.2. Вызов функций через REST API</w:t>
      </w:r>
      <w:bookmarkEnd w:id="128"/>
      <w:r/>
      <w:bookmarkEnd w:id="129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Функциональность комплекса доступна через REST API. Основные вызовы включают: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а) просмотр перечня файлов данных и разметки;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б) загрузка файлов данных (RAW) и файлов разметки (LOADS), скачивание и удаление файлов;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в) создание датасета, просмотр перечня датасетов, изменение и удаление датасета;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г) заполнение датасета из загруженных файлов (формирование данных и разметки);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д) ведение справочника нагрузок;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е) создание модели и загрузка готовой модели, просмотр перечня моделей и архитектур, удаление модели;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ж) запуск обучения модели с указанием датасета и параметров обучения;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з) запуск тестирования модели на размеченном датасете;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и) запуск идентификации нагрузки по датасету и синхронный инференс по одному фрагменту измерений;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к) запуск подбора гиперпараметров и просмотр результатов отбора;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л) получение перечня и состояния задач, приостановка, возобновление и аварийное прерывание задач;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м) получение свойств модели, скачивание файла модели в формате H5 и экспорт модели в формате ONNX;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н) получение результатов идентификации и отчётов о качестве классификации по данным задачи;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о) аутентификация, обновление и отзыв токенов доступа;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п) управление учётными записями и правами ролей (Администратор).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Вызовы методов комплекса выполняются с токеном доступа, выданным сервисом-шлюзом; сервис-шлюз проверяет право роли на метод и путь запроса. Ответы методов, возвращающих данные, формируются в формате JSON.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30" w:name="_Toc233626038"/>
      <w:r/>
      <w:bookmarkStart w:id="131" w:name="_Toc232598848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5.3. Загрузка входных данных</w:t>
      </w:r>
      <w:bookmarkEnd w:id="130"/>
      <w:r/>
      <w:bookmarkEnd w:id="131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загрузка данных выполняется методом POST /api/data/file с передачей файла и его типа (RAW либо LOADS); поддерживается загрузка одного файла за запрос;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загруженный файл размещается в объектном хранилище (ключ вида {тип}/{год}/{месяц}/{день}/{имя}), в PostgreSQL вносится запись метаданных файла (идентификатор, имя, путь, размер, тип, дата импорта);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данные, полученные от внешних систем, передаются в комплекс через сервис-шлюз теми же методами;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после загрузки данные доступны для заполнения датасетов, обучения, тестирования и идентификации.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32" w:name="_Toc233626039"/>
      <w:r/>
      <w:bookmarkStart w:id="133" w:name="_Toc232598849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5.4. Восстановление после отказа</w:t>
      </w:r>
      <w:bookmarkEnd w:id="132"/>
      <w:r/>
      <w:bookmarkEnd w:id="133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После нефатального сбоя (сбой операционной системы, отключение питания) комплекс </w:t>
      </w:r>
      <w:r>
        <w:rPr>
          <w:rFonts w:cs="Times New Roman"/>
          <w:iCs w:val="0"/>
          <w:sz w:val="24"/>
        </w:rPr>
        <w:t xml:space="preserve">приводится в работоспособное состояние запуском контейнеров средствами Docker Compose в порядке, заданном зависимостями с проверкой работоспособности сервисов. Состояние задач и их результаты хранятся в PostgreSQL, файловые артефакты – в объектном хранилищ</w:t>
      </w:r>
      <w:r>
        <w:rPr>
          <w:rFonts w:cs="Times New Roman"/>
          <w:iCs w:val="0"/>
          <w:sz w:val="24"/>
        </w:rPr>
        <w:t xml:space="preserve">е, поэтому после восстановления сведения о ранее выполненных и незавершённых задачах сохраняются. Задача, работа которой была прервана сбоем, выполняется повторно вызовом метода, которым она была запущена. Время восстановления не превышает времени перезагр</w:t>
      </w:r>
      <w:r>
        <w:rPr>
          <w:rFonts w:cs="Times New Roman"/>
          <w:iCs w:val="0"/>
          <w:sz w:val="24"/>
        </w:rPr>
        <w:t xml:space="preserve">узки операционной системы и запуска контейнеров (ЧТЗ п. 4.2.2.1); фактическая продолжительность восстановления измеряется при испытаниях – перезапуском контейнеров с замером интервала до восстановления доступности методов комплекса (ПМИ 1.4, метод 7.3.14).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после фатального сбоя (отказ технических средств) выполняется устранение неисправности и повторное развёртывание комплекса из образов с восстановлением данных PostgreSQL и объектного хранилища (ЧТЗ п. 4.2.2.2).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6"/>
        <w:keepNext w:val="true"/>
        <w:keepLines w:val="false"/>
        <w:numPr>
          <w:ilvl w:val="0"/>
          <w:numId w:val="0"/>
        </w:numPr>
        <w:pBdr/>
        <w:spacing w:after="360" w:before="360" w:line="360" w:lineRule="auto"/>
        <w:ind w:right="140" w:firstLine="0" w:left="0"/>
        <w:contextualSpacing w:val="false"/>
        <w:jc w:val="center"/>
        <w:rPr>
          <w:rFonts w:cs="Times New Roman"/>
          <w:iCs w:val="0"/>
          <w:color w:val="auto"/>
        </w:rPr>
      </w:pPr>
      <w:r/>
      <w:bookmarkStart w:id="134" w:name="_Toc233626040"/>
      <w:r/>
      <w:bookmarkStart w:id="135" w:name="_Toc232598850"/>
      <w:r>
        <w:rPr>
          <w:rFonts w:cs="Times New Roman"/>
          <w:b/>
          <w:i w:val="0"/>
          <w:iCs w:val="0"/>
          <w:color w:val="auto"/>
          <w:sz w:val="24"/>
        </w:rPr>
        <w:t xml:space="preserve">6. ВХОДНЫЕ ДАННЫЕ</w:t>
      </w:r>
      <w:bookmarkEnd w:id="134"/>
      <w:r/>
      <w:bookmarkEnd w:id="135"/>
      <w:r>
        <w:rPr>
          <w:rFonts w:cs="Times New Roman"/>
          <w:iCs w:val="0"/>
          <w:color w:val="auto"/>
        </w:rPr>
      </w:r>
      <w:r>
        <w:rPr>
          <w:rFonts w:cs="Times New Roman"/>
          <w:iCs w:val="0"/>
          <w:color w:val="auto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ПК ОТН работает с измерительными и служебными данными, поступающими от пользователей и внешних систем. Входные данные разделяются на следующие категории: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CSV-файлы данных измерений (тип RAW) – основной формат входных данных;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массивы мгновенных значений тока и напряжения внутри CSV-файлов данных;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файлы разметки классов нагрузки (тип LOADS);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данные, поступающие от внешних систем через сервис-шлюз;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параметры запуска задач и учётные данные пользователей.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36" w:name="_Toc233626041"/>
      <w:r/>
      <w:bookmarkStart w:id="137" w:name="_Toc232598851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6.1. Формат CSV с измерениями</w:t>
      </w:r>
      <w:bookmarkEnd w:id="136"/>
      <w:r/>
      <w:bookmarkEnd w:id="137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12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6. </w:t>
      </w:r>
      <w:r>
        <w:rPr>
          <w:rFonts w:cs="Times New Roman"/>
          <w:b w:val="0"/>
          <w:iCs w:val="0"/>
          <w:sz w:val="24"/>
        </w:rPr>
        <w:t xml:space="preserve">Формат CSV с измерениями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9352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7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b/>
                <w:sz w:val="20"/>
              </w:rPr>
              <w:t xml:space="preserve">Поле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b/>
                <w:sz w:val="20"/>
              </w:rPr>
              <w:t xml:space="preserve">Тип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b/>
                <w:sz w:val="20"/>
              </w:rPr>
              <w:t xml:space="preserve">Пример</w:t>
            </w:r>
            <w:r/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b/>
                <w:sz w:val="20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chunkID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GUID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8e123cc0-bf1d-…</w:t>
            </w:r>
            <w:r/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Идентификатор фрагмента измерений</w:t>
            </w:r>
            <w:r/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timestamp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целое число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1744903515648</w:t>
            </w:r>
            <w:r/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Время начала фрагмента, Unix Timestamp (UTC), миллисекунды</w:t>
            </w:r>
            <w:r/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U_A_rms, U_B_rms, U_C_rms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float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223.05</w:t>
            </w:r>
            <w:r/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Действующие значения напряжения по фазам A, B, C, В</w:t>
            </w:r>
            <w:r/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I_A_rms, I_B_rms, I_C_rms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float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0.55</w:t>
            </w:r>
            <w:r/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Действующие значения тока по фазам A, B, C, А</w:t>
            </w:r>
            <w:r/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sample_rate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целое число, Гц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25600</w:t>
            </w:r>
            <w:r/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Частота дискретизации АЦП</w:t>
            </w:r>
            <w:r/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signal_length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целое число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2048</w:t>
            </w:r>
            <w:r/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Число отсчётов в окне выборки</w:t>
            </w:r>
            <w:r/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channel_mask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строка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b00111111</w:t>
            </w:r>
            <w:r/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Маска каналов, по которым переданы сигналы (трассировочные данные устройства сбора; при обработке данных комплексом не используется)</w:t>
            </w:r>
            <w:r/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signal_bytes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целое число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3</w:t>
            </w:r>
            <w:r/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Число байт в одном отсчёте канала</w:t>
            </w:r>
            <w:r/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byte_order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строка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Little</w:t>
            </w:r>
            <w:r/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Порядок байт при кодировании сигналов (Little, Big)</w:t>
            </w:r>
            <w:r/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coding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строка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Base64</w:t>
            </w:r>
            <w:r/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Способ кодирования сигналов (Base64, Hex)</w:t>
            </w:r>
            <w:r/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U_mult, U_dev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целое число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23147 / 47</w:t>
            </w:r>
            <w:r/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Множитель и делитель пересчёта напряжения</w:t>
            </w:r>
            <w:r/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I_mult, I_dev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целое число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25000 / 66</w:t>
            </w:r>
            <w:r/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Множитель и делитель пересчёта тока</w:t>
            </w:r>
            <w:r/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ADC_scale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float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0.93</w:t>
            </w:r>
            <w:r/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Максимальное напряжение на входе АЦП, В (дополнительное поле; при отсутствии поля применяется значение по умолчанию 0,93 В)</w:t>
            </w:r>
            <w:r/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ADC_max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целое число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2097152</w:t>
            </w:r>
            <w:r/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Максимальное значение на выходе АЦП (дополнительное поле; при отсутствии поля применяется значение по умолчанию 2 097 152 = 2²¹, разрядность АЦП – 21 бит, не ниже требуемых 14 бит – п. 4.1)</w:t>
            </w:r>
            <w:r/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U_A_signal, U_B_signal, U_C_signal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Base64 или Hex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…</w:t>
            </w:r>
            <w:r/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Массивы мгновенных значений напряжения по фазам A, B, C</w:t>
            </w:r>
            <w:r/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I_A_signal, I_B_signal, I_C_signal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Base64 или Hex</w:t>
            </w:r>
            <w:r/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…</w:t>
            </w:r>
            <w:r/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745"/>
              <w:pBdr/>
              <w:spacing/>
              <w:ind w:firstLine="0"/>
              <w:rPr/>
            </w:pPr>
            <w:r>
              <w:rPr>
                <w:sz w:val="20"/>
              </w:rPr>
              <w:t xml:space="preserve">Массивы мгновенных значений тока по фазам A, B, C</w:t>
            </w:r>
            <w:r/>
          </w:p>
        </w:tc>
      </w:tr>
    </w:tbl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Разделителем полей служит символ «;</w:t>
      </w:r>
      <w:r>
        <w:rPr>
          <w:rFonts w:cs="Times New Roman"/>
          <w:iCs w:val="0"/>
          <w:sz w:val="24"/>
        </w:rPr>
        <w:t xml:space="preserve">», кодировка файла – UTF-8. Обязательные поля файла данных приведены в таблице 6; поля ADC_scale и ADC_max являются дополнительными и используются при пересчёте значений, при их отсутствии применяются значения по умолчанию. Разделителем значений внутри мас</w:t>
      </w:r>
      <w:r>
        <w:rPr>
          <w:rFonts w:cs="Times New Roman"/>
          <w:iCs w:val="0"/>
          <w:sz w:val="24"/>
        </w:rPr>
        <w:t xml:space="preserve">сивов мгновенных значений служит символ «;». Допускается наличие дополнительных полей. Состав полей соответствует требованиям п. 4.1.4.3 ЧТЗ; формальный перечень входных и выходных данных приведён в Руководстве программиста (РП2). (Согласно ЧТЗ п. 4.1.4.3)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38" w:name="_Toc233626042"/>
      <w:r/>
      <w:bookmarkStart w:id="139" w:name="_Toc232598852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6.2. Формат CSV с разметкой</w:t>
      </w:r>
      <w:bookmarkEnd w:id="138"/>
      <w:r/>
      <w:bookmarkEnd w:id="139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120" w:line="360" w:lineRule="auto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7. </w:t>
      </w:r>
      <w:r>
        <w:rPr>
          <w:rFonts w:cs="Times New Roman"/>
          <w:b w:val="0"/>
          <w:iCs w:val="0"/>
          <w:sz w:val="24"/>
        </w:rPr>
        <w:t xml:space="preserve">Формат CSV с разметкой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8500" w:type="dxa"/>
        <w:tblCellMar>
          <w:left w:w="100" w:type="dxa"/>
          <w:top w:w="60" w:type="dxa"/>
          <w:right w:w="10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19"/>
        <w:gridCol w:w="1575"/>
        <w:gridCol w:w="1820"/>
        <w:gridCol w:w="2985"/>
      </w:tblGrid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1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57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82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Пример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98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1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markupID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57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GUID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82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…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98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записи разметки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1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chunkID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57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GUID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82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8e123cc0-…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98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Ссылка на фрагмент измерений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1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LoadID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57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строка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82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5090b651-…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98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нагрузки в справочнике нагрузок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1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Ph_n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57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строка (4 символа)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82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Ph_A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98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Фаза подключения нагрузки (Ph_A, Ph_B, Ph_C, Ph_E)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11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Category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57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строка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182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Майнинговая ферма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tcW w:w="2985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Класс нагрузки согласно Приложению №2 к ЧТЗ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Поля </w:t>
      </w:r>
      <w:r>
        <w:rPr>
          <w:rFonts w:cs="Times New Roman"/>
          <w:iCs w:val="0"/>
          <w:sz w:val="24"/>
        </w:rPr>
        <w:t xml:space="preserve">markupID, chunkID, LoadID, ph_n и category обязательны и проверяются при загрузке файла. Поле ph_n принимает значения Ph_A, Ph_B, Ph_C, Ph_E; допускается ввод символов кириллицы с автоматической заменой на латинские (А, В, С, Е). Поле LoadID ссылается на н</w:t>
      </w:r>
      <w:r>
        <w:rPr>
          <w:rFonts w:cs="Times New Roman"/>
          <w:iCs w:val="0"/>
          <w:sz w:val="24"/>
        </w:rPr>
        <w:t xml:space="preserve">агрузку в справочнике нагрузок; поле category задаёт класс нагрузки согласно Приложению №2, таблица 1 к ЧТЗ (майнинговая ферма; электроотопительный прибор; устройство малой генерации; прочие виды нагрузок) и применяется при обучении и тестировании моделей.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40" w:name="_Toc233626043"/>
      <w:r/>
      <w:bookmarkStart w:id="141" w:name="_Toc232598853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6.3. Массивы мгновенных значений и профили сигналов</w:t>
      </w:r>
      <w:bookmarkEnd w:id="140"/>
      <w:r/>
      <w:bookmarkEnd w:id="141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Основной вид входных данных – массивы мгновенных значений напряжений и токов в сетях 0,4 кВ. Массивы мгновенных значений передаются в текстовом представлении внутри CSV-файла (кодирование Base64 либо Hex, по</w:t>
      </w:r>
      <w:r>
        <w:rPr>
          <w:rFonts w:cs="Times New Roman"/>
          <w:iCs w:val="0"/>
          <w:sz w:val="24"/>
        </w:rPr>
        <w:t xml:space="preserve">ле coding) и декодируются при заполнении датасета с учётом порядка байт (byte_order) и числа байт на отсчёт (signal_bytes). Для каждого фрагмента указываются длина сигнала (signal_length), частота дискретизации (sample_rate) и маска каналов (channel_mask).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Параллельно с массивами мгновенных значений фиксируются действующие значения напряжения и тока по фазам (RMS), метка времени в UTC и коэффициенты пересчёта к физическим величинам (U_mult/U_dev, I_mult/I_dev, ADC_scale, ADC_max).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42" w:name="_Toc233626044"/>
      <w:r/>
      <w:bookmarkStart w:id="143" w:name="_Toc232598854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6.4. Метаданные измерений</w:t>
      </w:r>
      <w:bookmarkEnd w:id="142"/>
      <w:r/>
      <w:bookmarkEnd w:id="143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Каждый фрагмент данных сопровождается идентификатором (chunkID) и меткой времени (timestamp). Дополнительно указываются параметры измерений: частота дискрет</w:t>
      </w:r>
      <w:r>
        <w:rPr>
          <w:rFonts w:cs="Times New Roman"/>
          <w:iCs w:val="0"/>
          <w:sz w:val="24"/>
        </w:rPr>
        <w:t xml:space="preserve">изации, разрядность АЦП и коэффициенты пересчёта, маска каналов, порядок байт и способ кодирования сигналов. Средствами комплекса фиксируются метаданные файла (имя, размер, тип, дата импорта), принадлежность данных датасету, а также идентификаторы нагрузок</w:t>
      </w:r>
      <w:r>
        <w:rPr>
          <w:rFonts w:cs="Times New Roman"/>
          <w:iCs w:val="0"/>
          <w:sz w:val="24"/>
        </w:rPr>
        <w:t xml:space="preserve"> и фаз при разметке. Формат описания профилей и методик получения данных соответствует требованиям пп. 4.1.2.3.4, 4.1.2.3.5 ЧТЗ; перечень регистрируемых параметров определён Приложением №1 к ЧТЗ. (Согласно ЧТЗ п. 4.1.2.3.4, 4.1.2.3.5, 4.1.2.4.7, 4.1.2.4.8)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44" w:name="_Toc233626045"/>
      <w:r/>
      <w:bookmarkStart w:id="145" w:name="_Toc232598855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6.5. Размеченные данные</w:t>
      </w:r>
      <w:bookmarkEnd w:id="144"/>
      <w:r/>
      <w:bookmarkEnd w:id="145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Комплекс принимает размеченные данные: файлы разметки (тип LOADS) связывают фр</w:t>
      </w:r>
      <w:r>
        <w:rPr>
          <w:rFonts w:cs="Times New Roman"/>
          <w:iCs w:val="0"/>
          <w:sz w:val="24"/>
        </w:rPr>
        <w:t xml:space="preserve">агмент измерений с нагрузкой (LoadID), фазой подключения (ph_n) и классом нагрузки (category). Разметка сохраняется в базе данных вместе с данными датасета и применяется при обучении и тестировании моделей; для идентификации нагрузки разметка не требуется.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Комплекс не разрешает конфликты разметки. Повторная запись фрагмента измерений в датасет не выполняется: если запись с таким </w:t>
      </w:r>
      <w:r>
        <w:rPr>
          <w:rFonts w:cs="Times New Roman"/>
          <w:iCs w:val="0"/>
          <w:sz w:val="24"/>
        </w:rPr>
        <w:t xml:space="preserve">идентификатором фрагмента (chunkID) в датасете уже присутствует, последующие записи с тем же идентификатором отбрасываются – сохраняется запись, обработанная первой. Разметка дедуплицируется по набору «фрагмент измерений – нагрузка – фаза подключения»: при</w:t>
      </w:r>
      <w:r>
        <w:rPr>
          <w:rFonts w:cs="Times New Roman"/>
          <w:iCs w:val="0"/>
          <w:sz w:val="24"/>
        </w:rPr>
        <w:t xml:space="preserve"> наличии такой записи повторная не создаётся. Класс нагрузки (category) закрепляется за нагрузкой (LoadID) по первой записи – справочник нагрузок пополняется записью с классом, встреченным первым. Указанный порядок исключает дублирование данных в датасете.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Записи разметки с недопустимым значением фазы, а также записи, которым не соответствует ни один фр</w:t>
      </w:r>
      <w:r>
        <w:rPr>
          <w:rFonts w:cs="Times New Roman"/>
          <w:iCs w:val="0"/>
          <w:sz w:val="24"/>
        </w:rPr>
        <w:t xml:space="preserve">агмент измерений датасета, при заполнении пропускаются; сведения о числе пропущенных записей фиксируются в журнале выполнения задачи. Файлы, содержащие разные данные или разную разметку при одном и том же идентификаторе фрагмента, рассматриваются как некач</w:t>
      </w:r>
      <w:r>
        <w:rPr>
          <w:rFonts w:cs="Times New Roman"/>
          <w:iCs w:val="0"/>
          <w:sz w:val="24"/>
        </w:rPr>
        <w:t xml:space="preserve">ественные исходные данные: идентификатор фрагмента уникален (GUID), его повтор при съёме данных – ошибка подготовки данных. Комплекс такие конфликты не выявляет и не разрешает; уникальность идентификаторов фрагментов при съёме данных обеспечивает оператор.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46" w:name="_Toc232598856"/>
      <w:r/>
      <w:bookmarkStart w:id="147" w:name="_Toc233626046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6.6. Файлы CSV</w:t>
      </w:r>
      <w:bookmarkEnd w:id="146"/>
      <w:r/>
      <w:bookmarkEnd w:id="147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CSV является основным форматом обмена данными. Минимальный состав полей файла данных: chunkID, timestamp, U_A_rms…U_C_rms, I_A_rms…I_C_rms, sample_rate, signal_length, channel_mask, signal_bytes, byte_order, coding, U_mult, U_dev, </w:t>
      </w:r>
      <w:r>
        <w:rPr>
          <w:rFonts w:cs="Times New Roman"/>
          <w:iCs w:val="0"/>
          <w:sz w:val="24"/>
        </w:rPr>
        <w:t xml:space="preserve">I_mult, I_dev, U_A_signal…I_C_signal; полный состав полей приведён в таблице 6. Разделитель полей – «;», кодировка – UTF-8, расширение файла – .csv; тип содержимого запроса – text/csv либо application/vnd.ms-excel. Допускается наличие дополнительных полей.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48" w:name="_Toc233626047"/>
      <w:r/>
      <w:bookmarkStart w:id="149" w:name="_Toc232598857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6.7. Данные от устройств через ИСУЭ ceCloud</w:t>
      </w:r>
      <w:bookmarkEnd w:id="148"/>
      <w:r/>
      <w:bookmarkEnd w:id="149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Данные от приборов учёта электроэнергии поступают </w:t>
      </w:r>
      <w:r>
        <w:rPr>
          <w:rFonts w:cs="Times New Roman"/>
          <w:iCs w:val="0"/>
          <w:sz w:val="24"/>
        </w:rPr>
        <w:t xml:space="preserve">в ПО «ceCloud» Индустриального партнёра по каналам связи (LoRa, NB-IoT и др.) и передаются в ПК ОТН внешней системой через сервис-шлюз теми же методами, что и файлы, загружаемые пользователями. Состав полей данных аналогичен составу, приведённому в п. 6.1.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При идентификации наг</w:t>
      </w:r>
      <w:r>
        <w:rPr>
          <w:rFonts w:cs="Times New Roman"/>
          <w:iCs w:val="0"/>
          <w:sz w:val="24"/>
        </w:rPr>
        <w:t xml:space="preserve">рузки разметка не передаётся и для её выполнения не требуется: датасет формируется заполнением только файлами данных (тип RAW) – методом POST /api/datasets/fill/{dataset_id}, в котором перечень идентификаторов файлов данных задаётся, а перечень файлов разм</w:t>
      </w:r>
      <w:r>
        <w:rPr>
          <w:rFonts w:cs="Times New Roman"/>
          <w:iCs w:val="0"/>
          <w:sz w:val="24"/>
        </w:rPr>
        <w:t xml:space="preserve">етки не передаётся. Перечень контролируемых нагрузок (выходов модели) и фазность определяются моделью, выбранной для идентификации, а не составом данных датасета. Идентификация выполняется методом POST /api/ml_models/models/{model_id}/inference с указанием</w:t>
      </w:r>
      <w:r>
        <w:rPr>
          <w:rFonts w:cs="Times New Roman"/>
          <w:iCs w:val="0"/>
          <w:sz w:val="24"/>
        </w:rPr>
        <w:t xml:space="preserve"> идентификатора датасета и порога классификации либо методом POST /api/ml_models/models/{model_id}/inference/single – для одного фрагмента измерений, переданного в запросе. Результаты сохраняются в таблице предсказаний и в отчёте об идентификации (п. 7.2).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50" w:name="_Toc233626048"/>
      <w:r/>
      <w:bookmarkStart w:id="151" w:name="_Toc232598858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6.8. Служебные данные для работы комплекса</w:t>
      </w:r>
      <w:bookmarkEnd w:id="150"/>
      <w:r/>
      <w:bookmarkEnd w:id="151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К служебным данным относятся: параметры запуска задач (идентификаторы модели и датасета, размер батча, число эпох, скорость обучения, параметры аугментации и квантования, порог классификации), конф</w:t>
      </w:r>
      <w:r>
        <w:rPr>
          <w:rFonts w:cs="Times New Roman"/>
          <w:iCs w:val="0"/>
          <w:sz w:val="24"/>
        </w:rPr>
        <w:t xml:space="preserve">игурации моделей, конфигурация сервиса-шлюза (маршруты подключений, ограничения частоты запросов, параметры сессий), учётные данные пользователей, роли и права ролей. Служебные данные хранятся в PostgreSQL (сервер приложений) и в базе данных сервиса-шлюза.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52" w:name="_Toc233626049"/>
      <w:r/>
      <w:bookmarkStart w:id="153" w:name="_Toc232598859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6.9. Источники поступления входных данных</w:t>
      </w:r>
      <w:bookmarkEnd w:id="152"/>
      <w:r/>
      <w:bookmarkEnd w:id="153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пользователи – загружают файлы данных и разметки через REST API (POST /api/data/file);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внешние системы (ПО «ceCloud») – передают данные в комплекс через сервис-шлюз;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разработчики – формируют тестовые наборы данных для отладки и испытаний. Тестовые данные – синтетические CSV-файлы данных (тип RAW) и разметки (тип LOADS), воспроизводимые двумя генераторами синтетичес</w:t>
      </w:r>
      <w:r>
        <w:rPr>
          <w:rFonts w:cs="Times New Roman"/>
          <w:iCs w:val="0"/>
          <w:sz w:val="24"/>
        </w:rPr>
        <w:t xml:space="preserve">ких данных (каталог tests/utils): генератором синтетических данных (модули tests/utils/loads_csv_generator.py и tests/utils/raw_data_csv_generator.py) – наборы данных заданного объёма и длины сигнала, включая крайние случаи, и мимик-генератором (каталог te</w:t>
      </w:r>
      <w:r>
        <w:rPr>
          <w:rFonts w:cs="Times New Roman"/>
          <w:iCs w:val="0"/>
          <w:sz w:val="24"/>
        </w:rPr>
        <w:t xml:space="preserve">sts/utils/mimic) – наборы с комбинированными нагрузками, когда на одной фазе одновременно работают несколько устройств. В поставку тестовые данные не входят; назначение и порядок запуска генераторов приведены в Руководстве программиста (РП2), приложение Б.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hanging="360" w:left="72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Обращения внешних систем к методам комплекса выполняются через сервис-шлюз от учётной записи внешней системы: запрос содержит токен доступа, выданный сервисом автори</w:t>
      </w:r>
      <w:r>
        <w:rPr>
          <w:rFonts w:cs="Times New Roman"/>
          <w:iCs w:val="0"/>
          <w:sz w:val="24"/>
        </w:rPr>
        <w:t xml:space="preserve">зации (заголовок Authorization, схема Bearer). Сервис-шлюз проверяет подпись токена, срок его действия и признак отзыва, а также право роли на метод и путь запроса; правило по умолчанию – запрет доступа. При недействительном токене запрос отклоняется с код</w:t>
      </w:r>
      <w:r>
        <w:rPr>
          <w:rFonts w:cs="Times New Roman"/>
          <w:iCs w:val="0"/>
          <w:sz w:val="24"/>
        </w:rPr>
        <w:t xml:space="preserve">ом 401, при недостаточных правах – с кодом 403. Прямой доступ внешних систем к серверу приложений не предусмотрен: сервер приложений доступен только во внутренней сети и не содержит собственных средств аутентификации. (Согласно ЧТЗ п. 4.1.2.7.2, 4.1.2.7.3)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6"/>
        <w:keepNext w:val="true"/>
        <w:keepLines w:val="false"/>
        <w:numPr>
          <w:ilvl w:val="0"/>
          <w:numId w:val="0"/>
        </w:numPr>
        <w:pBdr/>
        <w:spacing w:after="360" w:before="360" w:line="360" w:lineRule="auto"/>
        <w:ind w:right="140" w:firstLine="0" w:left="0"/>
        <w:contextualSpacing w:val="false"/>
        <w:jc w:val="center"/>
        <w:rPr>
          <w:rFonts w:cs="Times New Roman"/>
          <w:iCs w:val="0"/>
          <w:color w:val="auto"/>
        </w:rPr>
      </w:pPr>
      <w:r/>
      <w:bookmarkStart w:id="154" w:name="_Toc233626050"/>
      <w:r/>
      <w:bookmarkStart w:id="155" w:name="_Toc232598860"/>
      <w:r>
        <w:rPr>
          <w:rFonts w:cs="Times New Roman"/>
          <w:b/>
          <w:i w:val="0"/>
          <w:iCs w:val="0"/>
          <w:color w:val="auto"/>
          <w:sz w:val="24"/>
        </w:rPr>
        <w:t xml:space="preserve">7. ВЫХОДНЫЕ ДАННЫЕ</w:t>
      </w:r>
      <w:bookmarkEnd w:id="154"/>
      <w:r/>
      <w:bookmarkEnd w:id="155"/>
      <w:r>
        <w:rPr>
          <w:rFonts w:cs="Times New Roman"/>
          <w:iCs w:val="0"/>
          <w:color w:val="auto"/>
        </w:rPr>
      </w:r>
      <w:r>
        <w:rPr>
          <w:rFonts w:cs="Times New Roman"/>
          <w:iCs w:val="0"/>
          <w:color w:val="auto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ПК ОТН формирует следующие категории выходной информации: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ML-модели (основной формат хранения — H5; экспорт — H5 и ONNX);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точность распознавания и распределение результатов по выходам модели (истинно и ложно положительные и отрицательные);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отчёты о тестировании моделей и об идентификации нагрузки (текстовые отчёты в составе ZIP-архивов);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результаты идентификации типа нагрузки (таблица предсказаний: фрагмент данных, модель, датасет, задача, номер выхода, уверенность, фаза);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сведения о задачах и их запусках (параметры, состояния, результаты);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сообщения об ошибках и журналы работы сервисов.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Выходные данные предназначены для анализа пользователями и для передачи внешним системам через сервис-шлюз.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56" w:name="_Toc232598861"/>
      <w:r/>
      <w:bookmarkStart w:id="157" w:name="_Toc233626051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7.1. Результаты работы сценариев</w:t>
      </w:r>
      <w:bookmarkEnd w:id="156"/>
      <w:r/>
      <w:bookmarkEnd w:id="157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Все пайплайны формируют артефакты, сохраняемые в объектном хранилище и доступные по REST AP</w:t>
      </w:r>
      <w:r>
        <w:rPr>
          <w:rFonts w:cs="Times New Roman"/>
          <w:iCs w:val="0"/>
          <w:sz w:val="24"/>
        </w:rPr>
        <w:t xml:space="preserve">I; результаты задач возвращаются в формате JSON и содержат идентификаторы созданных объектов. В PostgreSQL фиксируются сведения о задаче: тип и имя, время создания, параметры запуска, состояние, время начала и окончания, промежуточный и итоговый результат.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58" w:name="_Toc233626052"/>
      <w:r/>
      <w:bookmarkStart w:id="159" w:name="_Toc232598862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7.2. ML-вывод (инференс)</w:t>
      </w:r>
      <w:bookmarkEnd w:id="158"/>
      <w:r/>
      <w:bookmarkEnd w:id="159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 каждому запуску идентификации сох</w:t>
      </w:r>
      <w:r>
        <w:rPr>
          <w:rFonts w:cs="Times New Roman"/>
          <w:iCs w:val="0"/>
          <w:sz w:val="24"/>
        </w:rPr>
        <w:t xml:space="preserve">раняются: идентификатор модели, датасета и задачи, параметры вызова (порог классификации), а также записи результатов – по каждому выходу модели, для которого уверенность не ниже порога: номер выхода, значение уверенности, фаза и ссылка на фрагмент данных.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Отчёт об идентификации содержит распределение результатов по выходам модели, число срабатываний и среднее значение уверенности по каж</w:t>
      </w:r>
      <w:r>
        <w:rPr>
          <w:rFonts w:cs="Times New Roman"/>
          <w:iCs w:val="0"/>
          <w:sz w:val="24"/>
        </w:rPr>
        <w:t xml:space="preserve">дому выходу; архив отчёта имеет вид inference-{модель}-{метка времени}.zip. При синхронном инференсе результат возвращается в ответе метода и содержит номер выхода, перечень закреплённых устройств учёта, значение уверенности и признак обнаружения нагрузки.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60" w:name="_Toc233626053"/>
      <w:r/>
      <w:bookmarkStart w:id="161" w:name="_Toc232598863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7.3. ML-модели</w:t>
      </w:r>
      <w:bookmarkEnd w:id="160"/>
      <w:r/>
      <w:bookmarkEnd w:id="161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Обученные модели сохраняются в формате H5 – это основной (внутренний) формат хранения моделей. Имя файла модели формируется как {имя модели}_{версия}. Вместе с моделью </w:t>
      </w:r>
      <w:r>
        <w:rPr>
          <w:rFonts w:cs="Times New Roman"/>
          <w:iCs w:val="0"/>
          <w:sz w:val="24"/>
        </w:rPr>
        <w:t xml:space="preserve">в базе данных сохраняются: версия, архитектура, тип фазы, число выходов, конфигурация, привязка выходов к устройствам учёта, дата создания и обновления, история тестирования (значения accuracy, идентификаторы файлов отчётов, датасеты и время тестирования).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Экспорт модели наружу выполняется по запросу: файл модели в формате H5 скачивается по идентификатору файла (GET /api/data/file/{file_id}/download); конвертация моде</w:t>
      </w:r>
      <w:r>
        <w:rPr>
          <w:rFonts w:cs="Times New Roman"/>
          <w:iCs w:val="0"/>
          <w:sz w:val="24"/>
        </w:rPr>
        <w:t xml:space="preserve">ли в формат ONNX выполняется отдельным методом (GET /api/ml_models/models/{model_id}/download_onnx). Загрузка готовой модели в комплекс выполняется методом POST /api/ml_models/models/upload с передачей файла модели в формате H5 и метаданных в формате JSON.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62" w:name="_Toc233626054"/>
      <w:r/>
      <w:bookmarkStart w:id="163" w:name="_Toc232598864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7.4. Метаданные</w:t>
      </w:r>
      <w:bookmarkEnd w:id="162"/>
      <w:r/>
      <w:bookmarkEnd w:id="163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 системе фиксируется и сохраняется служебная информация: идентификаторы файлов, датасетов, моделей и задач; состояния задач и</w:t>
      </w:r>
      <w:r>
        <w:rPr>
          <w:rFonts w:cs="Times New Roman"/>
          <w:iCs w:val="0"/>
          <w:sz w:val="24"/>
        </w:rPr>
        <w:t xml:space="preserve"> их запусков; результаты задач; учётные записи, роли и права ролей; записи списка отозванных токенов; конфигурация подключений сервиса-шлюза. Служебные данные хранятся в PostgreSQL (сервер приложений) и в базе данных сервиса-шлюза, доступны через REST API.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7"/>
        <w:keepNext w:val="true"/>
        <w:keepLines w:val="false"/>
        <w:numPr>
          <w:ilvl w:val="0"/>
          <w:numId w:val="0"/>
        </w:numPr>
        <w:pBdr/>
        <w:spacing w:after="240" w:before="240" w:line="360" w:lineRule="auto"/>
        <w:ind w:right="140" w:firstLine="709" w:left="0"/>
        <w:contextualSpacing w:val="false"/>
        <w:jc w:val="left"/>
        <w:rPr>
          <w:rFonts w:cs="Times New Roman"/>
          <w:iCs w:val="0"/>
          <w:color w:val="auto"/>
          <w:szCs w:val="28"/>
        </w:rPr>
      </w:pPr>
      <w:r/>
      <w:bookmarkStart w:id="164" w:name="_Toc233626055"/>
      <w:r/>
      <w:bookmarkStart w:id="165" w:name="_Toc232598865"/>
      <w:r>
        <w:rPr>
          <w:rFonts w:cs="Times New Roman"/>
          <w:b/>
          <w:i w:val="0"/>
          <w:iCs w:val="0"/>
          <w:color w:val="auto"/>
          <w:sz w:val="24"/>
          <w:szCs w:val="28"/>
        </w:rPr>
        <w:t xml:space="preserve">7.5. Характеристики времён выполнения</w:t>
      </w:r>
      <w:bookmarkEnd w:id="164"/>
      <w:r/>
      <w:bookmarkEnd w:id="165"/>
      <w:r>
        <w:rPr>
          <w:rFonts w:cs="Times New Roman"/>
          <w:iCs w:val="0"/>
          <w:color w:val="auto"/>
          <w:szCs w:val="28"/>
        </w:rPr>
      </w:r>
      <w:r>
        <w:rPr>
          <w:rFonts w:cs="Times New Roman"/>
          <w:iCs w:val="0"/>
          <w:color w:val="auto"/>
          <w:szCs w:val="28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Серверная часть (п. 4.1.5.1 ЧТЗ): ПК ОТН не обеспечивает обработку данных в реальном времени. Времена задержки обработки порции данных заданного размера определяются характеристиками фиксированных вычислительных рес</w:t>
      </w:r>
      <w:r>
        <w:rPr>
          <w:rFonts w:cs="Times New Roman"/>
          <w:iCs w:val="0"/>
          <w:sz w:val="24"/>
        </w:rPr>
        <w:t xml:space="preserve">урсов и устанавливаются по результатам измерений. Продолжительные операции (формирование датасета, обучение, тестирование модели, ML-вывод (инференс), подбор гиперпараметров) выполняются фоновыми задачами, и по каждой записи запуска комплекс хранит и предо</w:t>
      </w:r>
      <w:r>
        <w:rPr>
          <w:rFonts w:cs="Times New Roman"/>
          <w:iCs w:val="0"/>
          <w:sz w:val="24"/>
        </w:rPr>
        <w:t xml:space="preserve">ставляет внешним системам время начала и время окончания выполнения (GET /api/tasks/{task_id}). Фактические значения времён обработки порции данных заданного размера на фиксированных вычислительных ресурсах приводятся в протоколе предварительных испытаний.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 w:line="360" w:lineRule="auto"/>
        <w:ind w:right="140" w:firstLine="0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Встраиваемая часть (п. 4.1.5.2 ЧТЗ): выполнение модели на приборе учёта в объём работ по настоящему документу не входит. Время выполнения модели опред</w:t>
      </w:r>
      <w:r>
        <w:rPr>
          <w:rFonts w:cs="Times New Roman"/>
          <w:iCs w:val="0"/>
          <w:sz w:val="24"/>
        </w:rPr>
        <w:t xml:space="preserve">еляется характеристиками технических средств прибора учёта, на который устанавливается модель, экспортируемая комплексом (форматы H5 и ONNX); предварительными испытаниями ПК ОТН это время не измеряется и в протоколе предварительных испытаний не приводится.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746"/>
        <w:keepNext w:val="true"/>
        <w:keepLines w:val="false"/>
        <w:pageBreakBefore w:val="false"/>
        <w:numPr>
          <w:ilvl w:val="0"/>
          <w:numId w:val="0"/>
        </w:numPr>
        <w:pBdr/>
        <w:spacing w:after="360" w:before="360" w:line="360" w:lineRule="auto"/>
        <w:ind w:right="140" w:firstLine="0" w:left="0"/>
        <w:contextualSpacing w:val="false"/>
        <w:jc w:val="center"/>
        <w:rPr>
          <w:rFonts w:cs="Times New Roman"/>
          <w:iCs w:val="0"/>
          <w:color w:val="auto"/>
        </w:rPr>
      </w:pPr>
      <w:r/>
      <w:bookmarkStart w:id="166" w:name="_Toc233626056"/>
      <w:r/>
      <w:bookmarkStart w:id="167" w:name="_Toc232598866"/>
      <w:r>
        <w:rPr>
          <w:rFonts w:cs="Times New Roman"/>
          <w:b/>
          <w:i w:val="0"/>
          <w:iCs w:val="0"/>
          <w:color w:val="auto"/>
          <w:sz w:val="24"/>
        </w:rPr>
        <w:t xml:space="preserve">ПЕРЕЧЕНЬ ПРИНЯТЫХ СОКРАЩЕНИЙ И УСЛОВНЫХ ОБОЗНАЧЕНИЙ</w:t>
      </w:r>
      <w:bookmarkEnd w:id="166"/>
      <w:r/>
      <w:bookmarkEnd w:id="167"/>
      <w:r>
        <w:rPr>
          <w:rFonts w:cs="Times New Roman"/>
          <w:iCs w:val="0"/>
          <w:color w:val="auto"/>
        </w:rPr>
      </w:r>
      <w:r>
        <w:rPr>
          <w:rFonts w:cs="Times New Roman"/>
          <w:iCs w:val="0"/>
          <w:color w:val="auto"/>
        </w:rPr>
      </w:r>
    </w:p>
    <w:p>
      <w:pPr>
        <w:pStyle w:val="1745"/>
        <w:pBdr/>
        <w:spacing w:after="120" w:before="12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8500" w:type="dxa"/>
        <w:tblCellMar>
          <w:left w:w="100" w:type="dxa"/>
          <w:top w:w="60" w:type="dxa"/>
          <w:right w:w="10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799"/>
        <w:gridCol w:w="5700"/>
      </w:tblGrid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Сокращение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Расшифровка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ПК ОТН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Программный комплекс определения типа подключённой нагрузки потребителя в сетях низкого напряжения 0,4 кВ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ПК АПГС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Программный комплекс «Аналитика профилей гармонических составляющих»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ЧТЗ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Частное техническое задание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ИП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Индустриальный партнёр (АО «Энергомера»)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ceCloud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Программное обеспечение Индустриального партнёра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ИСУЭ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Интеллектуальная система учёта электроэнергии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ПУ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Прибор учёта электроэнергии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АЦП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Аналого-цифровой преобразователь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ЦОС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Цифровая обработка сигналов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ИНС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Искусственная нейронная сеть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MLP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Многослойный перцептрон (Multilayer Perceptron)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CNN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Свёрточная нейронная сеть (Convolutional Neural Network)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FFT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Быстрое преобразование Фурье (Fast Fourier Transform)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STFT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Кратковременное преобразование Фурье (Short-Time Fourier Transform)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QAT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Квантование с обучением (Quantization-Aware Training)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H5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Формат файла модели (HDF5) — основной формат хранения моделей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ONNX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Open Neural Network Exchange — формат экспорта моделей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REST API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Архитектурный стиль взаимодействия по HTTP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OpenAPI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Спецификация документирования REST API (версия 3.1.0)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JSON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Формат текстового представления данных (JavaScript Object Notation)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CSV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Формат табличных данных с разделителями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ZIP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Формат архива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JWT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Токен доступа в формате JSON Web Token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UTC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Всемирное координированное время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СУБД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Система управления базами данных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БД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База данных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ПЗ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Пояснительная записка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ТП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Технический проект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РП1, РП2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Рабочий проект №1, Рабочий проект №2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ГОСТ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Государственный стандарт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799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ЕСПД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5700" w:type="dxa"/>
            <w:textDirection w:val="lrTb"/>
            <w:noWrap w:val="false"/>
          </w:tcPr>
          <w:p>
            <w:pPr>
              <w:pStyle w:val="1745"/>
              <w:pBdr/>
              <w:spacing w:after="120" w:before="0"/>
              <w:ind w:right="140"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Единая система программной документации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 w14:paraId="63D3000B"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sz w:val="28"/>
          <w:szCs w:val="28"/>
        </w:rPr>
      </w:pPr>
      <w:r>
        <w:rPr>
          <w:rFonts w:cs="Times New Roman"/>
          <w:bCs w:val="0"/>
          <w:iCs w:val="0"/>
          <w:sz w:val="28"/>
          <w:szCs w:val="28"/>
        </w:rPr>
      </w:r>
      <w:r>
        <w:rPr>
          <w:rFonts w:cs="Times New Roman"/>
          <w:bCs w:val="0"/>
          <w:iCs w:val="0"/>
          <w:sz w:val="28"/>
          <w:szCs w:val="28"/>
        </w:rPr>
      </w:r>
      <w:r>
        <w:rPr>
          <w:rFonts w:cs="Times New Roman"/>
          <w:sz w:val="28"/>
          <w:szCs w:val="28"/>
        </w:rPr>
      </w:r>
    </w:p>
    <w:p w14:paraId="0544AD67"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sz w:val="28"/>
          <w:szCs w:val="28"/>
        </w:rPr>
      </w:pP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sz w:val="28"/>
          <w:szCs w:val="28"/>
        </w:rPr>
      </w:r>
    </w:p>
    <w:p w14:paraId="0F50AB5B"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sz w:val="28"/>
          <w:szCs w:val="28"/>
        </w:rPr>
      </w:pP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sz w:val="28"/>
          <w:szCs w:val="28"/>
        </w:rPr>
      </w:r>
    </w:p>
    <w:p w14:paraId="54D0894D"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sz w:val="28"/>
          <w:szCs w:val="28"/>
        </w:rPr>
      </w:pP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sz w:val="28"/>
          <w:szCs w:val="28"/>
        </w:rPr>
      </w:r>
    </w:p>
    <w:p w14:paraId="75967B94"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sz w:val="28"/>
          <w:szCs w:val="28"/>
        </w:rPr>
      </w:pP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sz w:val="28"/>
          <w:szCs w:val="28"/>
        </w:rPr>
      </w:r>
    </w:p>
    <w:p w14:paraId="78CE1F44"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sz w:val="28"/>
          <w:szCs w:val="28"/>
        </w:rPr>
      </w:pP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sz w:val="28"/>
          <w:szCs w:val="28"/>
        </w:rPr>
      </w:r>
    </w:p>
    <w:p w14:paraId="36F07D7B"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sz w:val="28"/>
          <w:szCs w:val="28"/>
        </w:rPr>
      </w:pP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sz w:val="28"/>
          <w:szCs w:val="28"/>
        </w:rPr>
      </w:r>
    </w:p>
    <w:p w14:paraId="0CEEC62D"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sz w:val="28"/>
          <w:szCs w:val="28"/>
        </w:rPr>
      </w:pP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sz w:val="28"/>
          <w:szCs w:val="28"/>
        </w:rPr>
      </w:r>
    </w:p>
    <w:p w14:paraId="13981BA6"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sz w:val="28"/>
          <w:szCs w:val="28"/>
        </w:rPr>
      </w:pP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sz w:val="28"/>
          <w:szCs w:val="28"/>
        </w:rPr>
      </w:r>
    </w:p>
    <w:p w14:paraId="12764547"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sz w:val="28"/>
          <w:szCs w:val="28"/>
        </w:rPr>
      </w:pP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sz w:val="28"/>
          <w:szCs w:val="28"/>
        </w:rPr>
      </w:r>
    </w:p>
    <w:p w14:paraId="4CDEC33B"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sz w:val="28"/>
          <w:szCs w:val="28"/>
        </w:rPr>
      </w:pP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sz w:val="28"/>
          <w:szCs w:val="28"/>
        </w:rPr>
      </w:r>
    </w:p>
    <w:p w14:paraId="5F5A9958"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sz w:val="28"/>
          <w:szCs w:val="28"/>
        </w:rPr>
      </w:pP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sz w:val="28"/>
          <w:szCs w:val="28"/>
        </w:rPr>
      </w:r>
    </w:p>
    <w:p w14:paraId="38A8BC70"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sz w:val="28"/>
          <w:szCs w:val="28"/>
        </w:rPr>
      </w:pP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sz w:val="28"/>
          <w:szCs w:val="28"/>
        </w:rPr>
      </w:r>
    </w:p>
    <w:p w14:paraId="0E237B61"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sz w:val="28"/>
          <w:szCs w:val="28"/>
        </w:rPr>
      </w:pP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iCs w:val="0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iCs w:val="0"/>
          <w:sz w:val="28"/>
          <w:szCs w:val="28"/>
        </w:rPr>
      </w:pPr>
      <w:r>
        <w:rPr>
          <w:rFonts w:cs="Times New Roman"/>
          <w:bCs w:val="0"/>
          <w:iCs w:val="0"/>
          <w:sz w:val="28"/>
          <w:szCs w:val="28"/>
        </w:rPr>
      </w:r>
      <w:r>
        <w:rPr>
          <w:rFonts w:cs="Times New Roman"/>
          <w:bCs w:val="0"/>
          <w:iCs w:val="0"/>
          <w:sz w:val="28"/>
          <w:szCs w:val="28"/>
        </w:rPr>
      </w:r>
      <w:r>
        <w:rPr>
          <w:rFonts w:cs="Times New Roman"/>
          <w:iCs w:val="0"/>
          <w:sz w:val="28"/>
          <w:szCs w:val="28"/>
        </w:rPr>
      </w:r>
    </w:p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  <w:sz w:val="28"/>
          <w:szCs w:val="28"/>
        </w:rPr>
      </w:pPr>
      <w:r>
        <w:rPr>
          <w:rFonts w:cs="Times New Roman"/>
          <w:bCs w:val="0"/>
          <w:iCs w:val="0"/>
          <w:sz w:val="28"/>
          <w:szCs w:val="28"/>
        </w:rPr>
      </w:r>
      <w:r>
        <w:rPr>
          <w:rFonts w:cs="Times New Roman"/>
          <w:bCs w:val="0"/>
          <w:iCs w:val="0"/>
          <w:sz w:val="28"/>
          <w:szCs w:val="28"/>
        </w:rPr>
      </w:r>
      <w:r>
        <w:rPr>
          <w:rFonts w:cs="Times New Roman"/>
          <w:bCs w:val="0"/>
          <w:iCs w:val="0"/>
          <w:sz w:val="28"/>
          <w:szCs w:val="28"/>
        </w:rPr>
      </w:r>
    </w:p>
    <w:tbl>
      <w:tblPr>
        <w:jc w:val="center"/>
        <w:tblInd w:w="0" w:type="dxa"/>
        <w:tblW w:w="10433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pPr w:horzAnchor="margin" w:tblpXSpec="center" w:vertAnchor="text" w:tblpY="76" w:leftFromText="180" w:topFromText="0" w:rightFromText="180" w:bottomFromText="0"/>
        <w:tblLook w:val="0000" w:firstRow="0" w:lastRow="0" w:firstColumn="0" w:lastColumn="0" w:noHBand="0" w:noVBand="0"/>
      </w:tblPr>
      <w:tblGrid>
        <w:gridCol w:w="615"/>
        <w:gridCol w:w="1121"/>
        <w:gridCol w:w="1121"/>
        <w:gridCol w:w="1102"/>
        <w:gridCol w:w="1133"/>
        <w:gridCol w:w="1180"/>
        <w:gridCol w:w="1328"/>
        <w:gridCol w:w="1354"/>
        <w:gridCol w:w="800"/>
        <w:gridCol w:w="678"/>
      </w:tblGrid>
      <w:tr>
        <w:trPr>
          <w:cantSplit/>
          <w:trHeight w:val="567" w:hRule="exact"/>
        </w:trPr>
        <w:tc>
          <w:tcPr>
            <w:gridSpan w:val="10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W w:w="1043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Лист регистрации изменений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cantSplit/>
          <w:trHeight w:val="284" w:hRule="exact"/>
        </w:trPr>
        <w:tc>
          <w:tcPr>
            <w:gridSpan w:val="5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509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Номера листов (страниц)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80" w:type="dxa"/>
            <w:vAlign w:val="center"/>
            <w:vMerge w:val="restart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Всего</w:t>
            </w:r>
            <w:r/>
          </w:p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листов</w:t>
            </w:r>
            <w:r/>
          </w:p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(страниц)</w:t>
            </w:r>
            <w:r/>
          </w:p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в докум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328" w:type="dxa"/>
            <w:vAlign w:val="center"/>
            <w:vMerge w:val="restart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№</w:t>
            </w:r>
            <w:r/>
          </w:p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документа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354" w:type="dxa"/>
            <w:vAlign w:val="center"/>
            <w:vMerge w:val="restart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Входящий</w:t>
            </w:r>
            <w:r/>
          </w:p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№ </w:t>
            </w:r>
            <w:r>
              <w:rPr>
                <w:sz w:val="24"/>
              </w:rPr>
              <w:t xml:space="preserve">сопрово</w:t>
            </w:r>
            <w:r/>
          </w:p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дительного</w:t>
            </w:r>
            <w:r/>
          </w:p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документа</w:t>
            </w:r>
            <w:r/>
          </w:p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и дата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800" w:type="dxa"/>
            <w:vAlign w:val="center"/>
            <w:vMerge w:val="restart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Подп.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678" w:type="dxa"/>
            <w:vAlign w:val="center"/>
            <w:vMerge w:val="restart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Дата</w:t>
            </w:r>
            <w:r/>
          </w:p>
        </w:tc>
      </w:tr>
      <w:tr>
        <w:trPr>
          <w:cantSplit/>
          <w:trHeight w:val="1134" w:hRule="exact"/>
        </w:trPr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Изм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изменен</w:t>
            </w:r>
            <w:r/>
          </w:p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ных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заме</w:t>
            </w:r>
            <w:r/>
          </w:p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ненных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новых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анулиро</w:t>
            </w:r>
            <w:r/>
          </w:p>
          <w:p>
            <w:pPr>
              <w:pStyle w:val="1745"/>
              <w:pBdr/>
              <w:spacing/>
              <w:ind w:right="140" w:firstLine="0"/>
              <w:jc w:val="center"/>
              <w:rPr/>
            </w:pPr>
            <w:r>
              <w:rPr>
                <w:sz w:val="24"/>
              </w:rPr>
              <w:t xml:space="preserve">ванных</w:t>
            </w:r>
            <w:r/>
          </w:p>
        </w:tc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80" w:type="dxa"/>
            <w:vMerge w:val="continue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328" w:type="dxa"/>
            <w:vMerge w:val="continue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354" w:type="dxa"/>
            <w:vMerge w:val="continue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800" w:type="dxa"/>
            <w:vMerge w:val="continue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678" w:type="dxa"/>
            <w:vMerge w:val="continue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jc w:val="center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18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1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3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4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78" w:type="dxa"/>
            <w:vAlign w:val="center"/>
            <w:textDirection w:val="lrTb"/>
            <w:noWrap w:val="false"/>
          </w:tcPr>
          <w:p>
            <w:pPr>
              <w:pStyle w:val="1745"/>
              <w:pBdr/>
              <w:spacing/>
              <w:ind w:right="140" w:firstLine="0"/>
              <w:rPr/>
            </w:pPr>
            <w:r/>
            <w:bookmarkStart w:id="170" w:name="_Hlk233111489"/>
            <w:r/>
            <w:bookmarkStart w:id="171" w:name="_Hlk233111285"/>
            <w:r/>
            <w:bookmarkEnd w:id="170"/>
            <w:r/>
            <w:bookmarkEnd w:id="171"/>
            <w:r/>
            <w:r/>
          </w:p>
        </w:tc>
      </w:tr>
    </w:tbl>
    <w:p>
      <w:pPr>
        <w:pStyle w:val="1745"/>
        <w:pBdr/>
        <w:spacing w:after="120" w:before="0"/>
        <w:ind w:right="140" w:firstLine="0"/>
        <w:contextualSpacing w:val="false"/>
        <w:jc w:val="left"/>
        <w:rPr>
          <w:rFonts w:cs="Times New Roman"/>
          <w:bCs w:val="0"/>
          <w:iCs w:val="0"/>
          <w:sz w:val="28"/>
          <w:szCs w:val="28"/>
        </w:rPr>
      </w:pPr>
      <w:r>
        <w:rPr>
          <w:rFonts w:cs="Times New Roman"/>
          <w:bCs w:val="0"/>
          <w:iCs w:val="0"/>
          <w:sz w:val="28"/>
          <w:szCs w:val="28"/>
        </w:rPr>
      </w:r>
      <w:r>
        <w:rPr>
          <w:rFonts w:cs="Times New Roman"/>
          <w:bCs w:val="0"/>
          <w:iCs w:val="0"/>
          <w:sz w:val="28"/>
          <w:szCs w:val="28"/>
        </w:rPr>
      </w:r>
      <w:r>
        <w:rPr>
          <w:rFonts w:cs="Times New Roman"/>
          <w:bCs w:val="0"/>
          <w:iCs w:val="0"/>
          <w:sz w:val="28"/>
          <w:szCs w:val="28"/>
        </w:rPr>
      </w:r>
    </w:p>
    <w:sectPr>
      <w:headerReference w:type="default" r:id="rId18"/>
      <w:headerReference w:type="first" r:id="rId19"/>
      <w:footerReference w:type="default" r:id="rId29"/>
      <w:footerReference w:type="first" r:id="rId30"/>
      <w:footnotePr/>
      <w:endnotePr/>
      <w:type w:val="nextPage"/>
      <w:pgSz w:h="16838" w:orient="portrait" w:w="11906"/>
      <w:pgMar w:top="1134" w:right="567" w:bottom="1134" w:left="1134" w:header="709" w:footer="709" w:gutter="0"/>
      <w:pgNumType w:start="6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E0502030303020204"/>
  </w:font>
  <w:font w:name="Calibri">
    <w:panose1 w:val="020F0502020204030204"/>
  </w:font>
  <w:font w:name="Liberation Sans">
    <w:panose1 w:val="020B0604020202020204"/>
  </w:font>
  <w:font w:name="Noto Sans CJK SC">
    <w:panose1 w:val="020E0502030303020204"/>
  </w:font>
  <w:font w:name="MS Mincho">
    <w:panose1 w:val="02020603050405090304"/>
  </w:font>
  <w:font w:name="Courier New">
    <w:panose1 w:val="02070309020205020404"/>
  </w:font>
  <w:font w:name="Noto Sans Devanagari">
    <w:panose1 w:val="020E0502030303020204"/>
  </w:font>
  <w:font w:name="Cambria">
    <w:panose1 w:val="02040503050406030204"/>
  </w:font>
  <w:font w:name="Lucida Grande">
    <w:panose1 w:val="020E0502030303020204"/>
  </w:font>
  <w:font w:name="MS Gothic">
    <w:panose1 w:val="020B0609070205080204"/>
  </w:font>
  <w:font w:name="Times New Roman">
    <w:panose1 w:val="02020603050405020304"/>
  </w:font>
  <w:font w:name="Source Sans Pro">
    <w:panose1 w:val="020E050203030302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12"/>
      <w:pBdr/>
      <w:spacing/>
      <w:ind w:firstLine="0"/>
      <w:jc w:val="center"/>
      <w:rPr>
        <w:b/>
        <w:bCs w:val="0"/>
        <w:sz w:val="24"/>
        <w:szCs w:val="36"/>
      </w:rPr>
    </w:pPr>
    <w:r>
      <w:rPr>
        <w:b/>
        <w:bCs w:val="0"/>
        <w:sz w:val="24"/>
        <w:szCs w:val="36"/>
      </w:rPr>
      <w:t xml:space="preserve">2026</w:t>
    </w:r>
    <w:r>
      <w:rPr>
        <w:b/>
        <w:bCs w:val="0"/>
        <w:sz w:val="24"/>
        <w:szCs w:val="36"/>
      </w:rPr>
    </w:r>
    <w:r>
      <w:rPr>
        <w:b/>
        <w:bCs w:val="0"/>
        <w:sz w:val="24"/>
        <w:szCs w:val="36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12"/>
      <w:pBdr/>
      <w:spacing/>
      <w:ind/>
      <w:rPr>
        <w:rStyle w:val="1759"/>
      </w:rPr>
    </w:pPr>
    <w:r>
      <w:rPr>
        <w:rStyle w:val="1759"/>
      </w:rPr>
      <w:fldChar w:fldCharType="begin"/>
    </w:r>
    <w:r>
      <w:rPr>
        <w:rStyle w:val="1759"/>
      </w:rPr>
      <w:instrText xml:space="preserve"> PAGE </w:instrText>
    </w:r>
    <w:r>
      <w:rPr>
        <w:rStyle w:val="1759"/>
      </w:rPr>
      <w:fldChar w:fldCharType="separate"/>
    </w:r>
    <w:r>
      <w:rPr>
        <w:rStyle w:val="1759"/>
      </w:rPr>
      <w:t xml:space="preserve">0</w:t>
    </w:r>
    <w:r>
      <w:rPr>
        <w:rStyle w:val="1759"/>
      </w:rPr>
      <w:fldChar w:fldCharType="end"/>
    </w:r>
    <w:r>
      <w:rPr>
        <w:rStyle w:val="1759"/>
      </w:rPr>
    </w:r>
    <w:r>
      <w:rPr>
        <w:rStyle w:val="1759"/>
      </w:rPr>
    </w:r>
  </w:p>
  <w:p>
    <w:pPr>
      <w:pStyle w:val="1812"/>
      <w:pBdr/>
      <w:spacing/>
      <w:ind/>
      <w:rPr/>
    </w:pPr>
    <w:r/>
    <w:r/>
  </w:p>
  <w:p>
    <w:pPr>
      <w:pStyle w:val="1745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12"/>
      <w:pBdr/>
      <w:spacing/>
      <w:ind w:firstLine="0"/>
      <w:jc w:val="center"/>
      <w:rPr>
        <w:b/>
        <w:bCs w:val="0"/>
        <w:sz w:val="24"/>
        <w:szCs w:val="36"/>
      </w:rPr>
    </w:pPr>
    <w:r>
      <w:rPr>
        <w:b/>
        <w:bCs w:val="0"/>
        <w:sz w:val="24"/>
        <w:szCs w:val="36"/>
      </w:rPr>
    </w:r>
    <w:r>
      <w:rPr>
        <w:b/>
        <w:bCs w:val="0"/>
        <w:sz w:val="24"/>
        <w:szCs w:val="36"/>
      </w:rPr>
    </w:r>
    <w:r>
      <w:rPr>
        <w:b/>
        <w:bCs w:val="0"/>
        <w:sz w:val="24"/>
        <w:szCs w:val="36"/>
      </w:rPr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12"/>
      <w:pBdr/>
      <w:spacing/>
      <w:ind/>
      <w:rPr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12"/>
      <w:pBdr/>
      <w:spacing/>
      <w:ind w:firstLine="0"/>
      <w:jc w:val="center"/>
      <w:rPr>
        <w:b/>
        <w:bCs w:val="0"/>
        <w:sz w:val="24"/>
        <w:szCs w:val="36"/>
      </w:rPr>
    </w:pPr>
    <w:r>
      <w:rPr>
        <w:b/>
        <w:bCs w:val="0"/>
        <w:sz w:val="24"/>
        <w:szCs w:val="36"/>
      </w:rPr>
    </w:r>
    <w:r>
      <w:rPr>
        <w:b/>
        <w:bCs w:val="0"/>
        <w:sz w:val="24"/>
        <w:szCs w:val="36"/>
      </w:rPr>
      <w:t xml:space="preserve">2026</w:t>
    </w:r>
    <w:r>
      <w:rPr>
        <w:b/>
        <w:bCs w:val="0"/>
        <w:sz w:val="24"/>
        <w:szCs w:val="36"/>
      </w:rPr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12"/>
      <w:pBdr/>
      <w:spacing/>
      <w:ind/>
      <w:rPr/>
    </w:pPr>
    <w:r/>
    <w:r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12"/>
      <w:pBdr/>
      <w:spacing/>
      <w:ind/>
      <w:rPr/>
    </w:pPr>
    <w:r/>
    <w:r/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45"/>
      <w:pBdr/>
      <w:spacing w:after="0" w:before="0"/>
      <w:ind w:firstLine="0"/>
      <w:contextualSpacing w:val="false"/>
      <w:jc w:val="center"/>
      <w:rPr>
        <w:rFonts w:cs="Times New Roman"/>
        <w:bCs w:val="0"/>
        <w:iCs w:val="0"/>
      </w:rPr>
    </w:pPr>
    <w:r>
      <w:rPr>
        <w:rFonts w:cs="Times New Roman"/>
        <w:bCs w:val="0"/>
        <w:iCs w:val="0"/>
      </w:rPr>
    </w:r>
    <w:r>
      <w:rPr>
        <w:rFonts w:cs="Times New Roman"/>
        <w:bCs w:val="0"/>
        <w:iCs w:val="0"/>
      </w:rPr>
    </w:r>
    <w:r>
      <w:rPr>
        <w:rFonts w:cs="Times New Roman"/>
        <w:bCs w:val="0"/>
        <w:iCs w:val="0"/>
      </w:rPr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45"/>
      <w:pBdr/>
      <w:spacing/>
      <w:ind/>
      <w:jc w:val="center"/>
      <w:rPr>
        <w:highlight w:val="white"/>
      </w:rPr>
    </w:pPr>
    <w:r>
      <w:rPr>
        <w:highlight w:val="white"/>
      </w:rPr>
      <w:t xml:space="preserve">ПРАВИТЕЛЬСТВО РОССИЙСКОЙ ФЕДЕРАЦИИ</w:t>
    </w:r>
    <w:r>
      <w:rPr>
        <w:highlight w:val="white"/>
      </w:rPr>
    </w:r>
    <w:r>
      <w:rPr>
        <w:highlight w:val="white"/>
      </w:rPr>
    </w:r>
  </w:p>
  <w:p>
    <w:pPr>
      <w:pStyle w:val="1745"/>
      <w:pBdr/>
      <w:spacing/>
      <w:ind/>
      <w:jc w:val="center"/>
      <w:rPr>
        <w:rFonts w:ascii="Arial" w:hAnsi="Arial" w:eastAsia="Arial"/>
        <w:color w:val="d9d9d9"/>
        <w:sz w:val="22"/>
        <w:szCs w:val="22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4605" distB="14605" distL="14605" distR="14605" simplePos="0" relativeHeight="20" behindDoc="1" locked="0" layoutInCell="0" allowOverlap="1">
              <wp:simplePos x="0" y="0"/>
              <wp:positionH relativeFrom="page">
                <wp:posOffset>323850</wp:posOffset>
              </wp:positionH>
              <wp:positionV relativeFrom="page">
                <wp:posOffset>4500880</wp:posOffset>
              </wp:positionV>
              <wp:extent cx="476885" cy="5295265"/>
              <wp:effectExtent l="14604" t="14604" r="14604" b="14604"/>
              <wp:wrapNone/>
              <wp:docPr id="1" name="Group 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477000" cy="5295240"/>
                        <a:chOff x="0" y="0"/>
                        <a:chExt cx="477000" cy="5295240"/>
                      </a:xfrm>
                    </wpg:grpSpPr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20" cy="5295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0" y="6840"/>
                          <a:ext cx="4762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0" y="5280840"/>
                          <a:ext cx="47628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0" y="4371840"/>
                          <a:ext cx="4762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0" y="3098880"/>
                          <a:ext cx="4762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0" y="2188800"/>
                          <a:ext cx="47628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0" y="1279440"/>
                          <a:ext cx="47628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98000" y="6840"/>
                          <a:ext cx="720" cy="527256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476280" y="0"/>
                          <a:ext cx="720" cy="5295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0" y="4371840"/>
                          <a:ext cx="196200" cy="90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45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Инв. № подл.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255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0" y="3098880"/>
                          <a:ext cx="196200" cy="1270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45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Подпись и дата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1" name=""/>
                      <wps:cNvSpPr/>
                      <wps:spPr bwMode="auto">
                        <a:xfrm>
                          <a:off x="0" y="2188800"/>
                          <a:ext cx="196200" cy="90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45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Взам. инв. №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2" name=""/>
                      <wps:cNvSpPr/>
                      <wps:spPr bwMode="auto">
                        <a:xfrm>
                          <a:off x="0" y="1280160"/>
                          <a:ext cx="196200" cy="90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45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Инв. № дубл.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381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3" name=""/>
                      <wps:cNvSpPr/>
                      <wps:spPr bwMode="auto">
                        <a:xfrm>
                          <a:off x="0" y="6840"/>
                          <a:ext cx="196200" cy="1270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45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Подпись и дата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-20;o:allowoverlap:true;o:allowincell:false;mso-position-horizontal-relative:page;margin-left:25.50pt;mso-position-horizontal:absolute;mso-position-vertical-relative:page;margin-top:354.40pt;mso-position-vertical:absolute;width:37.55pt;height:416.95pt;mso-wrap-distance-left:1.15pt;mso-wrap-distance-top:1.15pt;mso-wrap-distance-right:1.15pt;mso-wrap-distance-bottom:1.15pt;" coordorigin="0,0" coordsize="4770,52952">
              <v:line id="shape 1" o:spid="_x0000_s1" style="position:absolute;left:0;text-align:left;z-index:-20;visibility:visible;" from="25.5pt,354.4pt" to="63.0pt,771.3pt" filled="f" strokecolor="#000000" strokeweight="2.25pt"/>
              <v:line id="shape 2" o:spid="_x0000_s2" style="position:absolute;left:0;text-align:left;z-index:-20;visibility:visible;" from="25.5pt,354.4pt" to="63.0pt,771.3pt" filled="f" strokecolor="#000000" strokeweight="2.25pt"/>
              <v:line id="shape 3" o:spid="_x0000_s3" style="position:absolute;left:0;text-align:left;z-index:-20;visibility:visible;" from="25.5pt,354.4pt" to="63.0pt,771.3pt" filled="f" strokecolor="#000000" strokeweight="2.25pt"/>
              <v:line id="shape 4" o:spid="_x0000_s4" style="position:absolute;left:0;text-align:left;z-index:-20;visibility:visible;" from="25.5pt,354.4pt" to="63.0pt,771.3pt" filled="f" strokecolor="#000000" strokeweight="2.25pt"/>
              <v:line id="shape 5" o:spid="_x0000_s5" style="position:absolute;left:0;text-align:left;z-index:-20;visibility:visible;" from="25.5pt,354.4pt" to="63.0pt,771.3pt" filled="f" strokecolor="#000000" strokeweight="2.25pt"/>
              <v:line id="shape 6" o:spid="_x0000_s6" style="position:absolute;left:0;text-align:left;z-index:-20;visibility:visible;" from="25.5pt,354.4pt" to="63.0pt,771.3pt" filled="f" strokecolor="#000000" strokeweight="2.25pt"/>
              <v:line id="shape 7" o:spid="_x0000_s7" style="position:absolute;left:0;text-align:left;z-index:-20;visibility:visible;" from="25.5pt,354.4pt" to="63.0pt,771.3pt" filled="f" strokecolor="#000000" strokeweight="2.25pt"/>
              <v:line id="shape 8" o:spid="_x0000_s8" style="position:absolute;left:0;text-align:left;z-index:-20;visibility:visible;" from="25.5pt,354.4pt" to="63.0pt,771.3pt" filled="f" strokecolor="#000000" strokeweight="2.25pt"/>
              <v:line id="shape 9" o:spid="_x0000_s9" style="position:absolute;left:0;text-align:left;z-index:-20;visibility:visible;" from="25.5pt,354.4pt" to="63.0pt,771.3pt" filled="f" strokecolor="#000000" strokeweight="2.25pt"/>
              <v:shape id="shape 10" o:spid="_x0000_s10" o:spt="1" type="#_x0000_t1" style="position:absolute;left:0;top:43718;width:1962;height:9075;v-text-anchor:top;visibility:visible;" filled="f" stroked="f" strokeweight="0.00pt">
                <v:textbox inset="0,0,0,0">
                  <w:txbxContent>
                    <w:p>
                      <w:pPr>
                        <w:pStyle w:val="1745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Инв. № подл.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11" o:spid="_x0000_s11" o:spt="1" type="#_x0000_t1" style="position:absolute;left:0;top:30988;width:1962;height:12708;v-text-anchor:top;visibility:visible;" filled="f" stroked="f" strokeweight="0.00pt">
                <v:textbox inset="0,0,0,0">
                  <w:txbxContent>
                    <w:p>
                      <w:pPr>
                        <w:pStyle w:val="1745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Подпись и дата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12" o:spid="_x0000_s12" o:spt="1" type="#_x0000_t1" style="position:absolute;left:0;top:21888;width:1962;height:9075;v-text-anchor:top;visibility:visible;" filled="f" stroked="f" strokeweight="0.00pt">
                <v:textbox inset="0,0,0,0">
                  <w:txbxContent>
                    <w:p>
                      <w:pPr>
                        <w:pStyle w:val="1745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Взам. инв. №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13" o:spid="_x0000_s13" o:spt="1" type="#_x0000_t1" style="position:absolute;left:0;top:12801;width:1962;height:9075;v-text-anchor:top;visibility:visible;" filled="f" stroked="f" strokeweight="0.00pt">
                <v:textbox inset="0,0,0,0">
                  <w:txbxContent>
                    <w:p>
                      <w:pPr>
                        <w:pStyle w:val="1745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Инв. № дубл.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14" o:spid="_x0000_s14" o:spt="1" type="#_x0000_t1" style="position:absolute;left:0;top:68;width:1962;height:12708;v-text-anchor:top;visibility:visible;" filled="f" stroked="f" strokeweight="0.00pt">
                <v:textbox inset="0,0,0,0">
                  <w:txbxContent>
                    <w:p>
                      <w:pPr>
                        <w:pStyle w:val="1745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Подпись и дата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highlight w:val="white"/>
      </w:rPr>
      <w:t xml:space="preserve">САНКТ-ПЕТЕРБУРГСКИЙ ГОСУДАРСТВЕННЫЙ УНИВЕРСИТЕТ (СПбГУ)</w:t>
    </w:r>
    <w:r>
      <w:rPr>
        <w:rFonts w:ascii="Arial" w:hAnsi="Arial" w:eastAsia="Arial"/>
        <w:color w:val="d9d9d9"/>
        <w:sz w:val="22"/>
        <w:szCs w:val="22"/>
      </w:rPr>
    </w:r>
    <w:r>
      <w:rPr>
        <w:rFonts w:ascii="Arial" w:hAnsi="Arial" w:eastAsia="Arial"/>
        <w:color w:val="d9d9d9"/>
        <w:sz w:val="22"/>
        <w:szCs w:val="22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11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45"/>
      <w:pBdr/>
      <w:spacing/>
      <w:ind/>
      <w:jc w:val="center"/>
      <w:rPr>
        <w:highlight w:val="white"/>
      </w:rPr>
    </w:pPr>
    <w:r>
      <w:rPr>
        <w:highlight w:val="white"/>
      </w:rPr>
      <w:t xml:space="preserve">ПРАВИТЕЛЬСТВО РОССИЙСКОЙ ФЕДЕРАЦИИ</w:t>
    </w:r>
    <w:r>
      <w:rPr>
        <w:highlight w:val="white"/>
      </w:rPr>
    </w:r>
    <w:r>
      <w:rPr>
        <w:highlight w:val="white"/>
      </w:rPr>
    </w:r>
  </w:p>
  <w:p>
    <w:pPr>
      <w:pStyle w:val="1745"/>
      <w:pBdr/>
      <w:spacing/>
      <w:ind/>
      <w:jc w:val="center"/>
      <w:rPr>
        <w:rFonts w:ascii="Arial" w:hAnsi="Arial" w:eastAsia="Arial"/>
        <w:color w:val="d9d9d9"/>
        <w:sz w:val="22"/>
        <w:szCs w:val="22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4605" distB="14605" distL="14605" distR="14605" simplePos="0" relativeHeight="20" behindDoc="1" locked="0" layoutInCell="0" allowOverlap="1">
              <wp:simplePos x="0" y="0"/>
              <wp:positionH relativeFrom="page">
                <wp:posOffset>323850</wp:posOffset>
              </wp:positionH>
              <wp:positionV relativeFrom="page">
                <wp:posOffset>4500880</wp:posOffset>
              </wp:positionV>
              <wp:extent cx="476885" cy="5295265"/>
              <wp:effectExtent l="14604" t="14604" r="14604" b="14604"/>
              <wp:wrapNone/>
              <wp:docPr id="2" name="Group 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477000" cy="5295240"/>
                        <a:chOff x="0" y="0"/>
                        <a:chExt cx="477000" cy="5295240"/>
                      </a:xfrm>
                    </wpg:grpSpPr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20" cy="5295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0" y="6840"/>
                          <a:ext cx="4762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0" y="5280840"/>
                          <a:ext cx="47628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0" y="4371840"/>
                          <a:ext cx="4762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0" y="3098880"/>
                          <a:ext cx="4762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0" y="2188800"/>
                          <a:ext cx="47628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0" y="1279440"/>
                          <a:ext cx="47628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98000" y="6840"/>
                          <a:ext cx="720" cy="527256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476280" y="0"/>
                          <a:ext cx="720" cy="5295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0" y="4371840"/>
                          <a:ext cx="196200" cy="90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45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Инв. № подл.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12600" tIns="25560" rIns="0" bIns="0" anchor="t"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0" y="3098880"/>
                          <a:ext cx="196200" cy="1270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45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Подпись и дата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12600" tIns="50760" rIns="0" bIns="0" anchor="t">
                        <a:noAutofit/>
                      </wps:bodyPr>
                    </wps:wsp>
                    <wps:wsp>
                      <wps:cNvPr id="11" name=""/>
                      <wps:cNvSpPr/>
                      <wps:spPr bwMode="auto">
                        <a:xfrm>
                          <a:off x="0" y="2188800"/>
                          <a:ext cx="196200" cy="90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45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Взам. инв. №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12600" tIns="50760" rIns="0" bIns="0" anchor="t">
                        <a:noAutofit/>
                      </wps:bodyPr>
                    </wps:wsp>
                    <wps:wsp>
                      <wps:cNvPr id="12" name=""/>
                      <wps:cNvSpPr/>
                      <wps:spPr bwMode="auto">
                        <a:xfrm>
                          <a:off x="0" y="1280160"/>
                          <a:ext cx="196200" cy="90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45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Инв. № дубл.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12600" tIns="38160" rIns="0" bIns="0" anchor="t">
                        <a:noAutofit/>
                      </wps:bodyPr>
                    </wps:wsp>
                    <wps:wsp>
                      <wps:cNvPr id="13" name=""/>
                      <wps:cNvSpPr/>
                      <wps:spPr bwMode="auto">
                        <a:xfrm>
                          <a:off x="0" y="6840"/>
                          <a:ext cx="196200" cy="1270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45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Подпись и дата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12600" tIns="5076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5" o:spid="_x0000_s0000" style="position:absolute;z-index:-20;o:allowoverlap:true;o:allowincell:false;mso-position-horizontal-relative:page;margin-left:25.50pt;mso-position-horizontal:absolute;mso-position-vertical-relative:page;margin-top:354.40pt;mso-position-vertical:absolute;width:37.55pt;height:416.95pt;mso-wrap-distance-left:1.15pt;mso-wrap-distance-top:1.15pt;mso-wrap-distance-right:1.15pt;mso-wrap-distance-bottom:1.15pt;" coordorigin="0,0" coordsize="4770,52952">
              <v:line id="shape 16" o:spid="_x0000_s16" style="position:absolute;left:0;text-align:left;z-index:-20;visibility:visible;" from="25.5pt,354.4pt" to="63.0pt,771.3pt" filled="f" strokecolor="#000000" strokeweight="2.25pt"/>
              <v:line id="shape 17" o:spid="_x0000_s17" style="position:absolute;left:0;text-align:left;z-index:-20;visibility:visible;" from="25.5pt,354.4pt" to="63.0pt,771.3pt" filled="f" strokecolor="#000000" strokeweight="2.25pt"/>
              <v:line id="shape 18" o:spid="_x0000_s18" style="position:absolute;left:0;text-align:left;z-index:-20;visibility:visible;" from="25.5pt,354.4pt" to="63.0pt,771.3pt" filled="f" strokecolor="#000000" strokeweight="2.25pt"/>
              <v:line id="shape 19" o:spid="_x0000_s19" style="position:absolute;left:0;text-align:left;z-index:-20;visibility:visible;" from="25.5pt,354.4pt" to="63.0pt,771.3pt" filled="f" strokecolor="#000000" strokeweight="2.25pt"/>
              <v:line id="shape 20" o:spid="_x0000_s20" style="position:absolute;left:0;text-align:left;z-index:-20;visibility:visible;" from="25.5pt,354.4pt" to="63.0pt,771.3pt" filled="f" strokecolor="#000000" strokeweight="2.25pt"/>
              <v:line id="shape 21" o:spid="_x0000_s21" style="position:absolute;left:0;text-align:left;z-index:-20;visibility:visible;" from="25.5pt,354.4pt" to="63.0pt,771.3pt" filled="f" strokecolor="#000000" strokeweight="2.25pt"/>
              <v:line id="shape 22" o:spid="_x0000_s22" style="position:absolute;left:0;text-align:left;z-index:-20;visibility:visible;" from="25.5pt,354.4pt" to="63.0pt,771.3pt" filled="f" strokecolor="#000000" strokeweight="2.25pt"/>
              <v:line id="shape 23" o:spid="_x0000_s23" style="position:absolute;left:0;text-align:left;z-index:-20;visibility:visible;" from="25.5pt,354.4pt" to="63.0pt,771.3pt" filled="f" strokecolor="#000000" strokeweight="2.25pt"/>
              <v:line id="shape 24" o:spid="_x0000_s24" style="position:absolute;left:0;text-align:left;z-index:-20;visibility:visible;" from="25.5pt,354.4pt" to="63.0pt,771.3pt" filled="f" strokecolor="#000000" strokeweight="2.25pt"/>
              <v:shape id="shape 25" o:spid="_x0000_s25" o:spt="1" type="#_x0000_t1" style="position:absolute;left:0;top:43718;width:1962;height:9075;v-text-anchor:top;visibility:visible;" filled="f" stroked="f" strokeweight="0.00pt">
                <v:textbox inset="0,0,0,0">
                  <w:txbxContent>
                    <w:p>
                      <w:pPr>
                        <w:pStyle w:val="1745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Инв. № подл.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26" o:spid="_x0000_s26" o:spt="1" type="#_x0000_t1" style="position:absolute;left:0;top:30988;width:1962;height:12708;v-text-anchor:top;visibility:visible;" filled="f" stroked="f" strokeweight="0.00pt">
                <v:textbox inset="0,0,0,0">
                  <w:txbxContent>
                    <w:p>
                      <w:pPr>
                        <w:pStyle w:val="1745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Подпись и дата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27" o:spid="_x0000_s27" o:spt="1" type="#_x0000_t1" style="position:absolute;left:0;top:21888;width:1962;height:9075;v-text-anchor:top;visibility:visible;" filled="f" stroked="f" strokeweight="0.00pt">
                <v:textbox inset="0,0,0,0">
                  <w:txbxContent>
                    <w:p>
                      <w:pPr>
                        <w:pStyle w:val="1745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Взам. инв. №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28" o:spid="_x0000_s28" o:spt="1" type="#_x0000_t1" style="position:absolute;left:0;top:12801;width:1962;height:9075;v-text-anchor:top;visibility:visible;" filled="f" stroked="f" strokeweight="0.00pt">
                <v:textbox inset="0,0,0,0">
                  <w:txbxContent>
                    <w:p>
                      <w:pPr>
                        <w:pStyle w:val="1745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Инв. № дубл.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29" o:spid="_x0000_s29" o:spt="1" type="#_x0000_t1" style="position:absolute;left:0;top:68;width:1962;height:12708;v-text-anchor:top;visibility:visible;" filled="f" stroked="f" strokeweight="0.00pt">
                <v:textbox inset="0,0,0,0">
                  <w:txbxContent>
                    <w:p>
                      <w:pPr>
                        <w:pStyle w:val="1745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Подпись и дата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highlight w:val="white"/>
      </w:rPr>
      <w:t xml:space="preserve">САНКТ-ПЕТЕРБУРГСКИЙ ГОСУДАРСТВЕННЫЙ УНИВЕРСИТЕТ (СПбГУ)</w:t>
    </w:r>
    <w:r>
      <w:rPr>
        <w:rFonts w:ascii="Arial" w:hAnsi="Arial" w:eastAsia="Arial"/>
        <w:color w:val="d9d9d9"/>
        <w:sz w:val="22"/>
        <w:szCs w:val="22"/>
      </w:rPr>
    </w:r>
    <w:r>
      <w:rPr>
        <w:rFonts w:ascii="Arial" w:hAnsi="Arial" w:eastAsia="Arial"/>
        <w:color w:val="d9d9d9"/>
        <w:sz w:val="22"/>
        <w:szCs w:val="22"/>
      </w:rPr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11"/>
      <w:pBdr/>
      <w:tabs>
        <w:tab w:val="center" w:leader="none" w:pos="4536"/>
        <w:tab w:val="right" w:leader="none" w:pos="9072"/>
        <w:tab w:val="left" w:leader="none" w:pos="9354"/>
        <w:tab w:val="left" w:leader="none" w:pos="10198"/>
      </w:tabs>
      <w:spacing/>
      <w:ind w:firstLine="0"/>
      <w:jc w:val="center"/>
      <w:rPr>
        <w:b/>
        <w:bCs w:val="0"/>
      </w:rPr>
    </w:pPr>
    <w:r>
      <w:rPr>
        <w:b/>
        <w:bCs w:val="0"/>
      </w:rPr>
      <w:fldChar w:fldCharType="begin"/>
    </w:r>
    <w:r>
      <w:rPr>
        <w:b/>
        <w:bCs w:val="0"/>
      </w:rPr>
      <w:instrText xml:space="preserve"> PAGE </w:instrText>
    </w:r>
    <w:r>
      <w:rPr>
        <w:b/>
        <w:bCs w:val="0"/>
      </w:rPr>
      <w:fldChar w:fldCharType="separate"/>
    </w:r>
    <w:r>
      <w:rPr>
        <w:b/>
        <w:bCs w:val="0"/>
      </w:rPr>
      <w:t xml:space="preserve">4</w:t>
    </w:r>
    <w:r>
      <w:rPr>
        <w:b/>
        <w:bCs w:val="0"/>
      </w:rPr>
      <w:fldChar w:fldCharType="end"/>
    </w:r>
    <w:r>
      <w:rPr>
        <w:b/>
        <w:bCs w:val="0"/>
      </w:rPr>
    </w:r>
    <w:r>
      <w:rPr>
        <w:b/>
        <w:bCs w:val="0"/>
      </w:rPr>
    </w:r>
  </w:p>
  <w:p>
    <w:pPr>
      <w:pStyle w:val="1811"/>
      <w:pBdr/>
      <w:spacing/>
      <w:ind w:firstLine="0"/>
      <w:jc w:val="center"/>
      <w:rPr>
        <w:b/>
        <w:bCs w:val="0"/>
      </w:rPr>
    </w:pPr>
    <w:r>
      <w:rPr>
        <w:b/>
        <w:bCs w:val="0"/>
      </w:rPr>
      <w:t xml:space="preserve">RU.02068516.62.01.29-140 13 02</w:t>
    </w:r>
    <w:r>
      <w:rPr>
        <w:b/>
        <w:bCs w:val="0"/>
      </w:rPr>
    </w:r>
    <w:r>
      <w:rPr>
        <w:b/>
        <w:bCs w:val="0"/>
      </w:rPr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45"/>
      <w:pBdr/>
      <w:spacing/>
      <w:ind/>
      <w:jc w:val="center"/>
      <w:rPr>
        <w:highlight w:val="white"/>
      </w:rPr>
    </w:pPr>
    <w:r>
      <w:rPr>
        <w:highlight w:val="white"/>
      </w:rPr>
      <w:t xml:space="preserve">ПРАВИТЕЛЬСТВО РОССИЙСКОЙ ФЕДЕРАЦИИ</w:t>
    </w:r>
    <w:r>
      <w:rPr>
        <w:highlight w:val="white"/>
      </w:rPr>
    </w:r>
    <w:r>
      <w:rPr>
        <w:highlight w:val="white"/>
      </w:rPr>
    </w:r>
  </w:p>
  <w:p w14:paraId="2286BFB7">
    <w:pPr>
      <w:pBdr/>
      <w:spacing/>
      <w:ind/>
      <w:rPr/>
    </w:pPr>
    <w:r/>
    <w:r/>
  </w:p>
  <w:p>
    <w:pPr>
      <w:pStyle w:val="1745"/>
      <w:pBdr/>
      <w:spacing/>
      <w:ind/>
      <w:jc w:val="center"/>
      <w:rPr>
        <w:rFonts w:ascii="Arial" w:hAnsi="Arial" w:eastAsia="Arial"/>
        <w:color w:val="d9d9d9"/>
        <w:sz w:val="22"/>
        <w:szCs w:val="22"/>
      </w:rPr>
    </w:pPr>
    <w:r/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4605" distB="14605" distL="14605" distR="14605" simplePos="0" relativeHeight="20" behindDoc="1" locked="0" layoutInCell="1" allowOverlap="1">
              <wp:simplePos x="0" y="0"/>
              <wp:positionH relativeFrom="page">
                <wp:posOffset>323850</wp:posOffset>
              </wp:positionH>
              <wp:positionV relativeFrom="page">
                <wp:posOffset>4491355</wp:posOffset>
              </wp:positionV>
              <wp:extent cx="476885" cy="5295265"/>
              <wp:effectExtent l="0" t="0" r="0" b="0"/>
              <wp:wrapNone/>
              <wp:docPr id="3" name="Group 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 rot="0" flipH="0" flipV="0">
                        <a:off x="0" y="0"/>
                        <a:ext cx="476883" cy="5295263"/>
                        <a:chOff x="0" y="0"/>
                        <a:chExt cx="477000" cy="5295240"/>
                      </a:xfrm>
                    </wpg:grpSpPr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20" cy="5295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0" y="6840"/>
                          <a:ext cx="4762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0" y="5280840"/>
                          <a:ext cx="47628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0" y="4371840"/>
                          <a:ext cx="4762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0" y="3098880"/>
                          <a:ext cx="4762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0" y="2188800"/>
                          <a:ext cx="47628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0" y="1279440"/>
                          <a:ext cx="47628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98000" y="6840"/>
                          <a:ext cx="720" cy="527256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476280" y="0"/>
                          <a:ext cx="720" cy="5295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0" y="4371840"/>
                          <a:ext cx="196200" cy="90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73377218">
                            <w:pPr>
                              <w:pStyle w:val="1745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Инв. № подл.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255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0" y="3098880"/>
                          <a:ext cx="196200" cy="1270798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3A48EA71">
                            <w:pPr>
                              <w:pStyle w:val="1745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Подпись и дата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1" name=""/>
                      <wps:cNvSpPr/>
                      <wps:spPr bwMode="auto">
                        <a:xfrm>
                          <a:off x="0" y="2188800"/>
                          <a:ext cx="196200" cy="90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4A3240B8">
                            <w:pPr>
                              <w:pStyle w:val="1745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Взам. инв. №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2" name=""/>
                      <wps:cNvSpPr/>
                      <wps:spPr bwMode="auto">
                        <a:xfrm>
                          <a:off x="0" y="1280160"/>
                          <a:ext cx="196200" cy="90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7045C500">
                            <w:pPr>
                              <w:pStyle w:val="1745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Инв. № дубл.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381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3" name=""/>
                      <wps:cNvSpPr/>
                      <wps:spPr bwMode="auto">
                        <a:xfrm>
                          <a:off x="0" y="6840"/>
                          <a:ext cx="196200" cy="1270798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7A19F4AA">
                            <w:pPr>
                              <w:pStyle w:val="1745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Подпись и дата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0" o:spid="_x0000_s0000" style="position:absolute;z-index:-20;o:allowoverlap:true;o:allowincell:true;mso-position-horizontal-relative:page;margin-left:25.50pt;mso-position-horizontal:absolute;mso-position-vertical-relative:page;margin-top:353.65pt;mso-position-vertical:absolute;width:37.55pt;height:416.95pt;mso-wrap-distance-left:1.15pt;mso-wrap-distance-top:1.15pt;mso-wrap-distance-right:1.15pt;mso-wrap-distance-bottom:1.15pt;rotation:0;" coordorigin="0,0" coordsize="4770,52952">
              <v:line id="shape 31" o:spid="_x0000_s31" style="position:absolute;left:0;text-align:left;z-index:-20;visibility:visible;" from="25.5pt,353.6pt" to="63.0pt,770.6pt" filled="f" strokecolor="#000000" strokeweight="2.25pt"/>
              <v:line id="shape 32" o:spid="_x0000_s32" style="position:absolute;left:0;text-align:left;z-index:-20;visibility:visible;" from="25.5pt,353.6pt" to="63.0pt,770.6pt" filled="f" strokecolor="#000000" strokeweight="2.25pt"/>
              <v:line id="shape 33" o:spid="_x0000_s33" style="position:absolute;left:0;text-align:left;z-index:-20;visibility:visible;" from="25.5pt,353.6pt" to="63.0pt,770.6pt" filled="f" strokecolor="#000000" strokeweight="2.25pt"/>
              <v:line id="shape 34" o:spid="_x0000_s34" style="position:absolute;left:0;text-align:left;z-index:-20;visibility:visible;" from="25.5pt,353.6pt" to="63.0pt,770.6pt" filled="f" strokecolor="#000000" strokeweight="2.25pt"/>
              <v:line id="shape 35" o:spid="_x0000_s35" style="position:absolute;left:0;text-align:left;z-index:-20;visibility:visible;" from="25.5pt,353.6pt" to="63.0pt,770.6pt" filled="f" strokecolor="#000000" strokeweight="2.25pt"/>
              <v:line id="shape 36" o:spid="_x0000_s36" style="position:absolute;left:0;text-align:left;z-index:-20;visibility:visible;" from="25.5pt,353.6pt" to="63.0pt,770.6pt" filled="f" strokecolor="#000000" strokeweight="2.25pt"/>
              <v:line id="shape 37" o:spid="_x0000_s37" style="position:absolute;left:0;text-align:left;z-index:-20;visibility:visible;" from="25.5pt,353.6pt" to="63.0pt,770.6pt" filled="f" strokecolor="#000000" strokeweight="2.25pt"/>
              <v:line id="shape 38" o:spid="_x0000_s38" style="position:absolute;left:0;text-align:left;z-index:-20;visibility:visible;" from="25.5pt,353.6pt" to="63.0pt,770.6pt" filled="f" strokecolor="#000000" strokeweight="2.25pt"/>
              <v:line id="shape 39" o:spid="_x0000_s39" style="position:absolute;left:0;text-align:left;z-index:-20;visibility:visible;" from="25.5pt,353.6pt" to="63.0pt,770.6pt" filled="f" strokecolor="#000000" strokeweight="2.25pt"/>
              <v:shape id="shape 40" o:spid="_x0000_s40" o:spt="1" type="#_x0000_t1" style="position:absolute;left:0;top:43718;width:1962;height:9075;v-text-anchor:top;visibility:visible;" filled="f" stroked="f" strokeweight="0.00pt">
                <v:textbox inset="0,0,0,0">
                  <w:txbxContent>
                    <w:p w14:paraId="73377218">
                      <w:pPr>
                        <w:pStyle w:val="1745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Инв. № подл.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41" o:spid="_x0000_s41" o:spt="1" type="#_x0000_t1" style="position:absolute;left:0;top:30988;width:1962;height:12707;v-text-anchor:top;visibility:visible;" filled="f" stroked="f" strokeweight="0.00pt">
                <v:textbox inset="0,0,0,0">
                  <w:txbxContent>
                    <w:p w14:paraId="3A48EA71">
                      <w:pPr>
                        <w:pStyle w:val="1745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Подпись и дата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42" o:spid="_x0000_s42" o:spt="1" type="#_x0000_t1" style="position:absolute;left:0;top:21888;width:1962;height:9075;v-text-anchor:top;visibility:visible;" filled="f" stroked="f" strokeweight="0.00pt">
                <v:textbox inset="0,0,0,0">
                  <w:txbxContent>
                    <w:p w14:paraId="4A3240B8">
                      <w:pPr>
                        <w:pStyle w:val="1745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Взам. инв. №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43" o:spid="_x0000_s43" o:spt="1" type="#_x0000_t1" style="position:absolute;left:0;top:12801;width:1962;height:9075;v-text-anchor:top;visibility:visible;" filled="f" stroked="f" strokeweight="0.00pt">
                <v:textbox inset="0,0,0,0">
                  <w:txbxContent>
                    <w:p w14:paraId="7045C500">
                      <w:pPr>
                        <w:pStyle w:val="1745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Инв. № дубл.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44" o:spid="_x0000_s44" o:spt="1" type="#_x0000_t1" style="position:absolute;left:0;top:68;width:1962;height:12707;v-text-anchor:top;visibility:visible;" filled="f" stroked="f" strokeweight="0.00pt">
                <v:textbox inset="0,0,0,0">
                  <w:txbxContent>
                    <w:p w14:paraId="7A19F4AA">
                      <w:pPr>
                        <w:pStyle w:val="1745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Подпись и дата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  <w:bookmarkStart w:id="2" w:name="_Hlk175305077_Copy_17"/>
    <w:r/>
    <w:bookmarkStart w:id="3" w:name="_Hlk175305076_Copy_17"/>
    <w:r/>
    <w:bookmarkStart w:id="4" w:name="_Hlk175305000_Copy_17"/>
    <w:r/>
    <w:bookmarkStart w:id="5" w:name="_Hlk175305152_Copy_17"/>
    <w:r/>
    <w:bookmarkStart w:id="6" w:name="_Hlk175304638_Copy_17"/>
    <w:r/>
    <w:bookmarkStart w:id="7" w:name="_Hlk175305153_Copy_17"/>
    <w:r/>
    <w:bookmarkStart w:id="8" w:name="_Hlk175304639_Copy_17"/>
    <w:r/>
    <w:bookmarkEnd w:id="2"/>
    <w:r/>
    <w:bookmarkEnd w:id="3"/>
    <w:r/>
    <w:bookmarkEnd w:id="4"/>
    <w:r/>
    <w:bookmarkEnd w:id="5"/>
    <w:r/>
    <w:bookmarkEnd w:id="6"/>
    <w:r/>
    <w:bookmarkEnd w:id="7"/>
    <w:r/>
    <w:bookmarkEnd w:id="8"/>
    <w:r>
      <w:rPr>
        <w:highlight w:val="white"/>
      </w:rPr>
      <w:t xml:space="preserve">САНКТ-ПЕТЕРБУРГСКИЙ ГОСУДАРСТВЕННЫЙ УНИВЕРСИТЕТ (СПбГУ)</w:t>
    </w:r>
    <w:r>
      <w:rPr>
        <w:rFonts w:ascii="Arial" w:hAnsi="Arial" w:eastAsia="Arial"/>
        <w:color w:val="d9d9d9"/>
        <w:sz w:val="22"/>
        <w:szCs w:val="22"/>
      </w:rPr>
    </w:r>
    <w:r>
      <w:rPr>
        <w:rFonts w:ascii="Arial" w:hAnsi="Arial" w:eastAsia="Arial"/>
        <w:color w:val="d9d9d9"/>
        <w:sz w:val="22"/>
        <w:szCs w:val="22"/>
      </w:rPr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11"/>
      <w:pBdr/>
      <w:tabs>
        <w:tab w:val="center" w:leader="none" w:pos="4536"/>
        <w:tab w:val="right" w:leader="none" w:pos="9072"/>
        <w:tab w:val="left" w:leader="none" w:pos="9354"/>
        <w:tab w:val="left" w:leader="none" w:pos="10198"/>
      </w:tabs>
      <w:spacing/>
      <w:ind w:firstLine="0"/>
      <w:jc w:val="center"/>
      <w:rPr>
        <w:b/>
        <w:bCs w:val="0"/>
      </w:rPr>
    </w:pPr>
    <w:r>
      <w:fldChar w:fldCharType="begin"/>
    </w:r>
    <w:r>
      <w:instrText xml:space="preserve"> PAGE </w:instrText>
    </w:r>
    <w:r>
      <w:fldChar w:fldCharType="separate"/>
    </w:r>
    <w:r>
      <w:t xml:space="preserve">4</w:t>
    </w:r>
    <w:r>
      <w:fldChar w:fldCharType="end"/>
    </w:r>
    <w:r>
      <w:rPr>
        <w:b/>
        <w:bCs w:val="0"/>
      </w:rPr>
    </w:r>
    <w:r>
      <w:rPr>
        <w:b/>
        <w:bCs w:val="0"/>
      </w:rPr>
    </w:r>
  </w:p>
  <w:p>
    <w:pPr>
      <w:pStyle w:val="1811"/>
      <w:pBdr/>
      <w:spacing/>
      <w:ind w:firstLine="0"/>
      <w:jc w:val="center"/>
      <w:rPr>
        <w:b/>
        <w:bCs w:val="0"/>
      </w:rPr>
    </w:pPr>
    <w:r>
      <w:rPr>
        <w:b/>
        <w:bCs w:val="0"/>
      </w:rPr>
      <w:t xml:space="preserve">RU.02068516.62.01.29-140 13 02</w:t>
    </w:r>
    <w:r>
      <w:rPr>
        <w:b/>
        <w:bCs w:val="0"/>
      </w:rPr>
    </w:r>
    <w:r>
      <w:rPr>
        <w:b/>
        <w:bCs w:val="0"/>
      </w:rPr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11"/>
      <w:pBdr/>
      <w:tabs>
        <w:tab w:val="center" w:leader="none" w:pos="4536"/>
        <w:tab w:val="right" w:leader="none" w:pos="9072"/>
        <w:tab w:val="left" w:leader="none" w:pos="9354"/>
        <w:tab w:val="left" w:leader="none" w:pos="10198"/>
      </w:tabs>
      <w:spacing/>
      <w:ind w:firstLine="0"/>
      <w:jc w:val="center"/>
      <w:rPr>
        <w:b/>
        <w:bCs w:val="0"/>
      </w:rPr>
    </w:pPr>
    <w:r>
      <w:fldChar w:fldCharType="begin"/>
    </w:r>
    <w:r>
      <w:instrText xml:space="preserve"> PAGE </w:instrText>
    </w:r>
    <w:r>
      <w:fldChar w:fldCharType="separate"/>
    </w:r>
    <w:r>
      <w:t xml:space="preserve">5</w:t>
    </w:r>
    <w:r>
      <w:fldChar w:fldCharType="end"/>
    </w:r>
    <w:r>
      <w:rPr>
        <w:b/>
        <w:bCs w:val="0"/>
      </w:rPr>
    </w:r>
    <w:r>
      <w:rPr>
        <w:b/>
        <w:bCs w:val="0"/>
      </w:rPr>
    </w:r>
  </w:p>
  <w:p>
    <w:pPr>
      <w:pStyle w:val="1811"/>
      <w:pBdr/>
      <w:spacing/>
      <w:ind w:firstLine="0"/>
      <w:jc w:val="center"/>
      <w:rPr>
        <w:b/>
        <w:bCs w:val="0"/>
      </w:rPr>
    </w:pPr>
    <w:r>
      <w:rPr>
        <w:b/>
        <w:bCs w:val="0"/>
      </w:rPr>
      <w:t xml:space="preserve">RU.02068516.62.01.29-140 13 02</w:t>
    </w:r>
    <w:r>
      <w:rPr>
        <w:b/>
        <w:bCs w:val="0"/>
      </w:rPr>
    </w:r>
    <w:r>
      <w:rPr>
        <w:b/>
        <w:bCs w:val="0"/>
      </w:rPr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11"/>
      <w:pBdr/>
      <w:tabs>
        <w:tab w:val="center" w:leader="none" w:pos="4536"/>
        <w:tab w:val="right" w:leader="none" w:pos="9072"/>
        <w:tab w:val="left" w:leader="none" w:pos="9354"/>
        <w:tab w:val="left" w:leader="none" w:pos="10198"/>
      </w:tabs>
      <w:spacing/>
      <w:ind w:firstLine="0"/>
      <w:jc w:val="center"/>
      <w:rPr>
        <w:b/>
        <w:bCs w:val="0"/>
      </w:rPr>
    </w:pPr>
    <w:r>
      <w:fldChar w:fldCharType="begin"/>
    </w:r>
    <w:r>
      <w:instrText xml:space="preserve"> PAGE </w:instrText>
    </w:r>
    <w:r>
      <w:fldChar w:fldCharType="separate"/>
    </w:r>
    <w:r>
      <w:t xml:space="preserve">68</w:t>
    </w:r>
    <w:r>
      <w:fldChar w:fldCharType="end"/>
    </w:r>
    <w:r>
      <w:rPr>
        <w:b/>
        <w:bCs w:val="0"/>
      </w:rPr>
    </w:r>
    <w:r>
      <w:rPr>
        <w:b/>
        <w:bCs w:val="0"/>
      </w:rPr>
    </w:r>
  </w:p>
  <w:p>
    <w:pPr>
      <w:pStyle w:val="1811"/>
      <w:pBdr/>
      <w:spacing/>
      <w:ind w:firstLine="0"/>
      <w:jc w:val="center"/>
      <w:rPr>
        <w:b/>
        <w:bCs w:val="0"/>
      </w:rPr>
    </w:pPr>
    <w:r>
      <w:rPr>
        <w:b/>
        <w:bCs w:val="0"/>
      </w:rPr>
      <w:t xml:space="preserve">RU.02068516.62.01.29-140 13 02</w:t>
    </w:r>
    <w:r>
      <w:rPr>
        <w:b/>
        <w:bCs w:val="0"/>
      </w:rPr>
    </w:r>
    <w:r>
      <w:rPr>
        <w:b/>
        <w:bCs w:val="0"/>
      </w:rPr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0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hanging="864" w:left="864"/>
      </w:pPr>
      <w:pStyle w:val="1749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0"/>
        </w:tabs>
        <w:spacing/>
        <w:ind w:hanging="1008" w:left="1008"/>
      </w:pPr>
      <w:pStyle w:val="1750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0"/>
        </w:tabs>
        <w:spacing/>
        <w:ind w:hanging="1152" w:left="1152"/>
      </w:pPr>
      <w:pStyle w:val="1751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0"/>
        </w:tabs>
        <w:spacing/>
        <w:ind w:hanging="1296" w:left="1296"/>
      </w:pPr>
      <w:pStyle w:val="1752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0"/>
        </w:tabs>
        <w:spacing/>
        <w:ind w:hanging="1440" w:left="1440"/>
      </w:pPr>
      <w:pStyle w:val="1753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0"/>
        </w:tabs>
        <w:spacing/>
        <w:ind w:hanging="1584" w:left="1584"/>
      </w:pPr>
      <w:pStyle w:val="1754"/>
      <w:rPr/>
      <w:start w:val="1"/>
      <w:suff w:val="tab"/>
    </w:lvl>
  </w:abstractNum>
  <w:abstractNum w:abstractNumId="1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firstLine="851" w:left="-141"/>
      </w:pPr>
      <w:pStyle w:val="1746"/>
      <w:rPr>
        <w:rFonts w:ascii="Times New Roman" w:hAnsi="Times New Roman"/>
        <w:b/>
        <w:i w:val="0"/>
        <w:caps w:val="0"/>
        <w:smallCaps w:val="0"/>
        <w:strike w:val="0"/>
        <w:vanish w:val="0"/>
        <w:color w:val="000000"/>
        <w:position w:val="0"/>
        <w:sz w:val="32"/>
        <w:szCs w:val="36"/>
        <w:vertAlign w:val="baseline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tabs>
          <w:tab w:val="num" w:leader="none" w:pos="0"/>
        </w:tabs>
        <w:spacing/>
        <w:ind w:firstLine="851" w:left="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firstLine="851" w:left="7938"/>
      </w:pPr>
      <w:rPr>
        <w:rFonts w:ascii="Times New Roman" w:hAnsi="Times New Roman"/>
        <w:b w:val="0"/>
        <w:i w:val="0"/>
        <w:caps w:val="0"/>
        <w:smallCaps w:val="0"/>
        <w:strike w:val="0"/>
        <w:vanish w:val="0"/>
        <w:color w:val="000000"/>
        <w:position w:val="0"/>
        <w:sz w:val="24"/>
        <w:szCs w:val="24"/>
        <w:vertAlign w:val="baseline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firstLine="851" w:left="425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tabs>
          <w:tab w:val="num" w:leader="none" w:pos="0"/>
        </w:tabs>
        <w:spacing/>
        <w:ind w:firstLine="851" w:left="1843"/>
      </w:pPr>
      <w:rPr>
        <w:rFonts w:ascii="Times New Roman" w:hAnsi="Times New Roman"/>
        <w:b w:val="0"/>
        <w:i w:val="0"/>
        <w:caps w:val="0"/>
        <w:smallCaps w:val="0"/>
        <w:strike w:val="0"/>
        <w:vanish w:val="0"/>
        <w:color w:val="000000"/>
        <w:position w:val="0"/>
        <w:sz w:val="28"/>
        <w:vertAlign w:val="baseline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0"/>
        </w:tabs>
        <w:spacing/>
        <w:ind w:firstLine="851" w:left="0"/>
      </w:pPr>
      <w:rPr>
        <w:rFonts w:ascii="Times New Roman" w:hAnsi="Times New Roman"/>
        <w:b w:val="0"/>
        <w:i w:val="0"/>
        <w:caps w:val="0"/>
        <w:smallCaps w:val="0"/>
        <w:strike w:val="0"/>
        <w:vanish w:val="0"/>
        <w:color w:val="000000"/>
        <w:position w:val="0"/>
        <w:sz w:val="28"/>
        <w:vertAlign w:val="baseline"/>
      </w:rPr>
      <w:start w:val="1"/>
      <w:suff w:val="space"/>
    </w:lvl>
    <w:lvl w:ilvl="6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vertAlign w:val="baseline"/>
      </w:rPr>
      <w:start w:val="1"/>
      <w:suff w:val="space"/>
    </w:lvl>
    <w:lvl w:ilvl="7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vertAlign w:val="baseline"/>
      </w:rPr>
      <w:start w:val="1"/>
      <w:suff w:val="space"/>
    </w:lvl>
    <w:lvl w:ilvl="8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vertAlign w:val="baseline"/>
      </w:rPr>
      <w:start w:val="1"/>
      <w:suff w:val="space"/>
    </w:lvl>
  </w:abstractNum>
  <w:abstractNum w:abstractNumId="2">
    <w:lvl w:ilvl="0">
      <w:isLgl w:val="false"/>
      <w:lvlJc w:val="left"/>
      <w:lvlText w:val="%1)"/>
      <w:numFmt w:val="russianLower"/>
      <w:pPr>
        <w:pBdr/>
        <w:tabs>
          <w:tab w:val="num" w:leader="none" w:pos="0"/>
        </w:tabs>
        <w:spacing/>
        <w:ind w:hanging="91" w:left="800"/>
      </w:pPr>
      <w:pStyle w:val="1845"/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tabs>
          <w:tab w:val="num" w:leader="none" w:pos="1563"/>
        </w:tabs>
        <w:spacing/>
        <w:ind w:hanging="360" w:left="156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283"/>
        </w:tabs>
        <w:spacing/>
        <w:ind w:hanging="180" w:left="228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003"/>
        </w:tabs>
        <w:spacing/>
        <w:ind w:hanging="360" w:left="300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723"/>
        </w:tabs>
        <w:spacing/>
        <w:ind w:hanging="360" w:left="372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443"/>
        </w:tabs>
        <w:spacing/>
        <w:ind w:hanging="180" w:left="444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163"/>
        </w:tabs>
        <w:spacing/>
        <w:ind w:hanging="360" w:left="516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883"/>
        </w:tabs>
        <w:spacing/>
        <w:ind w:hanging="360" w:left="588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603"/>
        </w:tabs>
        <w:spacing/>
        <w:ind w:hanging="180" w:left="6603"/>
      </w:pPr>
      <w:rPr/>
      <w:start w:val="1"/>
      <w:suff w:val="tab"/>
    </w:lvl>
  </w:abstractNum>
  <w:abstractNum w:abstractNumId="3">
    <w:lvl w:ilvl="0">
      <w:isLgl w:val="false"/>
      <w:lvlJc w:val="left"/>
      <w:lvlText w:val="‒"/>
      <w:numFmt w:val="bullet"/>
      <w:pPr>
        <w:pBdr/>
        <w:tabs>
          <w:tab w:val="num" w:leader="none" w:pos="0"/>
        </w:tabs>
        <w:spacing/>
        <w:ind w:firstLine="851" w:left="3402"/>
      </w:pPr>
      <w:pStyle w:val="1846"/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8"/>
        <w:u w:val="none"/>
        <w:vertAlign w:val="baseline"/>
      </w:rPr>
      <w:start w:val="1"/>
      <w:suff w:val="tab"/>
    </w:lvl>
    <w:lvl w:ilvl="1">
      <w:isLgl w:val="false"/>
      <w:lvlJc w:val="left"/>
      <w:lvlText w:val="‒"/>
      <w:numFmt w:val="bullet"/>
      <w:pPr>
        <w:pBdr/>
        <w:tabs>
          <w:tab w:val="num" w:leader="none" w:pos="0"/>
        </w:tabs>
        <w:spacing/>
        <w:ind w:hanging="425" w:left="1701"/>
      </w:pPr>
      <w:pStyle w:val="1847"/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2">
      <w:isLgl w:val="false"/>
      <w:lvlJc w:val="left"/>
      <w:lvlText w:val="‒"/>
      <w:numFmt w:val="bullet"/>
      <w:pPr>
        <w:pBdr/>
        <w:tabs>
          <w:tab w:val="num" w:leader="none" w:pos="0"/>
        </w:tabs>
        <w:spacing/>
        <w:ind w:hanging="425" w:left="2126"/>
      </w:pPr>
      <w:pStyle w:val="1848"/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3">
      <w:isLgl w:val="false"/>
      <w:lvlJc w:val="left"/>
      <w:lvlText w:val="‒"/>
      <w:numFmt w:val="bullet"/>
      <w:pPr>
        <w:pBdr/>
        <w:tabs>
          <w:tab w:val="num" w:leader="none" w:pos="0"/>
        </w:tabs>
        <w:spacing/>
        <w:ind w:hanging="425" w:left="2551"/>
      </w:pPr>
      <w:pStyle w:val="1849"/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4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hanging="425" w:left="2976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5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hanging="425" w:left="3401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6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hanging="425" w:left="3826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7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hanging="425" w:left="4251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8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hanging="425" w:left="4676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</w:abstractNum>
  <w:abstractNum w:abstractNumId="4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firstLine="851" w:left="0"/>
      </w:pPr>
      <w:pStyle w:val="1851"/>
      <w:rPr>
        <w:rFonts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1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vertAlign w:val="baseline"/>
      </w:rPr>
      <w:start w:val="1"/>
      <w:suff w:val="space"/>
    </w:lvl>
    <w:lvl w:ilvl="2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3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4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5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6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7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8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</w:abstractNum>
  <w:abstractNum w:abstractNumId="5">
    <w:lvl w:ilvl="0">
      <w:isLgl w:val="false"/>
      <w:lvlJc w:val="left"/>
      <w:lvlText w:val="%1)"/>
      <w:numFmt w:val="russianLower"/>
      <w:pPr>
        <w:pBdr/>
        <w:tabs>
          <w:tab w:val="num" w:leader="none" w:pos="0"/>
        </w:tabs>
        <w:spacing/>
        <w:ind w:hanging="360" w:left="360"/>
      </w:pPr>
      <w:pStyle w:val="1867"/>
      <w:rPr/>
      <w:start w:val="1"/>
      <w:suff w:val="tab"/>
    </w:lvl>
    <w:lvl w:ilvl="1">
      <w:isLgl w:val="false"/>
      <w:lvlJc w:val="left"/>
      <w:lvlText w:val="%2)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2">
      <w:isLgl w:val="false"/>
      <w:lvlJc w:val="left"/>
      <w:lvlText w:val="%2-%3)"/>
      <w:numFmt w:val="decimal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144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180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216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252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288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3240"/>
      </w:pPr>
      <w:rPr/>
      <w:start w:val="1"/>
      <w:suff w:val="nothing"/>
    </w:lvl>
  </w:abstractNum>
  <w:abstractNum w:abstractNumId="6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pStyle w:val="1840"/>
      <w:rPr/>
      <w:start w:val="1"/>
      <w:suff w:val="tab"/>
    </w:lvl>
    <w:lvl w:ilvl="1">
      <w:isLgl w:val="true"/>
      <w:lvlJc w:val="left"/>
      <w:lvlText w:val="%1.%2."/>
      <w:numFmt w:val="decimal"/>
      <w:pPr>
        <w:pBdr/>
        <w:tabs>
          <w:tab w:val="num" w:leader="none" w:pos="0"/>
        </w:tabs>
        <w:spacing/>
        <w:ind w:hanging="720" w:left="1080"/>
      </w:pPr>
      <w:pStyle w:val="1841"/>
      <w:rPr/>
      <w:start w:val="1"/>
      <w:suff w:val="tab"/>
    </w:lvl>
    <w:lvl w:ilvl="2">
      <w:isLgl w:val="true"/>
      <w:lvlJc w:val="left"/>
      <w:lvlText w:val="%1.%2.%3."/>
      <w:numFmt w:val="decimal"/>
      <w:pPr>
        <w:pBdr/>
        <w:tabs>
          <w:tab w:val="num" w:leader="none" w:pos="0"/>
        </w:tabs>
        <w:spacing/>
        <w:ind w:hanging="720" w:left="1080"/>
      </w:pPr>
      <w:rPr/>
      <w:start w:val="1"/>
      <w:suff w:val="tab"/>
    </w:lvl>
    <w:lvl w:ilvl="3">
      <w:isLgl w:val="tru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1080" w:left="1440"/>
      </w:pPr>
      <w:rPr/>
      <w:start w:val="1"/>
      <w:suff w:val="tab"/>
    </w:lvl>
    <w:lvl w:ilvl="4">
      <w:isLgl w:val="tru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1440" w:left="1800"/>
      </w:pPr>
      <w:rPr/>
      <w:start w:val="1"/>
      <w:suff w:val="tab"/>
    </w:lvl>
    <w:lvl w:ilvl="5">
      <w:isLgl w:val="tru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1440" w:left="1800"/>
      </w:pPr>
      <w:rPr/>
      <w:start w:val="1"/>
      <w:suff w:val="tab"/>
    </w:lvl>
    <w:lvl w:ilvl="6">
      <w:isLgl w:val="tru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800" w:left="2160"/>
      </w:pPr>
      <w:rPr/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2160" w:left="2520"/>
      </w:pPr>
      <w:rPr/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2160" w:left="252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284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95">
    <w:name w:val="Table Grid Light"/>
    <w:basedOn w:val="18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Plain Table 3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Plain Table 4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Plain Table 5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1 Light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1 Light - Accent 1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1 Light - Accent 2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1 Light - Accent 3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Grid Table 1 Light - Accent 4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Grid Table 1 Light - Accent 5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Grid Table 1 Light - Accent 6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Grid Table 2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Grid Table 2 - Accent 1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Grid Table 2 - Accent 2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Grid Table 2 - Accent 3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Grid Table 2 - Accent 4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Grid Table 2 - Accent 5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Grid Table 2 - Accent 6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Grid Table 3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Grid Table 3 - Accent 1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Grid Table 3 - Accent 2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Grid Table 3 - Accent 3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Grid Table 3 - Accent 4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Grid Table 3 - Accent 5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Grid Table 3 - Accent 6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Grid Table 4"/>
    <w:basedOn w:val="1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Grid Table 4 - Accent 1"/>
    <w:basedOn w:val="1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Grid Table 4 - Accent 2"/>
    <w:basedOn w:val="1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Grid Table 4 - Accent 3"/>
    <w:basedOn w:val="1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Grid Table 4 - Accent 4"/>
    <w:basedOn w:val="1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Grid Table 4 - Accent 5"/>
    <w:basedOn w:val="1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Grid Table 4 - Accent 6"/>
    <w:basedOn w:val="1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Grid Table 5 Dark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Grid Table 5 Dark- Accent 1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Grid Table 5 Dark - Accent 2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Grid Table 5 Dark - Accent 3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Grid Table 5 Dark- Accent 4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Grid Table 5 Dark - Accent 5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Grid Table 5 Dark - Accent 6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Grid Table 6 Colorful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Grid Table 6 Colorful - Accent 1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Grid Table 6 Colorful - Accent 2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Grid Table 6 Colorful - Accent 3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Grid Table 6 Colorful - Accent 4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Grid Table 6 Colorful - Accent 5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Grid Table 6 Colorful - Accent 6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Grid Table 7 Colorful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Grid Table 7 Colorful - Accent 1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Grid Table 7 Colorful - Accent 2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Grid Table 7 Colorful - Accent 3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Grid Table 7 Colorful - Accent 4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Grid Table 7 Colorful - Accent 5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Grid Table 7 Colorful - Accent 6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1 Light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1 Light - Accent 1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1 Light - Accent 2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1 Light - Accent 3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st Table 1 Light - Accent 4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st Table 1 Light - Accent 5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st Table 1 Light - Accent 6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st Table 2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st Table 2 - Accent 1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st Table 2 - Accent 2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st Table 2 - Accent 3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List Table 2 - Accent 4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st Table 2 - Accent 5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st Table 2 - Accent 6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st Table 3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List Table 3 - Accent 1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List Table 3 - Accent 2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st Table 3 - Accent 3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st Table 3 - Accent 4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List Table 3 - Accent 5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List Table 3 - Accent 6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List Table 4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List Table 4 - Accent 1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List Table 4 - Accent 2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List Table 4 - Accent 3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List Table 4 - Accent 4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List Table 4 - Accent 5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List Table 4 - Accent 6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List Table 5 Dark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List Table 5 Dark - Accent 1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List Table 5 Dark - Accent 2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List Table 5 Dark - Accent 3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List Table 5 Dark - Accent 4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List Table 5 Dark - Accent 5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List Table 5 Dark - Accent 6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List Table 6 Colorful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List Table 6 Colorful - Accent 1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List Table 6 Colorful - Accent 2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List Table 6 Colorful - Accent 3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List Table 6 Colorful - Accent 4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List Table 6 Colorful - Accent 5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List Table 6 Colorful - Accent 6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List Table 7 Colorful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List Table 7 Colorful - Accent 1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List Table 7 Colorful - Accent 2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List Table 7 Colorful - Accent 3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4">
    <w:name w:val="List Table 7 Colorful - Accent 4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5">
    <w:name w:val="List Table 7 Colorful - Accent 5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List Table 7 Colorful - Accent 6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7">
    <w:name w:val="Lined - Accent"/>
    <w:basedOn w:val="1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>
    <w:name w:val="Lined - Accent 1"/>
    <w:basedOn w:val="1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>
    <w:name w:val="Lined - Accent 2"/>
    <w:basedOn w:val="1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>
    <w:name w:val="Lined - Accent 3"/>
    <w:basedOn w:val="1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>
    <w:name w:val="Lined - Accent 4"/>
    <w:basedOn w:val="1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>
    <w:name w:val="Lined - Accent 5"/>
    <w:basedOn w:val="1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>
    <w:name w:val="Lined - Accent 6"/>
    <w:basedOn w:val="1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>
    <w:name w:val="Bordered &amp; Lined - Accent"/>
    <w:basedOn w:val="1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>
    <w:name w:val="Bordered &amp; Lined - Accent 1"/>
    <w:basedOn w:val="1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>
    <w:name w:val="Bordered &amp; Lined - Accent 2"/>
    <w:basedOn w:val="1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>
    <w:name w:val="Bordered &amp; Lined - Accent 3"/>
    <w:basedOn w:val="1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>
    <w:name w:val="Bordered &amp; Lined - Accent 4"/>
    <w:basedOn w:val="1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>
    <w:name w:val="Bordered &amp; Lined - Accent 5"/>
    <w:basedOn w:val="1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>
    <w:name w:val="Bordered &amp; Lined - Accent 6"/>
    <w:basedOn w:val="1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>
    <w:name w:val="Bordered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>
    <w:name w:val="Bordered - Accent 1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>
    <w:name w:val="Bordered - Accent 2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>
    <w:name w:val="Bordered - Accent 3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>
    <w:name w:val="Bordered - Accent 4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>
    <w:name w:val="Bordered - Accent 5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>
    <w:name w:val="Bordered - Accent 6"/>
    <w:basedOn w:val="1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8">
    <w:name w:val="Heading 1 Char"/>
    <w:basedOn w:val="1755"/>
    <w:link w:val="17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719">
    <w:name w:val="Heading 2 Char"/>
    <w:basedOn w:val="1755"/>
    <w:link w:val="1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720">
    <w:name w:val="Heading 3 Char"/>
    <w:basedOn w:val="1755"/>
    <w:link w:val="1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721">
    <w:name w:val="Heading 4 Char"/>
    <w:basedOn w:val="1755"/>
    <w:link w:val="17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722">
    <w:name w:val="Heading 5 Char"/>
    <w:basedOn w:val="1755"/>
    <w:link w:val="17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723">
    <w:name w:val="Heading 6 Char"/>
    <w:basedOn w:val="1755"/>
    <w:link w:val="17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24">
    <w:name w:val="Heading 7 Char"/>
    <w:basedOn w:val="1755"/>
    <w:link w:val="17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25">
    <w:name w:val="Heading 8 Char"/>
    <w:basedOn w:val="1755"/>
    <w:link w:val="17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26">
    <w:name w:val="Heading 9 Char"/>
    <w:basedOn w:val="1755"/>
    <w:link w:val="17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27">
    <w:name w:val="Title Char"/>
    <w:basedOn w:val="1755"/>
    <w:link w:val="18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8">
    <w:name w:val="Subtitle"/>
    <w:basedOn w:val="1745"/>
    <w:next w:val="1745"/>
    <w:link w:val="172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29">
    <w:name w:val="Subtitle Char"/>
    <w:basedOn w:val="1755"/>
    <w:link w:val="17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30">
    <w:name w:val="Quote"/>
    <w:basedOn w:val="1745"/>
    <w:next w:val="1745"/>
    <w:link w:val="17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31">
    <w:name w:val="Quote Char"/>
    <w:basedOn w:val="1755"/>
    <w:link w:val="17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732">
    <w:name w:val="Intense Quote Char"/>
    <w:basedOn w:val="1755"/>
    <w:link w:val="182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33">
    <w:name w:val="Subtle Emphasis"/>
    <w:basedOn w:val="17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4">
    <w:name w:val="Strong"/>
    <w:basedOn w:val="1755"/>
    <w:uiPriority w:val="22"/>
    <w:qFormat/>
    <w:pPr>
      <w:pBdr/>
      <w:spacing/>
      <w:ind/>
    </w:pPr>
    <w:rPr>
      <w:b/>
      <w:bCs/>
    </w:rPr>
  </w:style>
  <w:style w:type="character" w:styleId="1735">
    <w:name w:val="Subtle Reference"/>
    <w:basedOn w:val="17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36">
    <w:name w:val="Book Title"/>
    <w:basedOn w:val="175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37">
    <w:name w:val="Header Char"/>
    <w:basedOn w:val="1755"/>
    <w:link w:val="1811"/>
    <w:uiPriority w:val="99"/>
    <w:pPr>
      <w:pBdr/>
      <w:spacing/>
      <w:ind/>
    </w:pPr>
  </w:style>
  <w:style w:type="character" w:styleId="1738">
    <w:name w:val="Footer Char"/>
    <w:basedOn w:val="1755"/>
    <w:link w:val="1812"/>
    <w:uiPriority w:val="99"/>
    <w:pPr>
      <w:pBdr/>
      <w:spacing/>
      <w:ind/>
    </w:pPr>
  </w:style>
  <w:style w:type="character" w:styleId="1739">
    <w:name w:val="Footnote Text Char"/>
    <w:basedOn w:val="1755"/>
    <w:link w:val="1866"/>
    <w:uiPriority w:val="99"/>
    <w:semiHidden/>
    <w:pPr>
      <w:pBdr/>
      <w:spacing/>
      <w:ind/>
    </w:pPr>
    <w:rPr>
      <w:sz w:val="20"/>
      <w:szCs w:val="20"/>
    </w:rPr>
  </w:style>
  <w:style w:type="paragraph" w:styleId="1740">
    <w:name w:val="endnote text"/>
    <w:basedOn w:val="1745"/>
    <w:link w:val="17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41">
    <w:name w:val="Endnote Text Char"/>
    <w:basedOn w:val="1755"/>
    <w:link w:val="1740"/>
    <w:uiPriority w:val="99"/>
    <w:semiHidden/>
    <w:pPr>
      <w:pBdr/>
      <w:spacing/>
      <w:ind/>
    </w:pPr>
    <w:rPr>
      <w:sz w:val="20"/>
      <w:szCs w:val="20"/>
    </w:rPr>
  </w:style>
  <w:style w:type="character" w:styleId="1742">
    <w:name w:val="endnote reference"/>
    <w:basedOn w:val="1755"/>
    <w:uiPriority w:val="99"/>
    <w:semiHidden/>
    <w:unhideWhenUsed/>
    <w:pPr>
      <w:pBdr/>
      <w:spacing/>
      <w:ind/>
    </w:pPr>
    <w:rPr>
      <w:vertAlign w:val="superscript"/>
    </w:rPr>
  </w:style>
  <w:style w:type="character" w:styleId="1743">
    <w:name w:val="FollowedHyperlink"/>
    <w:basedOn w:val="17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44">
    <w:name w:val="table of figures"/>
    <w:basedOn w:val="1745"/>
    <w:next w:val="1745"/>
    <w:uiPriority w:val="99"/>
    <w:unhideWhenUsed/>
    <w:pPr>
      <w:pBdr/>
      <w:spacing w:after="0" w:afterAutospacing="0"/>
      <w:ind/>
    </w:pPr>
  </w:style>
  <w:style w:type="paragraph" w:styleId="1745" w:default="1">
    <w:name w:val="Normal"/>
    <w:qFormat/>
    <w:pPr>
      <w:widowControl w:val="true"/>
      <w:pBdr/>
      <w:bidi w:val="false"/>
      <w:spacing w:after="0" w:before="0"/>
      <w:ind w:firstLine="720"/>
      <w:contextualSpacing w:val="true"/>
      <w:jc w:val="both"/>
    </w:pPr>
    <w:rPr>
      <w:rFonts w:ascii="Times New Roman" w:hAnsi="Times New Roman" w:eastAsia="Times New Roman" w:cs="Arial"/>
      <w:bCs/>
      <w:iCs/>
      <w:color w:val="auto"/>
      <w:sz w:val="24"/>
      <w:szCs w:val="24"/>
      <w:lang w:val="ru-RU" w:eastAsia="ru-RU" w:bidi="ar-SA"/>
    </w:rPr>
  </w:style>
  <w:style w:type="paragraph" w:styleId="1746">
    <w:name w:val="Heading 1"/>
    <w:basedOn w:val="1745"/>
    <w:next w:val="1745"/>
    <w:link w:val="1774"/>
    <w:qFormat/>
    <w:pPr>
      <w:keepNext w:val="true"/>
      <w:keepLines w:val="true"/>
      <w:pageBreakBefore w:val="true"/>
      <w:numPr>
        <w:ilvl w:val="0"/>
        <w:numId w:val="2"/>
      </w:numPr>
      <w:pBdr/>
      <w:spacing w:after="0" w:before="120"/>
      <w:ind w:firstLine="709" w:left="0"/>
      <w:contextualSpacing w:val="true"/>
      <w:outlineLvl w:val="0"/>
    </w:pPr>
    <w:rPr>
      <w:b/>
      <w:color w:val="000000"/>
      <w:sz w:val="32"/>
      <w:szCs w:val="32"/>
    </w:rPr>
  </w:style>
  <w:style w:type="paragraph" w:styleId="1747">
    <w:name w:val="Heading 2"/>
    <w:basedOn w:val="1841"/>
    <w:next w:val="1745"/>
    <w:link w:val="1777"/>
    <w:qFormat/>
    <w:pPr>
      <w:pBdr/>
      <w:spacing/>
      <w:ind/>
    </w:pPr>
  </w:style>
  <w:style w:type="paragraph" w:styleId="1748">
    <w:name w:val="Heading 3"/>
    <w:basedOn w:val="1747"/>
    <w:next w:val="1745"/>
    <w:link w:val="1778"/>
    <w:qFormat/>
    <w:pPr>
      <w:pBdr/>
      <w:spacing/>
      <w:ind w:firstLine="709" w:left="567"/>
      <w:outlineLvl w:val="2"/>
    </w:pPr>
  </w:style>
  <w:style w:type="paragraph" w:styleId="1749">
    <w:name w:val="Heading 4"/>
    <w:basedOn w:val="1745"/>
    <w:next w:val="1745"/>
    <w:link w:val="1761"/>
    <w:qFormat/>
    <w:pPr>
      <w:keepNext w:val="true"/>
      <w:keepLines w:val="true"/>
      <w:numPr>
        <w:ilvl w:val="3"/>
        <w:numId w:val="1"/>
      </w:numPr>
      <w:pBdr/>
      <w:spacing w:after="0" w:before="240"/>
      <w:ind/>
      <w:contextualSpacing w:val="true"/>
      <w:outlineLvl w:val="3"/>
    </w:pPr>
    <w:rPr>
      <w:rFonts w:eastAsia="MS Gothic" w:cs="Times New Roman"/>
      <w:iCs w:val="0"/>
      <w:color w:val="595959"/>
    </w:rPr>
  </w:style>
  <w:style w:type="paragraph" w:styleId="1750">
    <w:name w:val="Heading 5"/>
    <w:basedOn w:val="1745"/>
    <w:next w:val="1745"/>
    <w:link w:val="1762"/>
    <w:unhideWhenUsed/>
    <w:qFormat/>
    <w:pPr>
      <w:keepNext w:val="true"/>
      <w:keepLines w:val="true"/>
      <w:numPr>
        <w:ilvl w:val="4"/>
        <w:numId w:val="1"/>
      </w:numPr>
      <w:pBdr/>
      <w:spacing w:after="0" w:before="240"/>
      <w:ind/>
      <w:contextualSpacing w:val="true"/>
      <w:outlineLvl w:val="4"/>
    </w:pPr>
    <w:rPr>
      <w:rFonts w:eastAsia="MS Gothic" w:cs="Times New Roman"/>
      <w:color w:val="595959"/>
    </w:rPr>
  </w:style>
  <w:style w:type="paragraph" w:styleId="1751">
    <w:name w:val="Heading 6"/>
    <w:basedOn w:val="1745"/>
    <w:next w:val="1745"/>
    <w:link w:val="1763"/>
    <w:semiHidden/>
    <w:unhideWhenUsed/>
    <w:qFormat/>
    <w:pPr>
      <w:keepNext w:val="true"/>
      <w:keepLines w:val="true"/>
      <w:numPr>
        <w:ilvl w:val="5"/>
        <w:numId w:val="1"/>
      </w:numPr>
      <w:pBdr/>
      <w:spacing w:after="0" w:before="240"/>
      <w:ind/>
      <w:contextualSpacing w:val="true"/>
      <w:outlineLvl w:val="5"/>
    </w:pPr>
    <w:rPr>
      <w:rFonts w:eastAsia="MS Gothic" w:cs="Times New Roman"/>
      <w:color w:val="7f7f7f"/>
    </w:rPr>
  </w:style>
  <w:style w:type="paragraph" w:styleId="1752">
    <w:name w:val="Heading 7"/>
    <w:basedOn w:val="1745"/>
    <w:next w:val="1745"/>
    <w:link w:val="1764"/>
    <w:semiHidden/>
    <w:unhideWhenUsed/>
    <w:qFormat/>
    <w:pPr>
      <w:keepNext w:val="true"/>
      <w:keepLines w:val="true"/>
      <w:numPr>
        <w:ilvl w:val="6"/>
        <w:numId w:val="1"/>
      </w:numPr>
      <w:pBdr/>
      <w:spacing w:after="0" w:before="240"/>
      <w:ind/>
      <w:contextualSpacing w:val="true"/>
      <w:outlineLvl w:val="6"/>
    </w:pPr>
    <w:rPr>
      <w:rFonts w:eastAsia="MS Gothic" w:cs="Times New Roman"/>
      <w:color w:val="7f7f7f"/>
    </w:rPr>
  </w:style>
  <w:style w:type="paragraph" w:styleId="1753">
    <w:name w:val="Heading 8"/>
    <w:basedOn w:val="1745"/>
    <w:next w:val="1745"/>
    <w:link w:val="1765"/>
    <w:semiHidden/>
    <w:unhideWhenUsed/>
    <w:qFormat/>
    <w:pPr>
      <w:keepNext w:val="true"/>
      <w:keepLines w:val="true"/>
      <w:numPr>
        <w:ilvl w:val="7"/>
        <w:numId w:val="1"/>
      </w:numPr>
      <w:pBdr/>
      <w:spacing w:after="0" w:before="240"/>
      <w:ind/>
      <w:contextualSpacing w:val="true"/>
      <w:outlineLvl w:val="7"/>
    </w:pPr>
    <w:rPr>
      <w:rFonts w:eastAsia="MS Gothic" w:cs="Times New Roman"/>
      <w:color w:val="7f7f7f"/>
      <w:szCs w:val="21"/>
    </w:rPr>
  </w:style>
  <w:style w:type="paragraph" w:styleId="1754">
    <w:name w:val="Heading 9"/>
    <w:basedOn w:val="1745"/>
    <w:next w:val="1745"/>
    <w:link w:val="1766"/>
    <w:semiHidden/>
    <w:unhideWhenUsed/>
    <w:qFormat/>
    <w:pPr>
      <w:keepNext w:val="true"/>
      <w:keepLines w:val="true"/>
      <w:numPr>
        <w:ilvl w:val="8"/>
        <w:numId w:val="1"/>
      </w:numPr>
      <w:pBdr/>
      <w:spacing w:after="0" w:before="240"/>
      <w:ind/>
      <w:contextualSpacing w:val="true"/>
      <w:outlineLvl w:val="8"/>
    </w:pPr>
    <w:rPr>
      <w:rFonts w:eastAsia="MS Gothic" w:cs="Times New Roman"/>
      <w:color w:val="7f7f7f"/>
      <w:szCs w:val="21"/>
    </w:rPr>
  </w:style>
  <w:style w:type="character" w:styleId="1755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1756">
    <w:name w:val="Hyperlink"/>
    <w:uiPriority w:val="99"/>
    <w:pPr>
      <w:pBdr/>
      <w:spacing/>
      <w:ind/>
    </w:pPr>
    <w:rPr>
      <w:color w:val="0000ff"/>
      <w:u w:val="single"/>
    </w:rPr>
  </w:style>
  <w:style w:type="character" w:styleId="1757" w:customStyle="1">
    <w:name w:val="Верхний колонтитул Знак"/>
    <w:link w:val="1811"/>
    <w:uiPriority w:val="99"/>
    <w:qFormat/>
    <w:pPr>
      <w:pBdr/>
      <w:spacing/>
      <w:ind/>
    </w:pPr>
    <w:rPr>
      <w:rFonts w:ascii="Arial" w:hAnsi="Arial"/>
      <w:sz w:val="20"/>
    </w:rPr>
  </w:style>
  <w:style w:type="character" w:styleId="1758" w:customStyle="1">
    <w:name w:val="Нижний колонтитул Знак"/>
    <w:link w:val="1812"/>
    <w:uiPriority w:val="99"/>
    <w:qFormat/>
    <w:pPr>
      <w:pBdr/>
      <w:spacing/>
      <w:ind/>
    </w:pPr>
    <w:rPr>
      <w:rFonts w:ascii="Arial" w:hAnsi="Arial"/>
      <w:sz w:val="18"/>
    </w:rPr>
  </w:style>
  <w:style w:type="character" w:styleId="1759">
    <w:name w:val="Page Number"/>
    <w:pPr>
      <w:pBdr/>
      <w:spacing/>
      <w:ind/>
    </w:pPr>
    <w:rPr>
      <w:rFonts w:ascii="Arial" w:hAnsi="Arial"/>
      <w:sz w:val="20"/>
    </w:rPr>
  </w:style>
  <w:style w:type="character" w:styleId="1760" w:customStyle="1">
    <w:name w:val="Схема документа Знак"/>
    <w:link w:val="1822"/>
    <w:qFormat/>
    <w:pPr>
      <w:pBdr/>
      <w:spacing/>
      <w:ind/>
    </w:pPr>
    <w:rPr>
      <w:rFonts w:ascii="Lucida Grande" w:hAnsi="Lucida Grande"/>
      <w:lang w:eastAsia="en-US"/>
    </w:rPr>
  </w:style>
  <w:style w:type="character" w:styleId="1761" w:customStyle="1">
    <w:name w:val="Заголовок 4 Знак"/>
    <w:link w:val="1749"/>
    <w:qFormat/>
    <w:pPr>
      <w:pBdr/>
      <w:spacing/>
      <w:ind/>
    </w:pPr>
    <w:rPr>
      <w:rFonts w:ascii="Times New Roman" w:hAnsi="Times New Roman" w:eastAsia="MS Gothic" w:cs="Times New Roman"/>
      <w:bCs/>
      <w:color w:val="595959"/>
      <w:sz w:val="24"/>
      <w:szCs w:val="24"/>
      <w:lang w:val="ru-RU" w:eastAsia="ru-RU"/>
    </w:rPr>
  </w:style>
  <w:style w:type="character" w:styleId="1762" w:customStyle="1">
    <w:name w:val="Заголовок 5 Знак"/>
    <w:link w:val="1750"/>
    <w:qFormat/>
    <w:pPr>
      <w:pBdr/>
      <w:spacing/>
      <w:ind/>
    </w:pPr>
    <w:rPr>
      <w:rFonts w:ascii="Times New Roman" w:hAnsi="Times New Roman" w:eastAsia="MS Gothic" w:cs="Times New Roman"/>
      <w:bCs/>
      <w:iCs/>
      <w:color w:val="595959"/>
      <w:sz w:val="24"/>
      <w:szCs w:val="24"/>
      <w:lang w:val="ru-RU" w:eastAsia="ru-RU"/>
    </w:rPr>
  </w:style>
  <w:style w:type="character" w:styleId="1763" w:customStyle="1">
    <w:name w:val="Заголовок 6 Знак"/>
    <w:link w:val="1751"/>
    <w:semiHidden/>
    <w:qFormat/>
    <w:pPr>
      <w:pBdr/>
      <w:spacing/>
      <w:ind/>
    </w:pPr>
    <w:rPr>
      <w:rFonts w:ascii="Times New Roman" w:hAnsi="Times New Roman" w:eastAsia="MS Gothic" w:cs="Times New Roman"/>
      <w:bCs/>
      <w:iCs/>
      <w:color w:val="7f7f7f"/>
      <w:sz w:val="24"/>
      <w:szCs w:val="24"/>
      <w:lang w:val="ru-RU" w:eastAsia="ru-RU"/>
    </w:rPr>
  </w:style>
  <w:style w:type="character" w:styleId="1764" w:customStyle="1">
    <w:name w:val="Заголовок 7 Знак"/>
    <w:link w:val="1752"/>
    <w:semiHidden/>
    <w:qFormat/>
    <w:pPr>
      <w:pBdr/>
      <w:spacing/>
      <w:ind/>
    </w:pPr>
    <w:rPr>
      <w:rFonts w:ascii="Times New Roman" w:hAnsi="Times New Roman" w:eastAsia="MS Gothic" w:cs="Times New Roman"/>
      <w:bCs/>
      <w:iCs/>
      <w:color w:val="7f7f7f"/>
      <w:sz w:val="24"/>
      <w:szCs w:val="24"/>
      <w:lang w:val="ru-RU" w:eastAsia="ru-RU"/>
    </w:rPr>
  </w:style>
  <w:style w:type="character" w:styleId="1765" w:customStyle="1">
    <w:name w:val="Заголовок 8 Знак"/>
    <w:link w:val="1753"/>
    <w:semiHidden/>
    <w:qFormat/>
    <w:pPr>
      <w:pBdr/>
      <w:spacing/>
      <w:ind/>
    </w:pPr>
    <w:rPr>
      <w:rFonts w:ascii="Times New Roman" w:hAnsi="Times New Roman" w:eastAsia="MS Gothic" w:cs="Times New Roman"/>
      <w:bCs/>
      <w:iCs/>
      <w:color w:val="7f7f7f"/>
      <w:sz w:val="24"/>
      <w:szCs w:val="21"/>
      <w:lang w:val="ru-RU" w:eastAsia="ru-RU"/>
    </w:rPr>
  </w:style>
  <w:style w:type="character" w:styleId="1766" w:customStyle="1">
    <w:name w:val="Заголовок 9 Знак"/>
    <w:link w:val="1754"/>
    <w:semiHidden/>
    <w:qFormat/>
    <w:pPr>
      <w:pBdr/>
      <w:spacing/>
      <w:ind/>
    </w:pPr>
    <w:rPr>
      <w:rFonts w:ascii="Times New Roman" w:hAnsi="Times New Roman" w:eastAsia="MS Gothic" w:cs="Times New Roman"/>
      <w:bCs/>
      <w:iCs/>
      <w:color w:val="7f7f7f"/>
      <w:sz w:val="24"/>
      <w:szCs w:val="21"/>
      <w:lang w:val="ru-RU" w:eastAsia="ru-RU"/>
    </w:rPr>
  </w:style>
  <w:style w:type="character" w:styleId="1767">
    <w:name w:val="Intense Emphasis"/>
    <w:qFormat/>
    <w:pPr>
      <w:pBdr/>
      <w:spacing/>
      <w:ind/>
    </w:pPr>
    <w:rPr>
      <w:i/>
      <w:iCs/>
      <w:color w:val="7f7f7f"/>
    </w:rPr>
  </w:style>
  <w:style w:type="character" w:styleId="1768" w:customStyle="1">
    <w:name w:val="Выделенная цитата Знак"/>
    <w:link w:val="1828"/>
    <w:qFormat/>
    <w:pPr>
      <w:pBdr/>
      <w:spacing/>
      <w:ind/>
    </w:pPr>
    <w:rPr>
      <w:rFonts w:ascii="Source Sans Pro" w:hAnsi="Source Sans Pro"/>
      <w:i/>
      <w:iCs/>
      <w:color w:val="7f7f7f"/>
      <w:sz w:val="20"/>
    </w:rPr>
  </w:style>
  <w:style w:type="character" w:styleId="1769">
    <w:name w:val="Intense Reference"/>
    <w:qFormat/>
    <w:pPr>
      <w:pBdr/>
      <w:spacing/>
      <w:ind/>
    </w:pPr>
    <w:rPr>
      <w:b/>
      <w:bCs/>
      <w:smallCaps/>
      <w:color w:val="7f7f7f"/>
      <w:spacing w:val="5"/>
    </w:rPr>
  </w:style>
  <w:style w:type="character" w:styleId="1770" w:customStyle="1">
    <w:name w:val="Scroll Inline Code"/>
    <w:uiPriority w:val="1"/>
    <w:qFormat/>
    <w:pPr>
      <w:pBdr/>
      <w:spacing/>
      <w:ind/>
    </w:pPr>
    <w:rPr>
      <w:rFonts w:ascii="Courier New" w:hAnsi="Courier New"/>
      <w:shd w:val="clear" w:color="auto" w:fill="f4f5f7"/>
    </w:rPr>
  </w:style>
  <w:style w:type="character" w:styleId="1771">
    <w:name w:val="Emphasis"/>
    <w:qFormat/>
    <w:pPr>
      <w:pBdr/>
      <w:spacing/>
      <w:ind/>
    </w:pPr>
    <w:rPr>
      <w:i/>
      <w:iCs/>
      <w:lang w:val="ru-RU"/>
    </w:rPr>
  </w:style>
  <w:style w:type="character" w:styleId="1772" w:customStyle="1">
    <w:name w:val="Основной текст 2 Знак"/>
    <w:link w:val="1830"/>
    <w:semiHidden/>
    <w:qFormat/>
    <w:pPr>
      <w:pBdr/>
      <w:spacing/>
      <w:ind/>
    </w:pPr>
    <w:rPr>
      <w:rFonts w:ascii="Times New Roman" w:hAnsi="Times New Roman" w:cs="Arial"/>
      <w:bCs/>
      <w:iCs/>
      <w:sz w:val="40"/>
      <w:szCs w:val="40"/>
      <w:lang w:val="ru-RU" w:eastAsia="ru-RU"/>
    </w:rPr>
  </w:style>
  <w:style w:type="character" w:styleId="1773" w:customStyle="1">
    <w:name w:val="Основной текст Знак"/>
    <w:basedOn w:val="1755"/>
    <w:qFormat/>
    <w:pPr>
      <w:pBdr/>
      <w:spacing/>
      <w:ind/>
    </w:pPr>
  </w:style>
  <w:style w:type="character" w:styleId="1774" w:customStyle="1">
    <w:name w:val="Заголовок 1 Знак"/>
    <w:link w:val="1746"/>
    <w:qFormat/>
    <w:pPr>
      <w:pBdr/>
      <w:spacing/>
      <w:ind/>
    </w:pPr>
    <w:rPr>
      <w:rFonts w:ascii="Times New Roman" w:hAnsi="Times New Roman" w:cs="Arial"/>
      <w:b/>
      <w:bCs/>
      <w:iCs/>
      <w:color w:val="000000"/>
      <w:sz w:val="32"/>
      <w:szCs w:val="32"/>
      <w:lang w:val="ru-RU" w:eastAsia="ru-RU"/>
    </w:rPr>
  </w:style>
  <w:style w:type="character" w:styleId="1775" w:customStyle="1">
    <w:name w:val="Scroll Heading 1 Char"/>
    <w:link w:val="1840"/>
    <w:qFormat/>
    <w:pPr>
      <w:pBdr/>
      <w:spacing/>
      <w:ind/>
    </w:pPr>
    <w:rPr>
      <w:rFonts w:ascii="Times New Roman" w:hAnsi="Times New Roman" w:cs="Arial"/>
      <w:b/>
      <w:bCs/>
      <w:iCs/>
      <w:color w:val="000000"/>
      <w:sz w:val="32"/>
      <w:szCs w:val="32"/>
      <w:lang w:val="ru-RU" w:eastAsia="ru-RU"/>
    </w:rPr>
  </w:style>
  <w:style w:type="character" w:styleId="1776" w:customStyle="1">
    <w:name w:val="Scroll Heading 2 Char"/>
    <w:link w:val="1841"/>
    <w:qFormat/>
    <w:pPr>
      <w:pBdr/>
      <w:spacing/>
      <w:ind/>
    </w:pPr>
    <w:rPr>
      <w:rFonts w:ascii="Times New Roman" w:hAnsi="Times New Roman" w:cs="Arial"/>
      <w:b/>
      <w:bCs/>
      <w:iCs/>
      <w:color w:val="000000"/>
      <w:sz w:val="28"/>
      <w:szCs w:val="32"/>
      <w:lang w:val="ru-RU" w:eastAsia="ru-RU"/>
    </w:rPr>
  </w:style>
  <w:style w:type="character" w:styleId="1777" w:customStyle="1">
    <w:name w:val="Заголовок 2 Знак"/>
    <w:link w:val="1747"/>
    <w:qFormat/>
    <w:pPr>
      <w:pBdr/>
      <w:spacing/>
      <w:ind/>
    </w:pPr>
    <w:rPr>
      <w:rFonts w:ascii="Times New Roman" w:hAnsi="Times New Roman" w:cs="Arial"/>
      <w:iCs/>
      <w:color w:val="000000"/>
      <w:sz w:val="24"/>
      <w:szCs w:val="24"/>
      <w:lang w:val="ru-RU" w:eastAsia="ru-RU"/>
    </w:rPr>
  </w:style>
  <w:style w:type="character" w:styleId="1778" w:customStyle="1">
    <w:name w:val="Заголовок 3 Знак"/>
    <w:link w:val="1748"/>
    <w:qFormat/>
    <w:pPr>
      <w:pBdr/>
      <w:spacing/>
      <w:ind/>
    </w:pPr>
    <w:rPr>
      <w:rFonts w:ascii="Times New Roman" w:hAnsi="Times New Roman" w:cs="Arial"/>
      <w:bCs w:val="0"/>
      <w:iCs/>
      <w:color w:val="000000"/>
      <w:sz w:val="24"/>
      <w:szCs w:val="24"/>
      <w:lang w:val="ru-RU" w:eastAsia="ru-RU"/>
    </w:rPr>
  </w:style>
  <w:style w:type="character" w:styleId="1779" w:customStyle="1">
    <w:name w:val="Scroll Heading 3 Char"/>
    <w:link w:val="1842"/>
    <w:qFormat/>
    <w:pPr>
      <w:pBdr/>
      <w:spacing/>
      <w:ind/>
    </w:pPr>
    <w:rPr>
      <w:rFonts w:ascii="Times New Roman" w:hAnsi="Times New Roman" w:cs="Arial"/>
      <w:b/>
      <w:bCs/>
      <w:iCs/>
      <w:color w:val="000000"/>
      <w:sz w:val="28"/>
      <w:szCs w:val="28"/>
      <w:lang w:val="ru-RU" w:eastAsia="ru-RU"/>
    </w:rPr>
  </w:style>
  <w:style w:type="character" w:styleId="1780" w:customStyle="1">
    <w:name w:val="ЕСКД А4 – Маркированный список 2 Char"/>
    <w:link w:val="1847"/>
    <w:uiPriority w:val="9"/>
    <w:qFormat/>
    <w:pPr>
      <w:pBdr/>
      <w:spacing/>
      <w:ind/>
    </w:pPr>
    <w:rPr>
      <w:rFonts w:ascii="Times New Roman" w:hAnsi="Times New Roman" w:eastAsia="Cambria" w:cs="Times New Roman"/>
      <w:color w:val="000000"/>
      <w:sz w:val="28"/>
      <w:szCs w:val="28"/>
      <w:lang w:val="ru-RU"/>
    </w:rPr>
  </w:style>
  <w:style w:type="character" w:styleId="1781" w:customStyle="1">
    <w:name w:val="Scroll List Bullet 2 Char"/>
    <w:link w:val="1854"/>
    <w:qFormat/>
    <w:pPr>
      <w:pBdr/>
      <w:spacing/>
      <w:ind/>
    </w:pPr>
    <w:rPr>
      <w:rFonts w:ascii="Times New Roman" w:hAnsi="Times New Roman" w:eastAsia="Cambria" w:cs="Times New Roman"/>
      <w:color w:val="000000"/>
      <w:sz w:val="24"/>
      <w:szCs w:val="24"/>
      <w:lang w:val="ru-RU"/>
    </w:rPr>
  </w:style>
  <w:style w:type="character" w:styleId="1782" w:customStyle="1">
    <w:name w:val="ЕСКД А4 – Маркированный список 3 Char"/>
    <w:link w:val="1848"/>
    <w:uiPriority w:val="9"/>
    <w:qFormat/>
    <w:pPr>
      <w:pBdr/>
      <w:spacing/>
      <w:ind/>
    </w:pPr>
    <w:rPr>
      <w:rFonts w:ascii="Times New Roman" w:hAnsi="Times New Roman" w:eastAsia="Cambria" w:cs="Times New Roman"/>
      <w:color w:val="000000"/>
      <w:sz w:val="28"/>
      <w:szCs w:val="28"/>
      <w:lang w:val="ru-RU"/>
    </w:rPr>
  </w:style>
  <w:style w:type="character" w:styleId="1783" w:customStyle="1">
    <w:name w:val="Scroll List Bullet 3 Char"/>
    <w:link w:val="1855"/>
    <w:qFormat/>
    <w:pPr>
      <w:pBdr/>
      <w:spacing/>
      <w:ind/>
    </w:pPr>
    <w:rPr>
      <w:rFonts w:ascii="Times New Roman" w:hAnsi="Times New Roman" w:eastAsia="Cambria" w:cs="Times New Roman"/>
      <w:color w:val="000000"/>
      <w:sz w:val="24"/>
      <w:szCs w:val="24"/>
      <w:lang w:val="ru-RU"/>
    </w:rPr>
  </w:style>
  <w:style w:type="character" w:styleId="1784" w:customStyle="1">
    <w:name w:val="ЕСКД А4 – Маркированный список 4 Char"/>
    <w:link w:val="1849"/>
    <w:uiPriority w:val="9"/>
    <w:qFormat/>
    <w:pPr>
      <w:pBdr/>
      <w:spacing/>
      <w:ind/>
    </w:pPr>
    <w:rPr>
      <w:rFonts w:ascii="Times New Roman" w:hAnsi="Times New Roman" w:eastAsia="Cambria"/>
      <w:color w:val="000000"/>
      <w:sz w:val="28"/>
      <w:szCs w:val="28"/>
      <w:lang w:val="ru-RU"/>
    </w:rPr>
  </w:style>
  <w:style w:type="character" w:styleId="1785" w:customStyle="1">
    <w:name w:val="Scroll List Bullet 4 Char"/>
    <w:link w:val="1856"/>
    <w:qFormat/>
    <w:pPr>
      <w:pBdr/>
      <w:spacing/>
      <w:ind/>
    </w:pPr>
    <w:rPr>
      <w:rFonts w:ascii="Times New Roman" w:hAnsi="Times New Roman" w:eastAsia="Cambria"/>
      <w:color w:val="000000"/>
      <w:sz w:val="24"/>
      <w:szCs w:val="24"/>
      <w:lang w:val="ru-RU"/>
    </w:rPr>
  </w:style>
  <w:style w:type="character" w:styleId="1786" w:customStyle="1">
    <w:name w:val="Нумерация с литерами а) Char"/>
    <w:link w:val="1845"/>
    <w:qFormat/>
    <w:pPr>
      <w:pBdr/>
      <w:spacing/>
      <w:ind/>
    </w:pPr>
    <w:rPr>
      <w:rFonts w:ascii="Times New Roman" w:hAnsi="Times New Roman" w:cs="Arial"/>
      <w:sz w:val="24"/>
      <w:szCs w:val="24"/>
      <w:lang w:val="ru-RU" w:eastAsia="ru-RU"/>
    </w:rPr>
  </w:style>
  <w:style w:type="character" w:styleId="1787" w:customStyle="1">
    <w:name w:val="Нумерация 1) Char"/>
    <w:link w:val="1843"/>
    <w:qFormat/>
    <w:pPr>
      <w:pBdr/>
      <w:spacing/>
      <w:ind/>
    </w:pPr>
    <w:rPr>
      <w:rFonts w:ascii="Times New Roman" w:hAnsi="Times New Roman" w:cs="Arial"/>
      <w:sz w:val="24"/>
      <w:szCs w:val="24"/>
      <w:lang w:val="ru-RU" w:eastAsia="ru-RU"/>
    </w:rPr>
  </w:style>
  <w:style w:type="character" w:styleId="1788" w:customStyle="1">
    <w:name w:val="Чертежный Char"/>
    <w:link w:val="1831"/>
    <w:semiHidden/>
    <w:qFormat/>
    <w:pPr>
      <w:pBdr/>
      <w:spacing/>
      <w:ind/>
    </w:pPr>
    <w:rPr>
      <w:rFonts w:cs="Arial"/>
      <w:bCs/>
      <w:iCs/>
      <w:sz w:val="28"/>
      <w:szCs w:val="28"/>
      <w:lang w:val="ru-RU" w:eastAsia="ru-RU"/>
    </w:rPr>
  </w:style>
  <w:style w:type="character" w:styleId="1789" w:customStyle="1">
    <w:name w:val="Чертежный 9 пт Char"/>
    <w:link w:val="1832"/>
    <w:semiHidden/>
    <w:qFormat/>
    <w:pPr>
      <w:pBdr/>
      <w:spacing/>
      <w:ind/>
    </w:pPr>
    <w:rPr>
      <w:rFonts w:cs="Arial"/>
      <w:bCs/>
      <w:iCs/>
      <w:sz w:val="18"/>
      <w:szCs w:val="28"/>
      <w:lang w:val="ru-RU" w:eastAsia="ru-RU"/>
    </w:rPr>
  </w:style>
  <w:style w:type="character" w:styleId="1790" w:customStyle="1">
    <w:name w:val="Основная надпись - 1 Char"/>
    <w:link w:val="1858"/>
    <w:qFormat/>
    <w:pPr>
      <w:pBdr/>
      <w:spacing/>
      <w:ind/>
    </w:pPr>
    <w:rPr>
      <w:rFonts w:ascii="Times New Roman" w:hAnsi="Times New Roman" w:cs="Arial"/>
      <w:bCs/>
      <w:iCs/>
      <w:sz w:val="18"/>
      <w:szCs w:val="28"/>
      <w:lang w:val="ru-RU" w:eastAsia="ru-RU"/>
    </w:rPr>
  </w:style>
  <w:style w:type="character" w:styleId="1791">
    <w:name w:val="Placeholder Text"/>
    <w:qFormat/>
    <w:pPr>
      <w:pBdr/>
      <w:spacing/>
      <w:ind/>
    </w:pPr>
    <w:rPr>
      <w:color w:val="666666"/>
    </w:rPr>
  </w:style>
  <w:style w:type="character" w:styleId="1792" w:customStyle="1">
    <w:name w:val="Без интервала Знак"/>
    <w:link w:val="1860"/>
    <w:uiPriority w:val="1"/>
    <w:qFormat/>
    <w:pPr>
      <w:pBdr/>
      <w:spacing/>
      <w:ind/>
    </w:pPr>
    <w:rPr>
      <w:rFonts w:ascii="Cambria" w:hAnsi="Cambria" w:eastAsia="MS Mincho" w:cs="Times New Roman"/>
      <w:sz w:val="22"/>
      <w:szCs w:val="22"/>
      <w:lang w:val="ru-RU" w:eastAsia="ru-RU"/>
    </w:rPr>
  </w:style>
  <w:style w:type="character" w:styleId="1793" w:customStyle="1">
    <w:name w:val="scroll-code_defaultnew_content_plain"/>
    <w:qFormat/>
    <w:pPr>
      <w:pBdr/>
      <w:spacing/>
      <w:ind/>
    </w:pPr>
    <w:rPr>
      <w:color w:val="000000"/>
    </w:rPr>
  </w:style>
  <w:style w:type="character" w:styleId="1794" w:customStyle="1">
    <w:name w:val="scroll-code_defaultnew_content_value"/>
    <w:qFormat/>
    <w:pPr>
      <w:pBdr/>
      <w:spacing/>
      <w:ind/>
    </w:pPr>
    <w:rPr>
      <w:color w:val="009900"/>
    </w:rPr>
  </w:style>
  <w:style w:type="character" w:styleId="1795" w:customStyle="1">
    <w:name w:val="Абзац списка Знак"/>
    <w:link w:val="1861"/>
    <w:qFormat/>
    <w:pPr>
      <w:pBdr/>
      <w:spacing/>
      <w:ind/>
    </w:pPr>
    <w:rPr>
      <w:rFonts w:ascii="Times New Roman" w:hAnsi="Times New Roman" w:cs="Arial"/>
      <w:bCs/>
      <w:iCs/>
      <w:sz w:val="24"/>
      <w:szCs w:val="24"/>
      <w:lang w:val="ru-RU" w:eastAsia="ru-RU"/>
    </w:rPr>
  </w:style>
  <w:style w:type="character" w:styleId="1796" w:customStyle="1">
    <w:name w:val="Scroll Heading 4 Char"/>
    <w:link w:val="1865"/>
    <w:qFormat/>
    <w:pPr>
      <w:pBdr/>
      <w:spacing/>
      <w:ind/>
    </w:pPr>
    <w:rPr>
      <w:rFonts w:ascii="Times New Roman" w:hAnsi="Times New Roman" w:cs="Arial"/>
      <w:b/>
      <w:bCs/>
      <w:iCs/>
      <w:sz w:val="24"/>
      <w:szCs w:val="24"/>
      <w:lang w:val="ru-RU" w:eastAsia="ru-RU"/>
    </w:rPr>
  </w:style>
  <w:style w:type="character" w:styleId="1797" w:customStyle="1">
    <w:name w:val="Текст сноски Знак"/>
    <w:link w:val="1866"/>
    <w:semiHidden/>
    <w:qFormat/>
    <w:pPr>
      <w:pBdr/>
      <w:spacing/>
      <w:ind/>
    </w:pPr>
    <w:rPr>
      <w:rFonts w:ascii="Times New Roman" w:hAnsi="Times New Roman"/>
      <w:lang w:val="ru-RU" w:eastAsia="ru-RU"/>
    </w:rPr>
  </w:style>
  <w:style w:type="character" w:styleId="1798">
    <w:name w:val="Footnote Characters"/>
    <w:semiHidden/>
    <w:qFormat/>
    <w:pPr>
      <w:pBdr/>
      <w:spacing/>
      <w:ind/>
    </w:pPr>
    <w:rPr>
      <w:vertAlign w:val="superscript"/>
    </w:rPr>
  </w:style>
  <w:style w:type="character" w:styleId="1799">
    <w:name w:val="footnote reference"/>
    <w:pPr>
      <w:pBdr/>
      <w:spacing/>
      <w:ind/>
    </w:pPr>
    <w:rPr>
      <w:vertAlign w:val="superscript"/>
    </w:rPr>
  </w:style>
  <w:style w:type="character" w:styleId="1800" w:customStyle="1">
    <w:name w:val="Scroll List Number Char"/>
    <w:link w:val="1867"/>
    <w:qFormat/>
    <w:pPr>
      <w:pBdr/>
      <w:spacing/>
      <w:ind/>
    </w:pPr>
    <w:rPr>
      <w:rFonts w:ascii="Times New Roman" w:hAnsi="Times New Roman" w:cs="Arial"/>
      <w:bCs/>
      <w:iCs/>
      <w:sz w:val="24"/>
      <w:szCs w:val="24"/>
      <w:lang w:val="ru-RU" w:eastAsia="ru-RU"/>
    </w:rPr>
  </w:style>
  <w:style w:type="character" w:styleId="1801" w:customStyle="1">
    <w:name w:val="Название объекта Знак"/>
    <w:link w:val="1807"/>
    <w:qFormat/>
    <w:pPr>
      <w:pBdr/>
      <w:spacing/>
      <w:ind/>
    </w:pPr>
    <w:rPr>
      <w:rFonts w:ascii="Times New Roman" w:hAnsi="Times New Roman" w:cs="Arial"/>
      <w:iCs/>
      <w:sz w:val="24"/>
      <w:szCs w:val="24"/>
      <w:lang w:val="ru-RU" w:eastAsia="ru-RU"/>
    </w:rPr>
  </w:style>
  <w:style w:type="character" w:styleId="1802" w:customStyle="1">
    <w:name w:val="Scroll Caption Char"/>
    <w:link w:val="1868"/>
    <w:qFormat/>
    <w:pPr>
      <w:pBdr/>
      <w:spacing/>
      <w:ind/>
    </w:pPr>
    <w:rPr>
      <w:rFonts w:ascii="Times New Roman" w:hAnsi="Times New Roman" w:cs="Arial"/>
      <w:iCs/>
      <w:sz w:val="24"/>
      <w:szCs w:val="24"/>
      <w:lang w:val="ru-RU" w:eastAsia="ru-RU"/>
    </w:rPr>
  </w:style>
  <w:style w:type="character" w:styleId="1803">
    <w:name w:val="Index Link"/>
    <w:qFormat/>
    <w:pPr>
      <w:pBdr/>
      <w:spacing/>
      <w:ind/>
    </w:pPr>
  </w:style>
  <w:style w:type="paragraph" w:styleId="1804">
    <w:name w:val="Heading"/>
    <w:basedOn w:val="1745"/>
    <w:next w:val="1805"/>
    <w:qFormat/>
    <w:pPr>
      <w:keepNext w:val="true"/>
      <w:pBdr/>
      <w:spacing w:after="120" w:before="240"/>
      <w:ind/>
      <w:contextualSpacing w:val="false"/>
    </w:pPr>
    <w:rPr>
      <w:rFonts w:ascii="Liberation Sans" w:hAnsi="Liberation Sans" w:eastAsia="Noto Sans CJK SC" w:cs="Noto Sans Devanagari"/>
      <w:sz w:val="28"/>
      <w:szCs w:val="28"/>
    </w:rPr>
  </w:style>
  <w:style w:type="paragraph" w:styleId="1805">
    <w:name w:val="Body Text"/>
    <w:basedOn w:val="1745"/>
    <w:link w:val="1773"/>
    <w:unhideWhenUsed/>
    <w:pPr>
      <w:pBdr/>
      <w:spacing/>
      <w:ind/>
    </w:pPr>
  </w:style>
  <w:style w:type="paragraph" w:styleId="1806">
    <w:name w:val="List"/>
    <w:basedOn w:val="1805"/>
    <w:pPr>
      <w:pBdr/>
      <w:spacing/>
      <w:ind/>
    </w:pPr>
    <w:rPr>
      <w:rFonts w:cs="Noto Sans Devanagari"/>
    </w:rPr>
  </w:style>
  <w:style w:type="paragraph" w:styleId="1807">
    <w:name w:val="Caption"/>
    <w:basedOn w:val="1745"/>
    <w:next w:val="1745"/>
    <w:link w:val="1801"/>
    <w:qFormat/>
    <w:pPr>
      <w:pBdr/>
      <w:spacing w:after="0" w:before="120"/>
      <w:ind/>
      <w:contextualSpacing w:val="true"/>
    </w:pPr>
    <w:rPr>
      <w:bCs w:val="0"/>
    </w:rPr>
  </w:style>
  <w:style w:type="paragraph" w:styleId="1808">
    <w:name w:val="Index"/>
    <w:basedOn w:val="1745"/>
    <w:qFormat/>
    <w:pPr>
      <w:suppressLineNumbers w:val="true"/>
      <w:pBdr/>
      <w:spacing/>
      <w:ind/>
    </w:pPr>
    <w:rPr>
      <w:rFonts w:cs="Noto Sans Devanagari"/>
    </w:rPr>
  </w:style>
  <w:style w:type="paragraph" w:styleId="1809">
    <w:name w:val="Title"/>
    <w:basedOn w:val="1745"/>
    <w:qFormat/>
    <w:pPr>
      <w:pBdr/>
      <w:spacing w:after="0" w:before="120"/>
      <w:ind/>
      <w:contextualSpacing w:val="true"/>
      <w:jc w:val="center"/>
      <w:outlineLvl w:val="0"/>
    </w:pPr>
    <w:rPr>
      <w:b/>
      <w:bCs w:val="0"/>
      <w:color w:val="404040"/>
      <w:sz w:val="48"/>
      <w:szCs w:val="32"/>
    </w:rPr>
  </w:style>
  <w:style w:type="paragraph" w:styleId="1810">
    <w:name w:val="Header and Footer"/>
    <w:basedOn w:val="1745"/>
    <w:qFormat/>
    <w:pPr>
      <w:pBdr/>
      <w:spacing/>
      <w:ind/>
    </w:pPr>
  </w:style>
  <w:style w:type="paragraph" w:styleId="1811">
    <w:name w:val="Header"/>
    <w:basedOn w:val="1745"/>
    <w:link w:val="1757"/>
    <w:uiPriority w:val="99"/>
    <w:pPr>
      <w:pBdr/>
      <w:tabs>
        <w:tab w:val="clear" w:leader="none" w:pos="284"/>
        <w:tab w:val="center" w:leader="none" w:pos="4536"/>
        <w:tab w:val="right" w:leader="none" w:pos="9072"/>
      </w:tabs>
      <w:spacing/>
      <w:ind/>
    </w:pPr>
  </w:style>
  <w:style w:type="paragraph" w:styleId="1812">
    <w:name w:val="Footer"/>
    <w:basedOn w:val="1745"/>
    <w:link w:val="1758"/>
    <w:pPr>
      <w:pBdr/>
      <w:tabs>
        <w:tab w:val="clear" w:leader="none" w:pos="284"/>
        <w:tab w:val="center" w:leader="none" w:pos="4536"/>
        <w:tab w:val="right" w:leader="none" w:pos="9072"/>
      </w:tabs>
      <w:spacing/>
      <w:ind/>
      <w:jc w:val="right"/>
    </w:pPr>
    <w:rPr>
      <w:sz w:val="18"/>
    </w:rPr>
  </w:style>
  <w:style w:type="paragraph" w:styleId="1813">
    <w:name w:val="toc 1"/>
    <w:basedOn w:val="1814"/>
    <w:next w:val="1745"/>
    <w:uiPriority w:val="39"/>
    <w:qFormat/>
    <w:pPr>
      <w:pBdr/>
      <w:tabs>
        <w:tab w:val="clear" w:leader="none" w:pos="9781"/>
        <w:tab w:val="right" w:leader="dot" w:pos="9791"/>
      </w:tabs>
      <w:spacing/>
      <w:ind/>
    </w:pPr>
    <w:rPr>
      <w:bCs w:val="0"/>
    </w:rPr>
  </w:style>
  <w:style w:type="paragraph" w:styleId="1814">
    <w:name w:val="toc 3"/>
    <w:basedOn w:val="1745"/>
    <w:next w:val="1745"/>
    <w:uiPriority w:val="39"/>
    <w:qFormat/>
    <w:pPr>
      <w:pBdr/>
      <w:tabs>
        <w:tab w:val="clear" w:leader="none" w:pos="284"/>
        <w:tab w:val="right" w:leader="dot" w:pos="9781"/>
      </w:tabs>
      <w:spacing w:after="120" w:before="0"/>
      <w:ind w:right="140"/>
      <w:contextualSpacing w:val="false"/>
    </w:pPr>
    <w:rPr>
      <w:iCs w:val="0"/>
      <w:color w:val="000000"/>
      <w:szCs w:val="22"/>
    </w:rPr>
  </w:style>
  <w:style w:type="paragraph" w:styleId="1815">
    <w:name w:val="toc 2"/>
    <w:basedOn w:val="1813"/>
    <w:next w:val="1745"/>
    <w:uiPriority w:val="39"/>
    <w:qFormat/>
    <w:pPr>
      <w:pBdr/>
      <w:spacing/>
      <w:ind/>
    </w:pPr>
    <w:rPr>
      <w:bCs/>
    </w:rPr>
  </w:style>
  <w:style w:type="paragraph" w:styleId="1816">
    <w:name w:val="toc 4"/>
    <w:basedOn w:val="1745"/>
    <w:next w:val="1745"/>
    <w:pPr>
      <w:pBdr/>
      <w:spacing/>
      <w:ind w:left="400"/>
    </w:pPr>
    <w:rPr>
      <w:sz w:val="18"/>
    </w:rPr>
  </w:style>
  <w:style w:type="paragraph" w:styleId="1817">
    <w:name w:val="toc 5"/>
    <w:basedOn w:val="1745"/>
    <w:next w:val="1745"/>
    <w:pPr>
      <w:pBdr/>
      <w:spacing/>
      <w:ind w:left="600"/>
    </w:pPr>
    <w:rPr>
      <w:sz w:val="18"/>
    </w:rPr>
  </w:style>
  <w:style w:type="paragraph" w:styleId="1818">
    <w:name w:val="toc 6"/>
    <w:basedOn w:val="1745"/>
    <w:next w:val="1745"/>
    <w:pPr>
      <w:pBdr/>
      <w:spacing/>
      <w:ind w:left="800"/>
    </w:pPr>
  </w:style>
  <w:style w:type="paragraph" w:styleId="1819">
    <w:name w:val="toc 7"/>
    <w:basedOn w:val="1745"/>
    <w:next w:val="1745"/>
    <w:pPr>
      <w:pBdr/>
      <w:spacing/>
      <w:ind w:left="1000"/>
    </w:pPr>
  </w:style>
  <w:style w:type="paragraph" w:styleId="1820">
    <w:name w:val="toc 8"/>
    <w:basedOn w:val="1745"/>
    <w:next w:val="1745"/>
    <w:pPr>
      <w:pBdr/>
      <w:spacing/>
      <w:ind w:left="1200"/>
    </w:pPr>
  </w:style>
  <w:style w:type="paragraph" w:styleId="1821">
    <w:name w:val="toc 9"/>
    <w:basedOn w:val="1745"/>
    <w:next w:val="1745"/>
    <w:pPr>
      <w:pBdr/>
      <w:spacing/>
      <w:ind w:left="1400"/>
    </w:pPr>
    <w:rPr>
      <w:sz w:val="18"/>
    </w:rPr>
  </w:style>
  <w:style w:type="paragraph" w:styleId="1822">
    <w:name w:val="Document Map"/>
    <w:basedOn w:val="1745"/>
    <w:link w:val="1760"/>
    <w:qFormat/>
    <w:pPr>
      <w:pBdr/>
      <w:spacing/>
      <w:ind/>
    </w:pPr>
    <w:rPr>
      <w:rFonts w:ascii="Lucida Grande" w:hAnsi="Lucida Grande"/>
    </w:rPr>
  </w:style>
  <w:style w:type="paragraph" w:styleId="1823">
    <w:name w:val="Index Heading"/>
    <w:basedOn w:val="1804"/>
    <w:pPr>
      <w:pBdr/>
      <w:spacing/>
      <w:ind/>
    </w:pPr>
  </w:style>
  <w:style w:type="paragraph" w:styleId="1824">
    <w:name w:val="TOC Heading"/>
    <w:basedOn w:val="1746"/>
    <w:next w:val="1745"/>
    <w:uiPriority w:val="39"/>
    <w:unhideWhenUsed/>
    <w:qFormat/>
    <w:pPr>
      <w:numPr>
        <w:ilvl w:val="0"/>
        <w:numId w:val="0"/>
      </w:numPr>
      <w:pBdr/>
      <w:spacing w:after="0" w:before="480" w:line="276" w:lineRule="auto"/>
      <w:ind w:firstLine="709" w:left="0"/>
      <w:contextualSpacing w:val="true"/>
      <w:jc w:val="center"/>
      <w:outlineLvl w:val="9"/>
    </w:pPr>
    <w:rPr>
      <w:rFonts w:eastAsia="MS Gothic" w:cs="Times New Roman"/>
      <w:szCs w:val="28"/>
    </w:rPr>
  </w:style>
  <w:style w:type="paragraph" w:styleId="1825">
    <w:name w:val="Plain Text"/>
    <w:basedOn w:val="1745"/>
    <w:qFormat/>
    <w:pPr>
      <w:pBdr/>
      <w:spacing/>
      <w:ind/>
    </w:pPr>
    <w:rPr>
      <w:rFonts w:ascii="Courier New" w:hAnsi="Courier New" w:cs="Courier New"/>
    </w:rPr>
  </w:style>
  <w:style w:type="paragraph" w:styleId="1826" w:customStyle="1">
    <w:name w:val="Subline Header"/>
    <w:basedOn w:val="1809"/>
    <w:qFormat/>
    <w:pPr>
      <w:pBdr/>
      <w:spacing/>
      <w:ind/>
    </w:pPr>
    <w:rPr>
      <w:b w:val="0"/>
      <w:bCs/>
      <w:color w:val="a6a6a6"/>
      <w:sz w:val="28"/>
      <w:shd w:val="clear" w:color="auto" w:fill="ffffff"/>
    </w:rPr>
  </w:style>
  <w:style w:type="paragraph" w:styleId="1827" w:customStyle="1">
    <w:name w:val="SublineHeader Level2"/>
    <w:basedOn w:val="1826"/>
    <w:qFormat/>
    <w:pPr>
      <w:pBdr/>
      <w:spacing/>
      <w:ind/>
    </w:pPr>
    <w:rPr>
      <w:sz w:val="24"/>
      <w:szCs w:val="24"/>
    </w:rPr>
  </w:style>
  <w:style w:type="paragraph" w:styleId="1828">
    <w:name w:val="Intense Quote"/>
    <w:basedOn w:val="1745"/>
    <w:next w:val="1745"/>
    <w:link w:val="1768"/>
    <w:qFormat/>
    <w:pPr>
      <w:pBdr>
        <w:top w:val="single" w:color="4f81bd" w:sz="4" w:space="10"/>
        <w:bottom w:val="single" w:color="4f81bd" w:sz="4" w:space="10"/>
      </w:pBdr>
      <w:spacing w:after="360" w:before="360"/>
      <w:ind w:right="864" w:left="864"/>
      <w:contextualSpacing w:val="true"/>
      <w:jc w:val="center"/>
    </w:pPr>
    <w:rPr>
      <w:i/>
      <w:iCs w:val="0"/>
      <w:color w:val="7f7f7f"/>
    </w:rPr>
  </w:style>
  <w:style w:type="paragraph" w:styleId="1829" w:customStyle="1">
    <w:name w:val="Чертёжный 8 пт"/>
    <w:basedOn w:val="1745"/>
    <w:semiHidden/>
    <w:qFormat/>
    <w:pPr>
      <w:pBdr/>
      <w:spacing/>
      <w:ind/>
      <w:jc w:val="center"/>
    </w:pPr>
    <w:rPr>
      <w:bCs w:val="0"/>
      <w:iCs w:val="0"/>
      <w:sz w:val="16"/>
      <w:szCs w:val="28"/>
    </w:rPr>
  </w:style>
  <w:style w:type="paragraph" w:styleId="1830">
    <w:name w:val="Body Text 2"/>
    <w:basedOn w:val="1745"/>
    <w:link w:val="1772"/>
    <w:semiHidden/>
    <w:qFormat/>
    <w:pPr>
      <w:widowControl w:val="false"/>
      <w:pBdr/>
      <w:spacing w:after="0" w:before="200"/>
      <w:ind/>
      <w:contextualSpacing w:val="true"/>
      <w:jc w:val="center"/>
    </w:pPr>
    <w:rPr>
      <w:bCs w:val="0"/>
      <w:iCs w:val="0"/>
      <w:sz w:val="40"/>
      <w:szCs w:val="40"/>
    </w:rPr>
  </w:style>
  <w:style w:type="paragraph" w:styleId="1831" w:customStyle="1">
    <w:name w:val="Чертежный"/>
    <w:link w:val="1788"/>
    <w:semiHidden/>
    <w:qFormat/>
    <w:pPr>
      <w:widowControl w:val="true"/>
      <w:pBdr/>
      <w:bidi w:val="false"/>
      <w:spacing w:after="0" w:before="0" w:line="360" w:lineRule="auto"/>
      <w:ind/>
      <w:jc w:val="center"/>
    </w:pPr>
    <w:rPr>
      <w:rFonts w:ascii="Arial" w:hAnsi="Arial" w:eastAsia="Times New Roman" w:cs="Arial"/>
      <w:bCs/>
      <w:iCs/>
      <w:color w:val="auto"/>
      <w:sz w:val="28"/>
      <w:szCs w:val="28"/>
      <w:lang w:val="ru-RU" w:eastAsia="ru-RU" w:bidi="ar-SA"/>
    </w:rPr>
  </w:style>
  <w:style w:type="paragraph" w:styleId="1832" w:customStyle="1">
    <w:name w:val="Чертежный 9 пт"/>
    <w:basedOn w:val="1831"/>
    <w:link w:val="1789"/>
    <w:semiHidden/>
    <w:qFormat/>
    <w:pPr>
      <w:pBdr/>
      <w:spacing/>
      <w:ind/>
    </w:pPr>
    <w:rPr>
      <w:sz w:val="18"/>
    </w:rPr>
  </w:style>
  <w:style w:type="paragraph" w:styleId="1833" w:customStyle="1">
    <w:name w:val="Название работы"/>
    <w:basedOn w:val="1745"/>
    <w:qFormat/>
    <w:pPr>
      <w:pBdr/>
      <w:spacing/>
      <w:ind/>
      <w:jc w:val="center"/>
    </w:pPr>
    <w:rPr>
      <w:b/>
      <w:bCs w:val="0"/>
      <w:iCs w:val="0"/>
      <w:caps/>
      <w:sz w:val="28"/>
      <w:szCs w:val="28"/>
    </w:rPr>
  </w:style>
  <w:style w:type="paragraph" w:styleId="1834" w:customStyle="1">
    <w:name w:val="Текст таблицы"/>
    <w:basedOn w:val="1745"/>
    <w:qFormat/>
    <w:pPr>
      <w:pBdr/>
      <w:spacing/>
      <w:ind/>
    </w:pPr>
    <w:rPr>
      <w:bCs w:val="0"/>
      <w:iCs w:val="0"/>
    </w:rPr>
  </w:style>
  <w:style w:type="paragraph" w:styleId="1835" w:customStyle="1">
    <w:name w:val="Название документа"/>
    <w:basedOn w:val="1745"/>
    <w:qFormat/>
    <w:pPr>
      <w:pBdr/>
      <w:spacing/>
      <w:ind/>
      <w:jc w:val="center"/>
    </w:pPr>
    <w:rPr>
      <w:b/>
      <w:bCs w:val="0"/>
      <w:iCs w:val="0"/>
      <w:sz w:val="28"/>
    </w:rPr>
  </w:style>
  <w:style w:type="paragraph" w:styleId="1836" w:customStyle="1">
    <w:name w:val="Таблица с невидимыми гранями"/>
    <w:basedOn w:val="1834"/>
    <w:semiHidden/>
    <w:qFormat/>
    <w:pPr>
      <w:pBdr/>
      <w:spacing w:after="240" w:before="0"/>
      <w:ind w:firstLine="0" w:left="284"/>
      <w:contextualSpacing w:val="false"/>
      <w:jc w:val="center"/>
    </w:pPr>
  </w:style>
  <w:style w:type="paragraph" w:styleId="1837" w:customStyle="1">
    <w:name w:val="Заголовок содержания"/>
    <w:basedOn w:val="1745"/>
    <w:qFormat/>
    <w:pPr>
      <w:keepNext w:val="true"/>
      <w:keepLines w:val="true"/>
      <w:pageBreakBefore w:val="true"/>
      <w:pBdr/>
      <w:spacing w:after="0" w:before="120"/>
      <w:ind w:left="357"/>
      <w:contextualSpacing w:val="true"/>
      <w:jc w:val="center"/>
    </w:pPr>
    <w:rPr>
      <w:b/>
      <w:bCs w:val="0"/>
      <w:iCs w:val="0"/>
      <w:sz w:val="32"/>
    </w:rPr>
  </w:style>
  <w:style w:type="paragraph" w:styleId="1838" w:customStyle="1">
    <w:name w:val="Содержание"/>
    <w:basedOn w:val="1813"/>
    <w:qFormat/>
    <w:pPr>
      <w:pBdr/>
      <w:tabs>
        <w:tab w:val="left" w:leader="none" w:pos="0"/>
        <w:tab w:val="left" w:leader="none" w:pos="480"/>
        <w:tab w:val="right" w:leader="dot" w:pos="9344"/>
        <w:tab w:val="right" w:leader="dot" w:pos="9791"/>
      </w:tabs>
      <w:spacing/>
      <w:ind w:left="284"/>
    </w:pPr>
    <w:rPr>
      <w:b/>
      <w:color w:val="auto"/>
      <w:szCs w:val="24"/>
    </w:rPr>
  </w:style>
  <w:style w:type="paragraph" w:styleId="1839" w:customStyle="1">
    <w:name w:val="Пункт трехзначный"/>
    <w:basedOn w:val="1748"/>
    <w:qFormat/>
    <w:pPr>
      <w:keepNext w:val="false"/>
      <w:pBdr/>
      <w:spacing w:after="120" w:before="0"/>
      <w:ind/>
      <w:contextualSpacing w:val="false"/>
    </w:pPr>
    <w:rPr>
      <w:b w:val="0"/>
      <w:iCs w:val="0"/>
      <w:color w:val="auto"/>
    </w:rPr>
  </w:style>
  <w:style w:type="paragraph" w:styleId="1840" w:customStyle="1">
    <w:name w:val="Scroll Heading 1"/>
    <w:basedOn w:val="1746"/>
    <w:link w:val="1775"/>
    <w:qFormat/>
    <w:pPr>
      <w:numPr>
        <w:ilvl w:val="0"/>
        <w:numId w:val="7"/>
      </w:numPr>
      <w:pBdr/>
      <w:spacing w:after="240" w:before="240"/>
      <w:ind/>
      <w:contextualSpacing w:val="false"/>
      <w:jc w:val="center"/>
    </w:pPr>
  </w:style>
  <w:style w:type="paragraph" w:styleId="1841" w:customStyle="1">
    <w:name w:val="Scroll Heading 2"/>
    <w:basedOn w:val="1745"/>
    <w:link w:val="1776"/>
    <w:qFormat/>
    <w:pPr>
      <w:keepNext w:val="true"/>
      <w:keepLines w:val="true"/>
      <w:numPr>
        <w:ilvl w:val="1"/>
        <w:numId w:val="7"/>
      </w:numPr>
      <w:pBdr/>
      <w:spacing w:after="120" w:before="180"/>
      <w:ind/>
      <w:contextualSpacing w:val="true"/>
      <w:jc w:val="left"/>
      <w:outlineLvl w:val="1"/>
    </w:pPr>
    <w:rPr>
      <w:b/>
      <w:color w:val="000000"/>
      <w:sz w:val="28"/>
      <w:szCs w:val="32"/>
    </w:rPr>
  </w:style>
  <w:style w:type="paragraph" w:styleId="1842" w:customStyle="1">
    <w:name w:val="Scroll Heading 3"/>
    <w:basedOn w:val="1748"/>
    <w:link w:val="1779"/>
    <w:qFormat/>
    <w:pPr>
      <w:pBdr/>
      <w:spacing w:after="120" w:before="120"/>
      <w:ind w:hanging="567"/>
      <w:contextualSpacing w:val="false"/>
    </w:pPr>
    <w:rPr>
      <w:szCs w:val="28"/>
    </w:rPr>
  </w:style>
  <w:style w:type="paragraph" w:styleId="1843" w:customStyle="1">
    <w:name w:val="Нумерация 1)"/>
    <w:basedOn w:val="1745"/>
    <w:link w:val="1787"/>
    <w:qFormat/>
    <w:pPr>
      <w:pBdr/>
      <w:tabs>
        <w:tab w:val="clear" w:leader="none" w:pos="284"/>
        <w:tab w:val="left" w:leader="none" w:pos="1080"/>
      </w:tabs>
      <w:spacing/>
      <w:ind w:firstLine="284" w:left="680"/>
    </w:pPr>
    <w:rPr>
      <w:bCs w:val="0"/>
      <w:iCs w:val="0"/>
    </w:rPr>
  </w:style>
  <w:style w:type="paragraph" w:styleId="1844">
    <w:name w:val="List Bullet"/>
    <w:basedOn w:val="1745"/>
    <w:pPr>
      <w:pBdr/>
      <w:spacing/>
      <w:ind w:hanging="227" w:left="936"/>
    </w:pPr>
    <w:rPr>
      <w:bCs w:val="0"/>
      <w:iCs w:val="0"/>
    </w:rPr>
  </w:style>
  <w:style w:type="paragraph" w:styleId="1845" w:customStyle="1">
    <w:name w:val="Нумерация с литерами а)"/>
    <w:basedOn w:val="1745"/>
    <w:link w:val="1786"/>
    <w:qFormat/>
    <w:pPr>
      <w:numPr>
        <w:ilvl w:val="0"/>
        <w:numId w:val="3"/>
      </w:numPr>
      <w:pBdr/>
      <w:spacing/>
      <w:ind/>
    </w:pPr>
    <w:rPr>
      <w:bCs w:val="0"/>
      <w:iCs w:val="0"/>
    </w:rPr>
  </w:style>
  <w:style w:type="paragraph" w:styleId="1846" w:customStyle="1">
    <w:name w:val="ЕСКД А4 – Маркированный список 1"/>
    <w:uiPriority w:val="9"/>
    <w:qFormat/>
    <w:pPr>
      <w:widowControl w:val="true"/>
      <w:numPr>
        <w:ilvl w:val="0"/>
        <w:numId w:val="4"/>
      </w:numPr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cs="Times New Roman"/>
      <w:color w:val="000000"/>
      <w:sz w:val="28"/>
      <w:szCs w:val="28"/>
      <w:lang w:val="ru-RU" w:eastAsia="ru-RU" w:bidi="ar-SA"/>
    </w:rPr>
  </w:style>
  <w:style w:type="paragraph" w:styleId="1847" w:customStyle="1">
    <w:name w:val="ЕСКД А4 – Маркированный список 2"/>
    <w:link w:val="1780"/>
    <w:uiPriority w:val="9"/>
    <w:qFormat/>
    <w:pPr>
      <w:widowControl w:val="true"/>
      <w:numPr>
        <w:ilvl w:val="1"/>
        <w:numId w:val="4"/>
      </w:numPr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cs="Times New Roman"/>
      <w:color w:val="000000"/>
      <w:sz w:val="28"/>
      <w:szCs w:val="28"/>
      <w:lang w:val="ru-RU" w:eastAsia="ru-RU" w:bidi="ar-SA"/>
    </w:rPr>
  </w:style>
  <w:style w:type="paragraph" w:styleId="1848" w:customStyle="1">
    <w:name w:val="ЕСКД А4 – Маркированный список 3"/>
    <w:link w:val="1782"/>
    <w:uiPriority w:val="9"/>
    <w:qFormat/>
    <w:pPr>
      <w:widowControl w:val="true"/>
      <w:numPr>
        <w:ilvl w:val="2"/>
        <w:numId w:val="4"/>
      </w:numPr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cs="Times New Roman"/>
      <w:color w:val="000000"/>
      <w:sz w:val="28"/>
      <w:szCs w:val="28"/>
      <w:lang w:val="ru-RU" w:eastAsia="ru-RU" w:bidi="ar-SA"/>
    </w:rPr>
  </w:style>
  <w:style w:type="paragraph" w:styleId="1849" w:customStyle="1">
    <w:name w:val="ЕСКД А4 – Маркированный список 4"/>
    <w:link w:val="1784"/>
    <w:uiPriority w:val="9"/>
    <w:qFormat/>
    <w:pPr>
      <w:widowControl w:val="true"/>
      <w:numPr>
        <w:ilvl w:val="3"/>
        <w:numId w:val="4"/>
      </w:numPr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cs="Times New Roman"/>
      <w:color w:val="000000"/>
      <w:sz w:val="28"/>
      <w:szCs w:val="28"/>
      <w:lang w:val="ru-RU" w:eastAsia="ru-RU" w:bidi="ar-SA"/>
    </w:rPr>
  </w:style>
  <w:style w:type="paragraph" w:styleId="1850" w:customStyle="1">
    <w:name w:val="ЕСКД А4 – Нумерованный список 1"/>
    <w:uiPriority w:val="11"/>
    <w:qFormat/>
    <w:pPr>
      <w:widowControl w:val="true"/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cs="Times New Roman"/>
      <w:color w:val="000000"/>
      <w:sz w:val="28"/>
      <w:szCs w:val="28"/>
      <w:lang w:val="ru-RU" w:eastAsia="ru-RU" w:bidi="ar-SA"/>
    </w:rPr>
  </w:style>
  <w:style w:type="paragraph" w:styleId="1851" w:customStyle="1">
    <w:name w:val="ЕСКД А4 – Нумерованный список 1 (примечания)"/>
    <w:uiPriority w:val="13"/>
    <w:qFormat/>
    <w:pPr>
      <w:widowControl w:val="true"/>
      <w:numPr>
        <w:ilvl w:val="0"/>
        <w:numId w:val="5"/>
      </w:numPr>
      <w:pBdr/>
      <w:bidi w:val="false"/>
      <w:spacing w:after="0" w:before="0" w:line="360" w:lineRule="auto"/>
      <w:ind/>
      <w:jc w:val="both"/>
    </w:pPr>
    <w:rPr>
      <w:rFonts w:ascii="Times New Roman" w:hAnsi="Times New Roman" w:eastAsia="Calibri" w:cs="Times New Roman"/>
      <w:color w:val="000000"/>
      <w:sz w:val="28"/>
      <w:szCs w:val="28"/>
      <w:lang w:val="ru-RU" w:eastAsia="ru-RU" w:bidi="ar-SA"/>
    </w:rPr>
  </w:style>
  <w:style w:type="paragraph" w:styleId="1852" w:customStyle="1">
    <w:name w:val="ЕСКД А4 – Нумерованный список 2"/>
    <w:uiPriority w:val="11"/>
    <w:qFormat/>
    <w:pPr>
      <w:widowControl w:val="true"/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cs="Times New Roman"/>
      <w:color w:val="000000"/>
      <w:sz w:val="28"/>
      <w:szCs w:val="28"/>
      <w:lang w:val="ru-RU" w:eastAsia="ru-RU" w:bidi="ar-SA"/>
    </w:rPr>
  </w:style>
  <w:style w:type="paragraph" w:styleId="1853" w:customStyle="1">
    <w:name w:val="Scroll List Bullet"/>
    <w:basedOn w:val="1846"/>
    <w:qFormat/>
    <w:pPr>
      <w:pBdr/>
      <w:spacing/>
      <w:ind w:hanging="425" w:left="1276"/>
    </w:pPr>
    <w:rPr>
      <w:sz w:val="24"/>
      <w:szCs w:val="24"/>
      <w:lang w:val="en-US"/>
    </w:rPr>
  </w:style>
  <w:style w:type="paragraph" w:styleId="1854" w:customStyle="1">
    <w:name w:val="Scroll List Bullet 2"/>
    <w:basedOn w:val="1847"/>
    <w:link w:val="1781"/>
    <w:qFormat/>
    <w:pPr>
      <w:pBdr/>
      <w:spacing/>
      <w:ind/>
    </w:pPr>
    <w:rPr>
      <w:sz w:val="24"/>
      <w:szCs w:val="24"/>
    </w:rPr>
  </w:style>
  <w:style w:type="paragraph" w:styleId="1855" w:customStyle="1">
    <w:name w:val="Scroll List Bullet 3"/>
    <w:basedOn w:val="1848"/>
    <w:link w:val="1783"/>
    <w:qFormat/>
    <w:pPr>
      <w:pBdr/>
      <w:spacing/>
      <w:ind/>
    </w:pPr>
    <w:rPr>
      <w:sz w:val="24"/>
      <w:szCs w:val="24"/>
    </w:rPr>
  </w:style>
  <w:style w:type="paragraph" w:styleId="1856" w:customStyle="1">
    <w:name w:val="Scroll List Bullet 4"/>
    <w:basedOn w:val="1849"/>
    <w:link w:val="1785"/>
    <w:qFormat/>
    <w:pPr>
      <w:pBdr/>
      <w:spacing/>
      <w:ind/>
    </w:pPr>
    <w:rPr>
      <w:sz w:val="24"/>
      <w:szCs w:val="24"/>
    </w:rPr>
  </w:style>
  <w:style w:type="paragraph" w:styleId="1857" w:customStyle="1">
    <w:name w:val="Шапка таблицы"/>
    <w:basedOn w:val="1834"/>
    <w:qFormat/>
    <w:pPr>
      <w:pBdr/>
      <w:spacing w:after="0" w:before="0"/>
      <w:ind w:firstLine="0"/>
      <w:contextualSpacing w:val="false"/>
      <w:jc w:val="center"/>
    </w:pPr>
    <w:rPr>
      <w:bCs/>
      <w:iCs/>
    </w:rPr>
  </w:style>
  <w:style w:type="paragraph" w:styleId="1858" w:customStyle="1">
    <w:name w:val="Основная надпись - 1"/>
    <w:basedOn w:val="1832"/>
    <w:link w:val="1790"/>
    <w:qFormat/>
    <w:pPr>
      <w:pBdr/>
      <w:spacing/>
      <w:ind/>
      <w:jc w:val="left"/>
    </w:pPr>
    <w:rPr>
      <w:rFonts w:ascii="Times New Roman" w:hAnsi="Times New Roman"/>
    </w:rPr>
  </w:style>
  <w:style w:type="paragraph" w:styleId="1859" w:customStyle="1">
    <w:name w:val="Введение"/>
    <w:basedOn w:val="1746"/>
    <w:qFormat/>
    <w:pPr>
      <w:numPr>
        <w:ilvl w:val="0"/>
        <w:numId w:val="0"/>
      </w:numPr>
      <w:pBdr/>
      <w:spacing w:after="120" w:before="120"/>
      <w:ind w:firstLine="709" w:left="0"/>
      <w:contextualSpacing w:val="false"/>
      <w:jc w:val="left"/>
    </w:pPr>
    <w:rPr>
      <w:color w:val="auto"/>
    </w:rPr>
  </w:style>
  <w:style w:type="paragraph" w:styleId="1860">
    <w:name w:val="No Spacing"/>
    <w:link w:val="1792"/>
    <w:uiPriority w:val="1"/>
    <w:qFormat/>
    <w:pPr>
      <w:widowControl w:val="true"/>
      <w:pBdr/>
      <w:bidi w:val="false"/>
      <w:spacing w:after="0" w:before="0"/>
      <w:ind/>
      <w:jc w:val="left"/>
    </w:pPr>
    <w:rPr>
      <w:rFonts w:ascii="Cambria" w:hAnsi="Cambria" w:eastAsia="MS Mincho" w:cs="Times New Roman"/>
      <w:color w:val="auto"/>
      <w:sz w:val="22"/>
      <w:szCs w:val="22"/>
      <w:lang w:val="ru-RU" w:eastAsia="ru-RU" w:bidi="ar-SA"/>
    </w:rPr>
  </w:style>
  <w:style w:type="paragraph" w:styleId="1861">
    <w:name w:val="List Paragraph"/>
    <w:basedOn w:val="1745"/>
    <w:link w:val="1795"/>
    <w:qFormat/>
    <w:pPr>
      <w:pBdr/>
      <w:spacing/>
      <w:ind w:left="720"/>
    </w:pPr>
  </w:style>
  <w:style w:type="paragraph" w:styleId="1862" w:customStyle="1">
    <w:name w:val="scroll-code"/>
    <w:basedOn w:val="1745"/>
    <w:qFormat/>
    <w:pPr>
      <w:pBdr/>
      <w:spacing/>
      <w:ind/>
    </w:pPr>
    <w:rPr>
      <w:iCs w:val="0"/>
    </w:rPr>
  </w:style>
  <w:style w:type="paragraph" w:styleId="1863" w:customStyle="1">
    <w:name w:val="scroll-code_content_content"/>
    <w:basedOn w:val="1745"/>
    <w:qFormat/>
    <w:pPr>
      <w:pBdr/>
      <w:spacing/>
      <w:ind/>
    </w:pPr>
  </w:style>
  <w:style w:type="paragraph" w:styleId="1864" w:customStyle="1">
    <w:name w:val="scroll-code_content_div_line"/>
    <w:basedOn w:val="1745"/>
    <w:qFormat/>
    <w:pPr>
      <w:keepNext w:val="true"/>
      <w:pBdr/>
      <w:spacing/>
      <w:ind/>
    </w:pPr>
  </w:style>
  <w:style w:type="paragraph" w:styleId="1865" w:customStyle="1">
    <w:name w:val="Scroll Heading 4"/>
    <w:basedOn w:val="1745"/>
    <w:link w:val="1796"/>
    <w:qFormat/>
    <w:pPr>
      <w:pBdr/>
      <w:spacing w:after="120" w:before="120"/>
      <w:ind w:firstLine="0"/>
      <w:contextualSpacing w:val="false"/>
      <w:jc w:val="left"/>
    </w:pPr>
    <w:rPr>
      <w:b/>
    </w:rPr>
  </w:style>
  <w:style w:type="paragraph" w:styleId="1866">
    <w:name w:val="footnote text"/>
    <w:basedOn w:val="1745"/>
    <w:link w:val="1797"/>
    <w:semiHidden/>
    <w:pPr>
      <w:pBdr/>
      <w:spacing w:after="0" w:before="0"/>
      <w:ind w:firstLine="0"/>
      <w:contextualSpacing w:val="false"/>
      <w:jc w:val="left"/>
    </w:pPr>
    <w:rPr>
      <w:rFonts w:cs="Times New Roman"/>
      <w:bCs w:val="0"/>
      <w:iCs w:val="0"/>
      <w:sz w:val="20"/>
      <w:szCs w:val="20"/>
    </w:rPr>
  </w:style>
  <w:style w:type="paragraph" w:styleId="1867" w:customStyle="1">
    <w:name w:val="Scroll List Number"/>
    <w:basedOn w:val="1861"/>
    <w:link w:val="1800"/>
    <w:qFormat/>
    <w:pPr>
      <w:numPr>
        <w:ilvl w:val="0"/>
        <w:numId w:val="6"/>
      </w:numPr>
      <w:pBdr/>
      <w:spacing/>
      <w:ind w:left="709"/>
    </w:pPr>
  </w:style>
  <w:style w:type="paragraph" w:styleId="1868" w:customStyle="1">
    <w:name w:val="Scroll Caption"/>
    <w:basedOn w:val="1807"/>
    <w:link w:val="1802"/>
    <w:qFormat/>
    <w:pPr>
      <w:pBdr/>
      <w:spacing/>
      <w:ind/>
      <w:jc w:val="center"/>
    </w:pPr>
  </w:style>
  <w:style w:type="paragraph" w:styleId="1869">
    <w:name w:val="Frame Contents"/>
    <w:basedOn w:val="1745"/>
    <w:qFormat/>
    <w:pPr>
      <w:pBdr/>
      <w:spacing/>
      <w:ind/>
    </w:pPr>
  </w:style>
  <w:style w:type="paragraph" w:styleId="1870">
    <w:name w:val="Header Left"/>
    <w:basedOn w:val="1811"/>
    <w:qFormat/>
    <w:pPr>
      <w:pBdr/>
      <w:spacing/>
      <w:ind/>
    </w:pPr>
  </w:style>
  <w:style w:type="numbering" w:styleId="1871" w:default="1">
    <w:name w:val="No List"/>
    <w:uiPriority w:val="99"/>
    <w:semiHidden/>
    <w:unhideWhenUsed/>
    <w:qFormat/>
    <w:pPr>
      <w:pBdr/>
      <w:spacing/>
      <w:ind/>
    </w:pPr>
  </w:style>
  <w:style w:type="table" w:styleId="1872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3">
    <w:name w:val="Table Grid"/>
    <w:basedOn w:val="1872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4" w:customStyle="1">
    <w:name w:val="Scroll Section Column"/>
    <w:basedOn w:val="1872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5" w:customStyle="1">
    <w:name w:val="Scroll Tip"/>
    <w:basedOn w:val="1872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9cc4a2" w:sz="4" w:space="0"/>
        <w:left w:val="single" w:color="9cc4a2" w:sz="4" w:space="0"/>
        <w:bottom w:val="single" w:color="9cc4a2" w:sz="4" w:space="0"/>
        <w:right w:val="single" w:color="9cc4a2" w:sz="4" w:space="0"/>
        <w:insideH w:val="none" w:color="000000" w:sz="4" w:space="0"/>
        <w:insideV w:val="none" w:color="000000" w:sz="4" w:space="0"/>
      </w:tblBorders>
    </w:tblPr>
    <w:tcPr>
      <w:shd w:val="clear" w:color="auto" w:fill="defae0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6" w:customStyle="1">
    <w:name w:val="Scroll Warning"/>
    <w:basedOn w:val="1872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e29898" w:sz="4" w:space="0"/>
        <w:left w:val="single" w:color="e29898" w:sz="4" w:space="0"/>
        <w:bottom w:val="single" w:color="e29898" w:sz="4" w:space="0"/>
        <w:right w:val="single" w:color="e29898" w:sz="4" w:space="0"/>
        <w:insideH w:val="none" w:color="000000" w:sz="4" w:space="0"/>
        <w:insideV w:val="none" w:color="000000" w:sz="4" w:space="0"/>
      </w:tblBorders>
    </w:tblPr>
    <w:tcPr>
      <w:shd w:val="clear" w:color="auto" w:fill="ffe7e7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7" w:customStyle="1">
    <w:name w:val="Scroll Code"/>
    <w:basedOn w:val="1872"/>
    <w:uiPriority w:val="99"/>
    <w:qFormat/>
    <w:pPr>
      <w:pBdr/>
      <w:spacing/>
      <w:ind w:right="259"/>
    </w:pPr>
    <w:rPr>
      <w:sz w:val="18"/>
    </w:r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6199c9" w:sz="4" w:space="0"/>
        <w:left w:val="single" w:color="6199c9" w:sz="4" w:space="0"/>
        <w:bottom w:val="single" w:color="6199c9" w:sz="4" w:space="0"/>
        <w:right w:val="single" w:color="6199c9" w:sz="4" w:space="0"/>
        <w:insideH w:val="none" w:color="000000" w:sz="4" w:space="0"/>
        <w:insideV w:val="non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8" w:customStyle="1">
    <w:name w:val="Scroll Info"/>
    <w:basedOn w:val="1872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9ca6d2" w:sz="4" w:space="0"/>
        <w:left w:val="single" w:color="9ca6d2" w:sz="4" w:space="0"/>
        <w:bottom w:val="single" w:color="9ca6d2" w:sz="4" w:space="0"/>
        <w:right w:val="single" w:color="9ca6d2" w:sz="4" w:space="0"/>
        <w:insideH w:val="none" w:color="000000" w:sz="4" w:space="0"/>
        <w:insideV w:val="none" w:color="000000" w:sz="4" w:space="0"/>
      </w:tblBorders>
    </w:tblPr>
    <w:tcPr>
      <w:shd w:val="clear" w:color="auto" w:fill="dfeffd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9" w:customStyle="1">
    <w:name w:val="Scroll Table Normal"/>
    <w:basedOn w:val="1872"/>
    <w:uiPriority w:val="99"/>
    <w:qFormat/>
    <w:pPr>
      <w:pBdr/>
      <w:spacing w:after="120"/>
      <w:ind/>
    </w:pPr>
    <w:rPr>
      <w:sz w:val="24"/>
    </w:rPr>
    <w:tblPr>
      <w:tblStyleRowBandSize w:val="1"/>
      <w:tblStyleColBandSize w:val="1"/>
      <w:tblCellMar>
        <w:left w:w="30" w:type="dxa"/>
        <w:top w:w="30" w:type="dxa"/>
        <w:right w:w="30" w:type="dxa"/>
        <w:bottom w:w="2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 w:val="0"/>
        <w:caps w:val="0"/>
        <w:smallCaps w:val="0"/>
        <w:sz w:val="24"/>
      </w:rPr>
      <w:pPr>
        <w:pBdr/>
        <w:spacing/>
        <w:ind/>
        <w:jc w:val="left"/>
      </w:pPr>
      <w:tblPr>
        <w:tblBorders/>
      </w:tblPr>
      <w:tcPr>
        <w:shd w:val="clear" w:color="auto" w:fill="ffffff"/>
        <w:tcBorders/>
        <w:vAlign w:val="center"/>
      </w:tcPr>
    </w:tblStylePr>
    <w:tblStylePr w:type="firstRow">
      <w:rPr>
        <w:b w:val="0"/>
        <w:bCs w:val="0"/>
        <w:i w:val="0"/>
        <w:caps w:val="0"/>
        <w:smallCaps w:val="0"/>
        <w:sz w:val="24"/>
      </w:rPr>
      <w:pPr>
        <w:pBdr/>
        <w:spacing/>
        <w:ind/>
        <w:jc w:val="center"/>
      </w:pPr>
      <w:tblPr>
        <w:tblBorders/>
      </w:tblPr>
      <w:tcPr>
        <w:shd w:val="clear" w:color="auto" w:fill="fffff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rPr>
        <w:b w:val="0"/>
        <w:sz w:val="24"/>
      </w:rPr>
      <w:pPr>
        <w:pBdr/>
        <w:spacing/>
        <w:ind/>
        <w:jc w:val="center"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0" w:customStyle="1">
    <w:name w:val="Scroll Panel"/>
    <w:basedOn w:val="1872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bbbbbb" w:sz="4" w:space="0"/>
        <w:left w:val="single" w:color="bbbbbb" w:sz="4" w:space="0"/>
        <w:bottom w:val="single" w:color="bbbbbb" w:sz="4" w:space="0"/>
        <w:right w:val="single" w:color="bbbbbb" w:sz="4" w:space="0"/>
        <w:insideH w:val="none" w:color="000000" w:sz="4" w:space="0"/>
        <w:insideV w:val="none" w:color="000000" w:sz="4" w:space="0"/>
      </w:tblBorders>
    </w:tblPr>
    <w:tcPr>
      <w:shd w:val="clear" w:color="auto" w:fill="f0f0f0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1" w:customStyle="1">
    <w:name w:val="Scroll Note"/>
    <w:basedOn w:val="1872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f9df99" w:sz="4" w:space="0"/>
        <w:left w:val="single" w:color="f9df99" w:sz="4" w:space="0"/>
        <w:bottom w:val="single" w:color="f9df99" w:sz="4" w:space="0"/>
        <w:right w:val="single" w:color="f9df99" w:sz="4" w:space="0"/>
        <w:insideH w:val="none" w:color="000000" w:sz="4" w:space="0"/>
        <w:insideV w:val="none" w:color="000000" w:sz="4" w:space="0"/>
      </w:tblBorders>
    </w:tblPr>
    <w:tcPr>
      <w:shd w:val="clear" w:color="auto" w:fill="ffffe0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2" w:customStyle="1">
    <w:name w:val="Scroll Quote"/>
    <w:basedOn w:val="1872"/>
    <w:uiPriority w:val="99"/>
    <w:qFormat/>
    <w:pPr>
      <w:pBdr/>
      <w:spacing/>
      <w:ind w:right="259"/>
    </w:pPr>
    <w:rPr>
      <w:i/>
    </w:rPr>
    <w:tblPr>
      <w:tblCellMar>
        <w:left w:w="58" w:type="dxa"/>
        <w:right w:w="5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left w:val="single" w:color="6199c9" w:sz="4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3">
    <w:name w:val="Plain Table 1"/>
    <w:basedOn w:val="1872"/>
    <w:pPr>
      <w:pBdr/>
      <w:spacing/>
      <w:ind/>
    </w:pPr>
    <w:tblPr>
      <w:tblStyleRowBandSize w:val="1"/>
      <w:tblStyleColBandSize w:val="1"/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4">
    <w:name w:val="Plain Table 2"/>
    <w:basedOn w:val="1872"/>
    <w:pPr>
      <w:pBdr/>
      <w:spacing/>
      <w:ind/>
    </w:pPr>
    <w:tblPr>
      <w:tblStyleRowBandSize w:val="1"/>
      <w:tblStyleColBandSize w:val="1"/>
      <w:tblBorders>
        <w:top w:val="single" w:color="7f7f7f" w:sz="4" w:space="0"/>
        <w:left w:val="none" w:color="000000" w:sz="4" w:space="0"/>
        <w:bottom w:val="single" w:color="7f7f7f" w:sz="4" w:space="0"/>
        <w:right w:val="none" w:color="000000" w:sz="4" w:space="0"/>
        <w:insideH w:val="none" w:color="000000" w:sz="4" w:space="0"/>
        <w:insideV w:val="non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sz="4" w:space="0"/>
          <w:bottom w:val="single" w:color="7f7f7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sz="4" w:space="0"/>
          <w:right w:val="single" w:color="7f7f7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sz="4" w:space="0"/>
          <w:right w:val="single" w:color="7f7f7f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5" w:customStyle="1">
    <w:name w:val="Style1"/>
    <w:basedOn w:val="1872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6" w:customStyle="1">
    <w:name w:val="Scroll Custom Panel"/>
    <w:basedOn w:val="1872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/>
    </w:tblPr>
    <w:tcPr>
      <w:shd w:val="clear" w:color="auto" w:fill="deeb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7" w:customStyle="1">
    <w:name w:val="Scroll Note Cloud"/>
    <w:basedOn w:val="1872"/>
    <w:uiPriority w:val="99"/>
    <w:pPr>
      <w:pBdr/>
      <w:spacing/>
      <w:ind w:right="261"/>
    </w:pPr>
    <w:tblPr>
      <w:tblCellMar>
        <w:left w:w="58" w:type="dxa"/>
        <w:top w:w="173" w:type="dxa"/>
        <w:right w:w="58" w:type="dxa"/>
        <w:bottom w:w="259" w:type="dxa"/>
      </w:tblCellMar>
      <w:tblBorders/>
    </w:tblPr>
    <w:tcPr>
      <w:shd w:val="clear" w:color="auto" w:fill="eae6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8">
    <w:name w:val="Grid Table Light"/>
    <w:basedOn w:val="1872"/>
    <w:pPr>
      <w:pBdr/>
      <w:spacing/>
      <w:ind/>
    </w:p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9" w:customStyle="1">
    <w:name w:val="StGen2"/>
    <w:pPr>
      <w:pBdr/>
      <w:spacing/>
      <w:ind/>
    </w:pPr>
    <w:rPr>
      <w:sz w:val="22"/>
      <w:szCs w:val="22"/>
    </w:r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header" Target="header8.xml" /><Relationship Id="rId17" Type="http://schemas.openxmlformats.org/officeDocument/2006/relationships/header" Target="header9.xml" /><Relationship Id="rId18" Type="http://schemas.openxmlformats.org/officeDocument/2006/relationships/header" Target="header10.xml" /><Relationship Id="rId19" Type="http://schemas.openxmlformats.org/officeDocument/2006/relationships/header" Target="header11.xml" /><Relationship Id="rId20" Type="http://schemas.openxmlformats.org/officeDocument/2006/relationships/footer" Target="footer1.xml" /><Relationship Id="rId21" Type="http://schemas.openxmlformats.org/officeDocument/2006/relationships/footer" Target="footer2.xml" /><Relationship Id="rId22" Type="http://schemas.openxmlformats.org/officeDocument/2006/relationships/footer" Target="footer3.xml" /><Relationship Id="rId23" Type="http://schemas.openxmlformats.org/officeDocument/2006/relationships/footer" Target="footer4.xml" /><Relationship Id="rId24" Type="http://schemas.openxmlformats.org/officeDocument/2006/relationships/footer" Target="footer5.xml" /><Relationship Id="rId25" Type="http://schemas.openxmlformats.org/officeDocument/2006/relationships/footer" Target="footer6.xml" /><Relationship Id="rId26" Type="http://schemas.openxmlformats.org/officeDocument/2006/relationships/footer" Target="footer7.xml" /><Relationship Id="rId27" Type="http://schemas.openxmlformats.org/officeDocument/2006/relationships/footer" Target="footer8.xml" /><Relationship Id="rId28" Type="http://schemas.openxmlformats.org/officeDocument/2006/relationships/footer" Target="footer9.xml" /><Relationship Id="rId29" Type="http://schemas.openxmlformats.org/officeDocument/2006/relationships/footer" Target="footer10.xml" /><Relationship Id="rId30" Type="http://schemas.openxmlformats.org/officeDocument/2006/relationships/footer" Target="footer11.xml" /><Relationship Id="rId31" Type="http://schemas.openxmlformats.org/officeDocument/2006/relationships/customXml" Target="../customXml/item1.xml" /><Relationship Id="rId32" Type="http://schemas.openxmlformats.org/officeDocument/2006/relationships/image" Target="media/image1.png"/><Relationship Id="rId33" Type="http://schemas.openxmlformats.org/officeDocument/2006/relationships/image" Target="media/media1.svg"/><Relationship Id="rId34" Type="http://schemas.openxmlformats.org/officeDocument/2006/relationships/image" Target="media/image2.png"/><Relationship Id="rId35" Type="http://schemas.openxmlformats.org/officeDocument/2006/relationships/image" Target="media/image3.png"/><Relationship Id="rId36" Type="http://schemas.openxmlformats.org/officeDocument/2006/relationships/image" Target="media/image4.png"/><Relationship Id="rId37" Type="http://schemas.openxmlformats.org/officeDocument/2006/relationships/image" Target="media/image5.png"/><Relationship Id="rId38" Type="http://schemas.openxmlformats.org/officeDocument/2006/relationships/image" Target="media/image6.png"/><Relationship Id="rId39" Type="http://schemas.openxmlformats.org/officeDocument/2006/relationships/image" Target="media/image7.png"/><Relationship Id="rId40" Type="http://schemas.openxmlformats.org/officeDocument/2006/relationships/image" Target="media/image8.png"/><Relationship Id="rId41" Type="http://schemas.openxmlformats.org/officeDocument/2006/relationships/image" Target="media/image9.png"/><Relationship Id="rId42" Type="http://schemas.openxmlformats.org/officeDocument/2006/relationships/image" Target="media/image10.png"/><Relationship Id="rId43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/Relationships>
</file>

<file path=word/_rels/footer8.xml.rels><?xml version="1.0" encoding="UTF-8" standalone="yes"?><Relationships xmlns="http://schemas.openxmlformats.org/package/2006/relationships"></Relationships>
</file>

<file path=word/_rels/footer9.xml.rels><?xml version="1.0" encoding="UTF-8" standalone="yes"?><Relationships xmlns="http://schemas.openxmlformats.org/package/2006/relationships"></Relationships>
</file>

<file path=word/_rels/footer10.xml.rels><?xml version="1.0" encoding="UTF-8" standalone="yes"?><Relationships xmlns="http://schemas.openxmlformats.org/package/2006/relationships"></Relationships>
</file>

<file path=word/_rels/footer1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_rels/header9.xml.rels><?xml version="1.0" encoding="UTF-8" standalone="yes"?><Relationships xmlns="http://schemas.openxmlformats.org/package/2006/relationships"></Relationships>
</file>

<file path=word/_rels/header10.xml.rels><?xml version="1.0" encoding="UTF-8" standalone="yes"?><Relationships xmlns="http://schemas.openxmlformats.org/package/2006/relationships"></Relationships>
</file>

<file path=word/_rels/header1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F488AF-39C0-41A6-AFA4-1614258C0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Лартех_Текстовый документ_ГОСТ 2.105-95 (A4)</Template>
  <Application>onlyoffice/9.2.1.1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Киселев</dc:creator>
  <dc:description/>
  <dc:language>en-US</dc:language>
  <cp:lastModifiedBy>Самарина Анна Сергеевна</cp:lastModifiedBy>
  <cp:revision>8</cp:revision>
  <dcterms:created xsi:type="dcterms:W3CDTF">2026-06-25T14:59:00Z</dcterms:created>
  <dcterms:modified xsi:type="dcterms:W3CDTF">2026-09-23T07:15:44Z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