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160"/>
        <w:jc w:val="center"/>
      </w:pPr>
      <w:r>
        <w:rPr>
          <w:rFonts w:ascii="Arial Unicode MS" w:hAnsi="Arial Unicode MS" w:eastAsia="Arial Unicode MS"/>
          <w:b/>
          <w:color w:val="17211E"/>
          <w:sz w:val="56"/>
        </w:rPr>
        <w:t>LVRead 无限阅读图标</w:t>
      </w:r>
    </w:p>
    <w:p>
      <w:pPr>
        <w:spacing w:after="480"/>
        <w:jc w:val="center"/>
      </w:pPr>
      <w:r>
        <w:rPr>
          <w:rFonts w:ascii="Arial Unicode MS" w:hAnsi="Arial Unicode MS" w:eastAsia="Arial Unicode MS"/>
          <w:b w:val="0"/>
          <w:color w:val="5C605E"/>
          <w:sz w:val="28"/>
        </w:rPr>
        <w:t>美术作品创作说明</w:t>
      </w:r>
    </w:p>
    <w:p>
      <w:pPr>
        <w:spacing w:after="840"/>
        <w:jc w:val="center"/>
      </w:pPr>
      <w:r>
        <w:rPr>
          <w:rFonts w:ascii="Arial Unicode MS" w:hAnsi="Arial Unicode MS" w:eastAsia="Arial Unicode MS"/>
          <w:b/>
          <w:color w:val="C9873E"/>
          <w:sz w:val="22"/>
        </w:rPr>
        <w:t>无限阅读 · 每一页都通向新的世界</w:t>
      </w:r>
    </w:p>
    <w:p>
      <w:pPr>
        <w:pStyle w:val="Heading1"/>
        <w:spacing w:before="320" w:after="160"/>
      </w:pPr>
      <w:r>
        <w:rPr>
          <w:rFonts w:ascii="Arial Unicode MS" w:hAnsi="Arial Unicode MS" w:eastAsia="Arial Unicode MS"/>
          <w:b/>
          <w:color w:val="17211E"/>
          <w:sz w:val="32"/>
        </w:rPr>
        <w:t>一、作品基本信息</w:t>
      </w:r>
    </w:p>
    <w:p>
      <w:pPr>
        <w:pStyle w:val="ListBullet"/>
        <w:spacing w:after="80" w:line="264" w:lineRule="auto"/>
      </w:pPr>
      <w:r>
        <w:rPr>
          <w:rFonts w:ascii="Arial Unicode MS" w:hAnsi="Arial Unicode MS" w:eastAsia="Arial Unicode MS"/>
          <w:b w:val="0"/>
          <w:color w:val="17211E"/>
          <w:sz w:val="22"/>
        </w:rPr>
        <w:t>作品名称：LVRead 无限阅读图标</w:t>
      </w:r>
    </w:p>
    <w:p>
      <w:pPr>
        <w:pStyle w:val="ListBullet"/>
        <w:spacing w:after="80" w:line="264" w:lineRule="auto"/>
      </w:pPr>
      <w:r>
        <w:rPr>
          <w:rFonts w:ascii="Arial Unicode MS" w:hAnsi="Arial Unicode MS" w:eastAsia="Arial Unicode MS"/>
          <w:b w:val="0"/>
          <w:color w:val="17211E"/>
          <w:sz w:val="22"/>
        </w:rPr>
        <w:t>作品类型：美术作品 / 图形标志</w:t>
      </w:r>
    </w:p>
    <w:p>
      <w:pPr>
        <w:pStyle w:val="ListBullet"/>
        <w:spacing w:after="80" w:line="264" w:lineRule="auto"/>
      </w:pPr>
      <w:r>
        <w:rPr>
          <w:rFonts w:ascii="Arial Unicode MS" w:hAnsi="Arial Unicode MS" w:eastAsia="Arial Unicode MS"/>
          <w:b w:val="0"/>
          <w:color w:val="17211E"/>
          <w:sz w:val="22"/>
        </w:rPr>
        <w:t>作者姓名：待填写</w:t>
      </w:r>
    </w:p>
    <w:p>
      <w:pPr>
        <w:pStyle w:val="ListBullet"/>
        <w:spacing w:after="80" w:line="264" w:lineRule="auto"/>
      </w:pPr>
      <w:r>
        <w:rPr>
          <w:rFonts w:ascii="Arial Unicode MS" w:hAnsi="Arial Unicode MS" w:eastAsia="Arial Unicode MS"/>
          <w:b w:val="0"/>
          <w:color w:val="17211E"/>
          <w:sz w:val="22"/>
        </w:rPr>
        <w:t>创作完成日期：待填写</w:t>
      </w:r>
    </w:p>
    <w:p>
      <w:pPr>
        <w:pStyle w:val="ListBullet"/>
        <w:spacing w:after="80" w:line="264" w:lineRule="auto"/>
      </w:pPr>
      <w:r>
        <w:rPr>
          <w:rFonts w:ascii="Arial Unicode MS" w:hAnsi="Arial Unicode MS" w:eastAsia="Arial Unicode MS"/>
          <w:b w:val="0"/>
          <w:color w:val="17211E"/>
          <w:sz w:val="22"/>
        </w:rPr>
        <w:t>首次发表日期：未发表 / 待填写</w:t>
      </w:r>
    </w:p>
    <w:p>
      <w:pPr>
        <w:pStyle w:val="ListBullet"/>
        <w:spacing w:after="80" w:line="264" w:lineRule="auto"/>
      </w:pPr>
      <w:r>
        <w:rPr>
          <w:rFonts w:ascii="Arial Unicode MS" w:hAnsi="Arial Unicode MS" w:eastAsia="Arial Unicode MS"/>
          <w:b w:val="0"/>
          <w:color w:val="17211E"/>
          <w:sz w:val="22"/>
        </w:rPr>
        <w:t>权利归属：待填写</w:t>
      </w:r>
    </w:p>
    <w:p>
      <w:pPr>
        <w:pStyle w:val="ListBullet"/>
        <w:spacing w:after="80" w:line="264" w:lineRule="auto"/>
      </w:pPr>
      <w:r>
        <w:rPr>
          <w:rFonts w:ascii="Arial Unicode MS" w:hAnsi="Arial Unicode MS" w:eastAsia="Arial Unicode MS"/>
          <w:b w:val="0"/>
          <w:color w:val="17211E"/>
          <w:sz w:val="22"/>
        </w:rPr>
        <w:t>创作工具：矢量图形编辑工具、标准 SVG 格式</w:t>
      </w:r>
    </w:p>
    <w:p>
      <w:pPr>
        <w:pStyle w:val="Heading1"/>
        <w:spacing w:before="320" w:after="160"/>
      </w:pPr>
      <w:r>
        <w:rPr>
          <w:rFonts w:ascii="Arial Unicode MS" w:hAnsi="Arial Unicode MS" w:eastAsia="Arial Unicode MS"/>
          <w:b/>
          <w:color w:val="17211E"/>
          <w:sz w:val="32"/>
        </w:rPr>
        <w:t>二、创作背景</w:t>
      </w:r>
    </w:p>
    <w:p>
      <w:pPr>
        <w:spacing w:after="120" w:line="264" w:lineRule="auto"/>
      </w:pPr>
      <w:r>
        <w:rPr>
          <w:rFonts w:ascii="Arial Unicode MS" w:hAnsi="Arial Unicode MS" w:eastAsia="Arial Unicode MS"/>
          <w:b w:val="0"/>
          <w:color w:val="17211E"/>
          <w:sz w:val="22"/>
        </w:rPr>
        <w:t>本作品为阅读应用 LVRead 设计。设计目标是以简洁、稳定、易识别的图形表达持续阅读、知识积累和精神探索，并保证作品在应用图标、小尺寸界面、宣传物料及印刷品中均具有清晰辨识度。</w:t>
      </w:r>
    </w:p>
    <w:p>
      <w:pPr>
        <w:pStyle w:val="Heading1"/>
        <w:spacing w:before="320" w:after="160"/>
      </w:pPr>
      <w:r>
        <w:rPr>
          <w:rFonts w:ascii="Arial Unicode MS" w:hAnsi="Arial Unicode MS" w:eastAsia="Arial Unicode MS"/>
          <w:b/>
          <w:color w:val="17211E"/>
          <w:sz w:val="32"/>
        </w:rPr>
        <w:t>三、创作构思</w:t>
      </w:r>
    </w:p>
    <w:p>
      <w:pPr>
        <w:spacing w:after="120" w:line="264" w:lineRule="auto"/>
      </w:pPr>
      <w:r>
        <w:rPr>
          <w:rFonts w:ascii="Arial Unicode MS" w:hAnsi="Arial Unicode MS" w:eastAsia="Arial Unicode MS"/>
          <w:b w:val="0"/>
          <w:color w:val="17211E"/>
          <w:sz w:val="22"/>
        </w:rPr>
        <w:t>作品以“无限符号”和“书本”作为主要意象。横向连续曲线构成无限符号，表达阅读没有终点、知识持续延伸；中心向下延伸的三条竖向线条抽象为书脊和翻页结构，使整体图形同时具有打开书本的视觉联想。</w:t>
      </w:r>
    </w:p>
    <w:p>
      <w:pPr>
        <w:spacing w:after="120" w:line="264" w:lineRule="auto"/>
      </w:pPr>
      <w:r>
        <w:rPr>
          <w:rFonts w:ascii="Arial Unicode MS" w:hAnsi="Arial Unicode MS" w:eastAsia="Arial Unicode MS"/>
          <w:b w:val="0"/>
          <w:color w:val="17211E"/>
          <w:sz w:val="22"/>
        </w:rPr>
        <w:t>作品没有直接描绘写实书籍，而是通过几何概括和负空间组织，将“无限”与“阅读”融合为一个完整符号，形成简洁、现代且适合数字应用场景的视觉形象。</w:t>
      </w:r>
    </w:p>
    <w:p>
      <w:pPr>
        <w:pStyle w:val="Heading1"/>
        <w:spacing w:before="320" w:after="160"/>
      </w:pPr>
      <w:r>
        <w:rPr>
          <w:rFonts w:ascii="Arial Unicode MS" w:hAnsi="Arial Unicode MS" w:eastAsia="Arial Unicode MS"/>
          <w:b/>
          <w:color w:val="17211E"/>
          <w:sz w:val="32"/>
        </w:rPr>
        <w:t>四、图形构成</w:t>
      </w:r>
    </w:p>
    <w:p>
      <w:pPr>
        <w:pStyle w:val="ListNumber"/>
        <w:numPr>
          <w:numId w:val="10"/>
        </w:numPr>
        <w:spacing w:after="80" w:line="264" w:lineRule="auto"/>
      </w:pPr>
      <w:r>
        <w:rPr>
          <w:rFonts w:ascii="Arial Unicode MS" w:hAnsi="Arial Unicode MS" w:eastAsia="Arial Unicode MS"/>
          <w:b w:val="0"/>
          <w:color w:val="17211E"/>
          <w:sz w:val="22"/>
        </w:rPr>
        <w:t>主体轮廓由一条连续的横向环形曲线构成，左右两侧保持视觉平衡。</w:t>
      </w:r>
    </w:p>
    <w:p>
      <w:pPr>
        <w:pStyle w:val="ListNumber"/>
        <w:numPr>
          <w:numId w:val="10"/>
        </w:numPr>
        <w:spacing w:after="80" w:line="264" w:lineRule="auto"/>
      </w:pPr>
      <w:r>
        <w:rPr>
          <w:rFonts w:ascii="Arial Unicode MS" w:hAnsi="Arial Unicode MS" w:eastAsia="Arial Unicode MS"/>
          <w:b w:val="0"/>
          <w:color w:val="17211E"/>
          <w:sz w:val="22"/>
        </w:rPr>
        <w:t>中央交汇处形成阅读路径和书页翻转的视觉中心。</w:t>
      </w:r>
    </w:p>
    <w:p>
      <w:pPr>
        <w:pStyle w:val="ListNumber"/>
        <w:numPr>
          <w:numId w:val="10"/>
        </w:numPr>
        <w:spacing w:after="80" w:line="264" w:lineRule="auto"/>
      </w:pPr>
      <w:r>
        <w:rPr>
          <w:rFonts w:ascii="Arial Unicode MS" w:hAnsi="Arial Unicode MS" w:eastAsia="Arial Unicode MS"/>
          <w:b w:val="0"/>
          <w:color w:val="17211E"/>
          <w:sz w:val="22"/>
        </w:rPr>
        <w:t>三条竖向线条分别表现书页层次、书脊和阅读延续感。</w:t>
      </w:r>
    </w:p>
    <w:p>
      <w:pPr>
        <w:pStyle w:val="ListNumber"/>
        <w:numPr>
          <w:numId w:val="10"/>
        </w:numPr>
        <w:spacing w:after="80" w:line="264" w:lineRule="auto"/>
      </w:pPr>
      <w:r>
        <w:rPr>
          <w:rFonts w:ascii="Arial Unicode MS" w:hAnsi="Arial Unicode MS" w:eastAsia="Arial Unicode MS"/>
          <w:b w:val="0"/>
          <w:color w:val="17211E"/>
          <w:sz w:val="22"/>
        </w:rPr>
        <w:t>图形采用粗轮廓与大面积留白，确保在 24 像素、32 像素等小尺寸下仍可辨识。</w:t>
      </w:r>
    </w:p>
    <w:p>
      <w:pPr>
        <w:pStyle w:val="Heading1"/>
        <w:spacing w:before="320" w:after="160"/>
      </w:pPr>
      <w:r>
        <w:rPr>
          <w:rFonts w:ascii="Arial Unicode MS" w:hAnsi="Arial Unicode MS" w:eastAsia="Arial Unicode MS"/>
          <w:b/>
          <w:color w:val="17211E"/>
          <w:sz w:val="32"/>
        </w:rPr>
        <w:t>五、色彩说明</w:t>
      </w:r>
    </w:p>
    <w:p>
      <w:pPr>
        <w:pStyle w:val="ListBullet"/>
        <w:spacing w:after="80" w:line="264" w:lineRule="auto"/>
      </w:pPr>
      <w:r>
        <w:rPr>
          <w:rFonts w:ascii="Arial Unicode MS" w:hAnsi="Arial Unicode MS" w:eastAsia="Arial Unicode MS"/>
          <w:b w:val="0"/>
          <w:color w:val="17211E"/>
          <w:sz w:val="22"/>
        </w:rPr>
        <w:t>深墨绿色 #17211E：象征沉静、专注和长期阅读。</w:t>
      </w:r>
    </w:p>
    <w:p>
      <w:pPr>
        <w:pStyle w:val="ListBullet"/>
        <w:spacing w:after="80" w:line="264" w:lineRule="auto"/>
      </w:pPr>
      <w:r>
        <w:rPr>
          <w:rFonts w:ascii="Arial Unicode MS" w:hAnsi="Arial Unicode MS" w:eastAsia="Arial Unicode MS"/>
          <w:b w:val="0"/>
          <w:color w:val="17211E"/>
          <w:sz w:val="22"/>
        </w:rPr>
        <w:t>暖米白色 #F2E6CE：取意纸张色彩，传达温度、文化感和舒适的阅读体验。</w:t>
      </w:r>
    </w:p>
    <w:p>
      <w:pPr>
        <w:spacing w:after="120" w:line="264" w:lineRule="auto"/>
      </w:pPr>
      <w:r>
        <w:rPr>
          <w:rFonts w:ascii="Arial Unicode MS" w:hAnsi="Arial Unicode MS" w:eastAsia="Arial Unicode MS"/>
          <w:b w:val="0"/>
          <w:color w:val="17211E"/>
          <w:sz w:val="22"/>
        </w:rPr>
        <w:t>深色背景与浅色主体形成明确对比，使图形适合移动应用图标和深色视觉体系。</w:t>
      </w:r>
    </w:p>
    <w:p>
      <w:pPr>
        <w:pStyle w:val="Heading1"/>
        <w:spacing w:before="320" w:after="160"/>
      </w:pPr>
      <w:r>
        <w:rPr>
          <w:rFonts w:ascii="Arial Unicode MS" w:hAnsi="Arial Unicode MS" w:eastAsia="Arial Unicode MS"/>
          <w:b/>
          <w:color w:val="17211E"/>
          <w:sz w:val="32"/>
        </w:rPr>
        <w:t>六、创作过程</w:t>
      </w:r>
    </w:p>
    <w:p>
      <w:pPr>
        <w:pStyle w:val="ListNumber"/>
        <w:numPr>
          <w:numId w:val="11"/>
        </w:numPr>
        <w:spacing w:after="80" w:line="264" w:lineRule="auto"/>
      </w:pPr>
      <w:r>
        <w:rPr>
          <w:rFonts w:ascii="Arial Unicode MS" w:hAnsi="Arial Unicode MS" w:eastAsia="Arial Unicode MS"/>
          <w:b w:val="0"/>
          <w:color w:val="17211E"/>
          <w:sz w:val="22"/>
        </w:rPr>
        <w:t>确定阅读应用需要简洁、易识别且适合小尺寸显示的设计目标。</w:t>
      </w:r>
    </w:p>
    <w:p>
      <w:pPr>
        <w:pStyle w:val="ListNumber"/>
        <w:numPr>
          <w:numId w:val="11"/>
        </w:numPr>
        <w:spacing w:after="80" w:line="264" w:lineRule="auto"/>
      </w:pPr>
      <w:r>
        <w:rPr>
          <w:rFonts w:ascii="Arial Unicode MS" w:hAnsi="Arial Unicode MS" w:eastAsia="Arial Unicode MS"/>
          <w:b w:val="0"/>
          <w:color w:val="17211E"/>
          <w:sz w:val="22"/>
        </w:rPr>
        <w:t>提取书本、书脊、阅读延续和无限符号等视觉关键词。</w:t>
      </w:r>
    </w:p>
    <w:p>
      <w:pPr>
        <w:pStyle w:val="ListNumber"/>
        <w:numPr>
          <w:numId w:val="11"/>
        </w:numPr>
        <w:spacing w:after="80" w:line="264" w:lineRule="auto"/>
      </w:pPr>
      <w:r>
        <w:rPr>
          <w:rFonts w:ascii="Arial Unicode MS" w:hAnsi="Arial Unicode MS" w:eastAsia="Arial Unicode MS"/>
          <w:b w:val="0"/>
          <w:color w:val="17211E"/>
          <w:sz w:val="22"/>
        </w:rPr>
        <w:t>使用基础几何曲线构建无限环形轮廓。</w:t>
      </w:r>
    </w:p>
    <w:p>
      <w:pPr>
        <w:pStyle w:val="ListNumber"/>
        <w:numPr>
          <w:numId w:val="11"/>
        </w:numPr>
        <w:spacing w:after="80" w:line="264" w:lineRule="auto"/>
      </w:pPr>
      <w:r>
        <w:rPr>
          <w:rFonts w:ascii="Arial Unicode MS" w:hAnsi="Arial Unicode MS" w:eastAsia="Arial Unicode MS"/>
          <w:b w:val="0"/>
          <w:color w:val="17211E"/>
          <w:sz w:val="22"/>
        </w:rPr>
        <w:t>调整左右曲线比例、中心交汇位置和笔画粗细，使图形保持平衡。</w:t>
      </w:r>
    </w:p>
    <w:p>
      <w:pPr>
        <w:pStyle w:val="ListNumber"/>
        <w:numPr>
          <w:numId w:val="11"/>
        </w:numPr>
        <w:spacing w:after="80" w:line="264" w:lineRule="auto"/>
      </w:pPr>
      <w:r>
        <w:rPr>
          <w:rFonts w:ascii="Arial Unicode MS" w:hAnsi="Arial Unicode MS" w:eastAsia="Arial Unicode MS"/>
          <w:b w:val="0"/>
          <w:color w:val="17211E"/>
          <w:sz w:val="22"/>
        </w:rPr>
        <w:t>在中心加入三条竖向书脊线，强化阅读属性。</w:t>
      </w:r>
    </w:p>
    <w:p>
      <w:pPr>
        <w:pStyle w:val="ListNumber"/>
        <w:numPr>
          <w:numId w:val="11"/>
        </w:numPr>
        <w:spacing w:after="80" w:line="264" w:lineRule="auto"/>
      </w:pPr>
      <w:r>
        <w:rPr>
          <w:rFonts w:ascii="Arial Unicode MS" w:hAnsi="Arial Unicode MS" w:eastAsia="Arial Unicode MS"/>
          <w:b w:val="0"/>
          <w:color w:val="17211E"/>
          <w:sz w:val="22"/>
        </w:rPr>
        <w:t>选定深墨绿色与暖米白色作为最终配色。</w:t>
      </w:r>
    </w:p>
    <w:p>
      <w:pPr>
        <w:pStyle w:val="ListNumber"/>
        <w:numPr>
          <w:numId w:val="11"/>
        </w:numPr>
        <w:spacing w:after="80" w:line="264" w:lineRule="auto"/>
      </w:pPr>
      <w:r>
        <w:rPr>
          <w:rFonts w:ascii="Arial Unicode MS" w:hAnsi="Arial Unicode MS" w:eastAsia="Arial Unicode MS"/>
          <w:b w:val="0"/>
          <w:color w:val="17211E"/>
          <w:sz w:val="22"/>
        </w:rPr>
        <w:t>使用标准 SVG 矢量格式整理背景、主体、书脊和安全区参考图层，并导出登记预览文件。</w:t>
      </w:r>
    </w:p>
    <w:p>
      <w:pPr>
        <w:pStyle w:val="Heading1"/>
        <w:spacing w:before="320" w:after="160"/>
      </w:pPr>
      <w:r>
        <w:rPr>
          <w:rFonts w:ascii="Arial Unicode MS" w:hAnsi="Arial Unicode MS" w:eastAsia="Arial Unicode MS"/>
          <w:b/>
          <w:color w:val="17211E"/>
          <w:sz w:val="32"/>
        </w:rPr>
        <w:t>七、原创性说明</w:t>
      </w:r>
    </w:p>
    <w:p>
      <w:pPr>
        <w:spacing w:after="120" w:line="264" w:lineRule="auto"/>
      </w:pPr>
      <w:r>
        <w:rPr>
          <w:rFonts w:ascii="Arial Unicode MS" w:hAnsi="Arial Unicode MS" w:eastAsia="Arial Unicode MS"/>
          <w:b w:val="0"/>
          <w:color w:val="17211E"/>
          <w:sz w:val="22"/>
        </w:rPr>
        <w:t>本作品围绕 LVRead 阅读应用的使用场景独立构思，通过几何曲线、书脊结构、色彩关系和视觉比例形成完整表达。作品的具体线条走向、结构组合、比例关系、配色方案及图层组织均在本次设计过程中完成。</w:t>
      </w:r>
    </w:p>
    <w:p>
      <w:pPr>
        <w:spacing w:before="160" w:after="200"/>
      </w:pPr>
      <w:r>
        <w:rPr>
          <w:rFonts w:ascii="Arial Unicode MS" w:hAnsi="Arial Unicode MS" w:eastAsia="Arial Unicode MS"/>
          <w:b/>
          <w:color w:val="C9873E"/>
          <w:sz w:val="20"/>
        </w:rPr>
        <w:t>登记提示：作者、完成日期、首次发表情况及权利归属等信息必须由实际权利人根据真实情况填写并核对。</w:t>
      </w:r>
    </w:p>
    <w:p>
      <w:pPr>
        <w:pStyle w:val="Heading1"/>
        <w:spacing w:before="320" w:after="160"/>
      </w:pPr>
      <w:r>
        <w:rPr>
          <w:rFonts w:ascii="Arial Unicode MS" w:hAnsi="Arial Unicode MS" w:eastAsia="Arial Unicode MS"/>
          <w:b/>
          <w:color w:val="17211E"/>
          <w:sz w:val="32"/>
        </w:rPr>
        <w:t>八、交付文件</w:t>
      </w:r>
    </w:p>
    <w:p>
      <w:pPr>
        <w:pStyle w:val="ListBullet"/>
        <w:spacing w:after="80" w:line="264" w:lineRule="auto"/>
      </w:pPr>
      <w:r>
        <w:rPr>
          <w:rFonts w:ascii="Arial Unicode MS" w:hAnsi="Arial Unicode MS" w:eastAsia="Arial Unicode MS"/>
          <w:b w:val="0"/>
          <w:color w:val="17211E"/>
          <w:sz w:val="22"/>
        </w:rPr>
        <w:t>分层矢量母版：LVRead-InfinityBook-Layered.svg</w:t>
      </w:r>
    </w:p>
    <w:p>
      <w:pPr>
        <w:pStyle w:val="ListBullet"/>
        <w:spacing w:after="80" w:line="264" w:lineRule="auto"/>
      </w:pPr>
      <w:r>
        <w:rPr>
          <w:rFonts w:ascii="Arial Unicode MS" w:hAnsi="Arial Unicode MS" w:eastAsia="Arial Unicode MS"/>
          <w:b w:val="0"/>
          <w:color w:val="17211E"/>
          <w:sz w:val="22"/>
        </w:rPr>
        <w:t>透明背景矢量版：LVRead-InfinityBook-Transparent.svg</w:t>
      </w:r>
    </w:p>
    <w:p>
      <w:pPr>
        <w:pStyle w:val="ListBullet"/>
        <w:spacing w:after="80" w:line="264" w:lineRule="auto"/>
      </w:pPr>
      <w:r>
        <w:rPr>
          <w:rFonts w:ascii="Arial Unicode MS" w:hAnsi="Arial Unicode MS" w:eastAsia="Arial Unicode MS"/>
          <w:b w:val="0"/>
          <w:color w:val="17211E"/>
          <w:sz w:val="22"/>
        </w:rPr>
        <w:t>高清位图：LVRead-InfinityBook-4096.png</w:t>
      </w:r>
    </w:p>
    <w:p>
      <w:pPr>
        <w:pStyle w:val="ListBullet"/>
        <w:spacing w:after="80" w:line="264" w:lineRule="auto"/>
      </w:pPr>
      <w:r>
        <w:rPr>
          <w:rFonts w:ascii="Arial Unicode MS" w:hAnsi="Arial Unicode MS" w:eastAsia="Arial Unicode MS"/>
          <w:b w:val="0"/>
          <w:color w:val="17211E"/>
          <w:sz w:val="22"/>
        </w:rPr>
        <w:t>矢量 PDF：LVRead-InfinityBook-Vector.pdf</w:t>
      </w:r>
    </w:p>
    <w:p>
      <w:pPr>
        <w:pStyle w:val="ListBullet"/>
        <w:spacing w:after="80" w:line="264" w:lineRule="auto"/>
      </w:pPr>
      <w:r>
        <w:rPr>
          <w:rFonts w:ascii="Arial Unicode MS" w:hAnsi="Arial Unicode MS" w:eastAsia="Arial Unicode MS"/>
          <w:b w:val="0"/>
          <w:color w:val="17211E"/>
          <w:sz w:val="22"/>
        </w:rPr>
        <w:t>正式创作说明：LVRead-InfinityBook-创作说明.docx / .pdf</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Unicode MS" w:hAnsi="Arial Unicode MS" w:eastAsia="Arial Unicode MS"/>
        <w:b w:val="0"/>
        <w:color w:val="5C605E"/>
        <w:sz w:val="18"/>
      </w:rPr>
      <w:t>LVRead 无限阅读图标 · 创作说明</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