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E3192"/>
          <w:sz w:val="44"/>
          <w:szCs w:val="44"/>
        </w:rPr>
        <w:t xml:space="preserve">INDIAN STARTUP FUNDING</w:t>
      </w:r>
    </w:p>
    <w:p>
      <w:pPr>
        <w:spacing w:after="260"/>
      </w:pPr>
      <w:r>
        <w:rPr>
          <w:rFonts w:ascii="Calibri" w:cs="Calibri" w:eastAsia="Calibri" w:hAnsi="Calibri"/>
          <w:color w:val="5C5C99"/>
          <w:sz w:val="26"/>
          <w:szCs w:val="26"/>
        </w:rPr>
        <w:t xml:space="preserve">A Business Analysis of Funding Activity, 2015–2020</w:t>
      </w:r>
    </w:p>
    <w:p>
      <w:pPr>
        <w:spacing w:after="40"/>
      </w:pPr>
      <w:r>
        <w:rPr>
          <w:rFonts w:ascii="Calibri" w:cs="Calibri" w:eastAsia="Calibri" w:hAnsi="Calibri"/>
          <w:color w:val="1A1A2E"/>
          <w:sz w:val="20"/>
          <w:szCs w:val="20"/>
        </w:rPr>
        <w:t xml:space="preserve">Prepared by: Kishan Yadav</w:t>
      </w:r>
    </w:p>
    <w:p>
      <w:pPr>
        <w:spacing w:after="40"/>
      </w:pPr>
      <w:r>
        <w:rPr>
          <w:rFonts w:ascii="Calibri" w:cs="Calibri" w:eastAsia="Calibri" w:hAnsi="Calibri"/>
          <w:color w:val="1A1A2E"/>
          <w:sz w:val="20"/>
          <w:szCs w:val="20"/>
        </w:rPr>
        <w:t xml:space="preserve">Data Analyst Portfolio Project</w:t>
      </w:r>
    </w:p>
    <w:p>
      <w:pPr>
        <w:pBdr>
          <w:bottom w:val="single" w:color="E0E0E0" w:sz="6" w:space="4"/>
        </w:pBdr>
        <w:spacing w:after="320"/>
      </w:pPr>
      <w:r>
        <w:rPr>
          <w:rFonts w:ascii="Calibri" w:cs="Calibri" w:eastAsia="Calibri" w:hAnsi="Calibri"/>
          <w:i/>
          <w:iCs/>
          <w:color w:val="5C5C99"/>
          <w:sz w:val="20"/>
          <w:szCs w:val="20"/>
        </w:rPr>
        <w:t xml:space="preserve">Tools used: Microsoft Excel (data cleaning), Power BI (modeling &amp; dashboard)</w:t>
      </w:r>
    </w:p>
    <w:p>
      <w:pPr>
        <w:pStyle w:val="Heading1"/>
        <w:pBdr>
          <w:bottom w:val="single" w:color="2E3192" w:sz="6" w:space="4"/>
        </w:pBdr>
        <w:spacing w:after="160" w:before="360"/>
      </w:pPr>
      <w:r>
        <w:rPr>
          <w:rFonts w:ascii="Calibri" w:cs="Calibri" w:eastAsia="Calibri" w:hAnsi="Calibri"/>
          <w:b/>
          <w:bCs/>
          <w:color w:val="2E3192"/>
          <w:sz w:val="28"/>
          <w:szCs w:val="28"/>
        </w:rPr>
        <w:t xml:space="preserve">Executive Summary</w:t>
      </w:r>
    </w:p>
    <w:p>
      <w:pPr>
        <w:spacing w:after="160" w:line="300"/>
      </w:pPr>
      <w:r>
        <w:rPr>
          <w:rFonts w:ascii="Calibri" w:cs="Calibri" w:eastAsia="Calibri" w:hAnsi="Calibri"/>
          <w:i w:val="false"/>
          <w:iCs w:val="false"/>
          <w:color w:val="1A1A2E"/>
          <w:sz w:val="22"/>
          <w:szCs w:val="22"/>
        </w:rPr>
        <w:t xml:space="preserve">This report looks at roughly 3,000 funding deals raised by Indian startups between 2015 and 2020, drawn from a publicly available funding dataset. The raw file arrived in rough shape — inconsistent city names, industry labels that read more like product taglines than sector tags, funding amounts stored as text, and dates with typos that broke standard parsing. Cleaning the dataset properly turned out to be a bigger part of this project than building the dashboard itself, and the decisions made during that process are documented alongside the findings below, since they affect how the numbers should be read.</w:t>
      </w:r>
    </w:p>
    <w:p>
      <w:pPr>
        <w:spacing w:after="160" w:line="300"/>
      </w:pPr>
      <w:r>
        <w:rPr>
          <w:rFonts w:ascii="Calibri" w:cs="Calibri" w:eastAsia="Calibri" w:hAnsi="Calibri"/>
          <w:i w:val="false"/>
          <w:iCs w:val="false"/>
          <w:color w:val="1A1A2E"/>
          <w:sz w:val="22"/>
          <w:szCs w:val="22"/>
        </w:rPr>
        <w:t xml:space="preserve">Total disclosed funding across the cleaned dataset comes to roughly $36.1 billion, spread across just over 3,000 deals, for an average deal size of about $18.8 million. Funding activity was heavily concentrated in a handful of cities and a handful of sectors, and a meaningful share of deals — both in city and industry fields — didn't fit into any clean, standard bucket. Those gaps are treated as findings in their own right rather than nuisances to hide.</w:t>
      </w:r>
    </w:p>
    <w:p>
      <w:pPr>
        <w:pStyle w:val="Heading1"/>
        <w:pBdr>
          <w:bottom w:val="single" w:color="2E3192" w:sz="6" w:space="4"/>
        </w:pBdr>
        <w:spacing w:after="160" w:before="360"/>
      </w:pPr>
      <w:r>
        <w:rPr>
          <w:rFonts w:ascii="Calibri" w:cs="Calibri" w:eastAsia="Calibri" w:hAnsi="Calibri"/>
          <w:b/>
          <w:bCs/>
          <w:color w:val="2E3192"/>
          <w:sz w:val="28"/>
          <w:szCs w:val="28"/>
        </w:rPr>
        <w:t xml:space="preserve">Objective &amp; Scope</w:t>
      </w:r>
    </w:p>
    <w:p>
      <w:pPr>
        <w:spacing w:after="160" w:line="300"/>
      </w:pPr>
      <w:r>
        <w:rPr>
          <w:rFonts w:ascii="Calibri" w:cs="Calibri" w:eastAsia="Calibri" w:hAnsi="Calibri"/>
          <w:i w:val="false"/>
          <w:iCs w:val="false"/>
          <w:color w:val="1A1A2E"/>
          <w:sz w:val="22"/>
          <w:szCs w:val="22"/>
        </w:rPr>
        <w:t xml:space="preserve">The goal was to turn a messy, real-world funding dataset into a set of clear answers to the questions a founder, analyst, or investor would actually ask: where is the money going, who is writing the checks, and how has activity moved over time. The analysis is built entirely from the dataset provided — it does not pull in external market sizing or news data — so its conclusions describe what this dataset shows, not the Indian startup ecosystem as a whole. Where the dataset's limitations affect how far a conclusion can be trusted, that's called out directly rather than glossed over.</w:t>
      </w:r>
    </w:p>
    <w:p>
      <w:pPr>
        <w:pStyle w:val="Heading1"/>
        <w:pBdr>
          <w:bottom w:val="single" w:color="2E3192" w:sz="6" w:space="4"/>
        </w:pBdr>
        <w:spacing w:after="160" w:before="360"/>
      </w:pPr>
      <w:r>
        <w:rPr>
          <w:rFonts w:ascii="Calibri" w:cs="Calibri" w:eastAsia="Calibri" w:hAnsi="Calibri"/>
          <w:b/>
          <w:bCs/>
          <w:color w:val="2E3192"/>
          <w:sz w:val="28"/>
          <w:szCs w:val="28"/>
        </w:rPr>
        <w:t xml:space="preserve">Data Preparation — What Had to Be Fixed First</w:t>
      </w:r>
    </w:p>
    <w:p>
      <w:pPr>
        <w:spacing w:after="160" w:line="300"/>
      </w:pPr>
      <w:r>
        <w:rPr>
          <w:rFonts w:ascii="Calibri" w:cs="Calibri" w:eastAsia="Calibri" w:hAnsi="Calibri"/>
          <w:i w:val="false"/>
          <w:iCs w:val="false"/>
          <w:color w:val="1A1A2E"/>
          <w:sz w:val="22"/>
          <w:szCs w:val="22"/>
        </w:rPr>
        <w:t xml:space="preserve">Before any of the questions below could be answered, several structural problems in the raw data needed sorting out:</w:t>
      </w:r>
    </w:p>
    <w:p>
      <w:pPr>
        <w:pStyle w:val="ListParagraph"/>
        <w:numPr>
          <w:ilvl w:val="0"/>
          <w:numId w:val="1"/>
        </w:numPr>
        <w:spacing w:after="90"/>
      </w:pPr>
      <w:r>
        <w:rPr>
          <w:rFonts w:ascii="Calibri" w:cs="Calibri" w:eastAsia="Calibri" w:hAnsi="Calibri"/>
          <w:color w:val="1A1A2E"/>
          <w:sz w:val="22"/>
          <w:szCs w:val="22"/>
        </w:rPr>
        <w:t xml:space="preserve">Funding amounts were stored as text, mixed with commas, a trailing '+' on some values, and placeholder strings ('undisclosed', 'nan', 'unknown', 'N/A') — some of which carried invisible non-breaking-space characters that made even the placeholder text inconsistent.</w:t>
      </w:r>
    </w:p>
    <w:p>
      <w:pPr>
        <w:pStyle w:val="ListParagraph"/>
        <w:numPr>
          <w:ilvl w:val="0"/>
          <w:numId w:val="1"/>
        </w:numPr>
        <w:spacing w:after="90"/>
      </w:pPr>
      <w:r>
        <w:rPr>
          <w:rFonts w:ascii="Calibri" w:cs="Calibri" w:eastAsia="Calibri" w:hAnsi="Calibri"/>
          <w:color w:val="1A1A2E"/>
          <w:sz w:val="22"/>
          <w:szCs w:val="22"/>
        </w:rPr>
        <w:t xml:space="preserve">City names had three separate problems layered on top of each other: spelling variants (Bangalore vs Bengaluru, Delhi vs New Delhi vs Nw Delhi), neighbourhood-level entries standing in for the city (Koramangala, Andheri, Chembur), and state- or country-level entries with no usable city at all (Karnataka, USA, India).</w:t>
      </w:r>
    </w:p>
    <w:p>
      <w:pPr>
        <w:pStyle w:val="ListParagraph"/>
        <w:numPr>
          <w:ilvl w:val="0"/>
          <w:numId w:val="1"/>
        </w:numPr>
        <w:spacing w:after="90"/>
      </w:pPr>
      <w:r>
        <w:rPr>
          <w:rFonts w:ascii="Calibri" w:cs="Calibri" w:eastAsia="Calibri" w:hAnsi="Calibri"/>
          <w:color w:val="1A1A2E"/>
          <w:sz w:val="22"/>
          <w:szCs w:val="22"/>
        </w:rPr>
        <w:t xml:space="preserve">A number of city and investor fields packed multiple values into a single cell using inconsistent separators — commas, slashes, ampersands, and the word 'and' all showed up as delimiters in the same column.</w:t>
      </w:r>
    </w:p>
    <w:p>
      <w:pPr>
        <w:pStyle w:val="ListParagraph"/>
        <w:numPr>
          <w:ilvl w:val="0"/>
          <w:numId w:val="1"/>
        </w:numPr>
        <w:spacing w:after="90"/>
      </w:pPr>
      <w:r>
        <w:rPr>
          <w:rFonts w:ascii="Calibri" w:cs="Calibri" w:eastAsia="Calibri" w:hAnsi="Calibri"/>
          <w:color w:val="1A1A2E"/>
          <w:sz w:val="22"/>
          <w:szCs w:val="22"/>
        </w:rPr>
        <w:t xml:space="preserve">The Industry Vertical field had over 500 unique values, but most of that variety wasn't genuine sector diversity — it was founders describing their product in a sentence rather than naming a category (e.g. 'Chat based personal Assistant App', 'Online RTI application services').</w:t>
      </w:r>
    </w:p>
    <w:p>
      <w:pPr>
        <w:pStyle w:val="ListParagraph"/>
        <w:numPr>
          <w:ilvl w:val="0"/>
          <w:numId w:val="1"/>
        </w:numPr>
        <w:spacing w:after="90"/>
      </w:pPr>
      <w:r>
        <w:rPr>
          <w:rFonts w:ascii="Calibri" w:cs="Calibri" w:eastAsia="Calibri" w:hAnsi="Calibri"/>
          <w:color w:val="1A1A2E"/>
          <w:sz w:val="22"/>
          <w:szCs w:val="22"/>
        </w:rPr>
        <w:t xml:space="preserve">A handful of dates were typed without the separating slash (05/072018 instead of 05/07/2018), which silently broke date parsing until caught.</w:t>
      </w:r>
    </w:p>
    <w:p>
      <w:pPr>
        <w:spacing w:after="160" w:line="300"/>
      </w:pPr>
      <w:r>
        <w:rPr>
          <w:rFonts w:ascii="Calibri" w:cs="Calibri" w:eastAsia="Calibri" w:hAnsi="Calibri"/>
          <w:i w:val="false"/>
          <w:iCs w:val="false"/>
          <w:color w:val="1A1A2E"/>
          <w:sz w:val="22"/>
          <w:szCs w:val="22"/>
        </w:rPr>
        <w:t xml:space="preserve">Amounts were converted to numeric using an explicit disclosure flag rather than deleting undisclosed rows outright, so the rate of non-disclosure could be measured instead of erased. City names were standardized through a mapping table that separately handled spelling, neighbourhood-to-city rollups, and a 'Not Specified' bucket for state/country-only entries. Industry names were consolidated the same way, but with a twist: after mapping the clearly recognizable sector names, roughly 27% of records still didn't match anything on the standard list. Rather than forcing a fit, those were grouped into an explicit 'Other/Niche' bucket, which is itself a finding — see the industry question below.</w:t>
      </w:r>
    </w:p>
    <w:p>
      <w:pPr>
        <w:pStyle w:val="Heading1"/>
        <w:pBdr>
          <w:bottom w:val="single" w:color="2E3192" w:sz="6" w:space="4"/>
        </w:pBdr>
        <w:spacing w:after="160" w:before="360"/>
      </w:pPr>
      <w:r>
        <w:rPr>
          <w:rFonts w:ascii="Calibri" w:cs="Calibri" w:eastAsia="Calibri" w:hAnsi="Calibri"/>
          <w:b/>
          <w:bCs/>
          <w:color w:val="2E3192"/>
          <w:sz w:val="28"/>
          <w:szCs w:val="28"/>
        </w:rPr>
        <w:t xml:space="preserve">Business Questions &amp; Findings</w:t>
      </w:r>
    </w:p>
    <w:p>
      <w:pPr>
        <w:spacing w:after="100" w:before="300"/>
      </w:pPr>
      <w:r>
        <w:rPr>
          <w:rFonts w:ascii="Calibri" w:cs="Calibri" w:eastAsia="Calibri" w:hAnsi="Calibri"/>
          <w:b/>
          <w:bCs/>
          <w:color w:val="2E3192"/>
          <w:sz w:val="23"/>
          <w:szCs w:val="23"/>
        </w:rPr>
        <w:t xml:space="preserve">Q1. How did startup funding activity move between 2015 and 2020, and what does the pattern suggest?</w:t>
      </w:r>
    </w:p>
    <w:p>
      <w:pPr>
        <w:spacing w:after="160" w:line="300"/>
      </w:pPr>
      <w:r>
        <w:rPr>
          <w:rFonts w:ascii="Calibri" w:cs="Calibri" w:eastAsia="Calibri" w:hAnsi="Calibri"/>
          <w:b/>
          <w:bCs/>
          <w:color w:val="F26430"/>
          <w:sz w:val="22"/>
          <w:szCs w:val="22"/>
        </w:rPr>
        <w:t xml:space="preserve">Answer: </w:t>
      </w:r>
      <w:r>
        <w:rPr>
          <w:rFonts w:ascii="Calibri" w:cs="Calibri" w:eastAsia="Calibri" w:hAnsi="Calibri"/>
          <w:color w:val="1A1A2E"/>
          <w:sz w:val="22"/>
          <w:szCs w:val="22"/>
        </w:rPr>
        <w:t xml:space="preserve">Funding was anything but steady. The dataset shows roughly $7.3 billion in 2015, a drop to about $3.8 billion in 2016, a sharp rebound to $10.4 billion in 2017 — the peak year — then a pullback to roughly $4.8 billion in 2018, a second strong year at about $9.4 billion in 2019, and a near-collapse to $0.4 billion in 2020. That last figure needs a caveat: the 2020 data in this file only covers part of the year, so it reads as a cliff-edge drop when it's really an incomplete year of records. Treating 2020 as a comparable full year would badly misstate the trend, and that caveat belongs next to the chart, not buried in a footnote. Setting 2020 aside, the pattern that remains — strong-weak-strong-weak — looks less like organic growth and more like a market that moves in bursts tied to a small number of very large rounds landing in a given year.</w:t>
      </w:r>
    </w:p>
    <w:p>
      <w:pPr>
        <w:spacing w:after="100" w:before="300"/>
      </w:pPr>
      <w:r>
        <w:rPr>
          <w:rFonts w:ascii="Calibri" w:cs="Calibri" w:eastAsia="Calibri" w:hAnsi="Calibri"/>
          <w:b/>
          <w:bCs/>
          <w:color w:val="2E3192"/>
          <w:sz w:val="23"/>
          <w:szCs w:val="23"/>
        </w:rPr>
        <w:t xml:space="preserve">Q2. Which cities lead India's startup funding, and what does that concentration say about the ecosystem?</w:t>
      </w:r>
    </w:p>
    <w:p>
      <w:pPr>
        <w:spacing w:after="160" w:line="300"/>
      </w:pPr>
      <w:r>
        <w:rPr>
          <w:rFonts w:ascii="Calibri" w:cs="Calibri" w:eastAsia="Calibri" w:hAnsi="Calibri"/>
          <w:b/>
          <w:bCs/>
          <w:color w:val="F26430"/>
          <w:sz w:val="22"/>
          <w:szCs w:val="22"/>
        </w:rPr>
        <w:t xml:space="preserve">Answer: </w:t>
      </w:r>
      <w:r>
        <w:rPr>
          <w:rFonts w:ascii="Calibri" w:cs="Calibri" w:eastAsia="Calibri" w:hAnsi="Calibri"/>
          <w:color w:val="1A1A2E"/>
          <w:sz w:val="22"/>
          <w:szCs w:val="22"/>
        </w:rPr>
        <w:t xml:space="preserve">Bengaluru sits well ahead of every other city in total funding raised, with Mumbai, Gurgaon, and New Delhi forming a distant second tier. Smaller but still visible activity shows up in Noida, Chennai, and Pune, and a thin trail of funding lands outside India altogether — Menlo Park and a few other international entries reflect startups that were incorporated or headquartered abroad while still being counted in this dataset. A 'Not Specified' bucket also shows up in the city ranking — these are records where the original field only gave a state or country (Karnataka, USA, India) rather than an actual city, and rather than guessing, that ambiguity was preserved as its own category. The overall picture is one of heavy concentration: capital is not spreading evenly across India's startup hubs, it's clustering around Bengaluru specifically, with the NCR region (Gurgaon plus Delhi) as the clearest second center of gravity.</w:t>
      </w:r>
    </w:p>
    <w:p>
      <w:pPr>
        <w:spacing w:after="100" w:before="300"/>
      </w:pPr>
      <w:r>
        <w:rPr>
          <w:rFonts w:ascii="Calibri" w:cs="Calibri" w:eastAsia="Calibri" w:hAnsi="Calibri"/>
          <w:b/>
          <w:bCs/>
          <w:color w:val="2E3192"/>
          <w:sz w:val="23"/>
          <w:szCs w:val="23"/>
        </w:rPr>
        <w:t xml:space="preserve">Q3. Which sectors attracted the most capital, and what does the long tail of 'Other/Niche' actually mean?</w:t>
      </w:r>
    </w:p>
    <w:p>
      <w:pPr>
        <w:spacing w:after="160" w:line="300"/>
      </w:pPr>
      <w:r>
        <w:rPr>
          <w:rFonts w:ascii="Calibri" w:cs="Calibri" w:eastAsia="Calibri" w:hAnsi="Calibri"/>
          <w:b/>
          <w:bCs/>
          <w:color w:val="F26430"/>
          <w:sz w:val="22"/>
          <w:szCs w:val="22"/>
        </w:rPr>
        <w:t xml:space="preserve">Answer: </w:t>
      </w:r>
      <w:r>
        <w:rPr>
          <w:rFonts w:ascii="Calibri" w:cs="Calibri" w:eastAsia="Calibri" w:hAnsi="Calibri"/>
          <w:color w:val="1A1A2E"/>
          <w:sz w:val="22"/>
          <w:szCs w:val="22"/>
        </w:rPr>
        <w:t xml:space="preserve">E-Commerce and Consumer Internet lead by a clear margin, followed by Transportation, Technology, and FinTech. That much is a fairly standard result for an India-focused funding dataset from this period. The more interesting finding is what happened to the roughly 27% of records that didn't map cleanly to any of those categories. Digging into that group shows it isn't a random data-quality problem — it's a pattern in how the source data was originally entered. A large share of those records used the Industry Vertical field to describe the product rather than name the sector: entries like 'Splitting Bills Mobile App' or 'Online RTI application services' are specific enough to tell you what the company does, but not standardized enough to compare against 'FinTech' or 'Consumer Internet' in a chart. That's a data-entry issue at the source, not something a mapping table can fully resolve without either an editorial judgment call on hundreds of one-off descriptions, or accepting the 'Other/Niche' bucket as an honest reflection of the data's limits. This analysis took the second option.</w:t>
      </w:r>
    </w:p>
    <w:p>
      <w:pPr>
        <w:spacing w:after="100" w:before="300"/>
      </w:pPr>
      <w:r>
        <w:rPr>
          <w:rFonts w:ascii="Calibri" w:cs="Calibri" w:eastAsia="Calibri" w:hAnsi="Calibri"/>
          <w:b/>
          <w:bCs/>
          <w:color w:val="2E3192"/>
          <w:sz w:val="23"/>
          <w:szCs w:val="23"/>
        </w:rPr>
        <w:t xml:space="preserve">Q4. Who are the most active investors, and are the most frequent investors also the biggest spenders?</w:t>
      </w:r>
    </w:p>
    <w:p>
      <w:pPr>
        <w:spacing w:after="160" w:line="300"/>
      </w:pPr>
      <w:r>
        <w:rPr>
          <w:rFonts w:ascii="Calibri" w:cs="Calibri" w:eastAsia="Calibri" w:hAnsi="Calibri"/>
          <w:b/>
          <w:bCs/>
          <w:color w:val="F26430"/>
          <w:sz w:val="22"/>
          <w:szCs w:val="22"/>
        </w:rPr>
        <w:t xml:space="preserve">Answer: </w:t>
      </w:r>
      <w:r>
        <w:rPr>
          <w:rFonts w:ascii="Calibri" w:cs="Calibri" w:eastAsia="Calibri" w:hAnsi="Calibri"/>
          <w:color w:val="1A1A2E"/>
          <w:sz w:val="22"/>
          <w:szCs w:val="22"/>
        </w:rPr>
        <w:t xml:space="preserve">No — and that gap is one of the more useful findings in this dataset. By deal count, the most active named investors are venture firms writing a large number of smaller checks: Accel Partners appears in 46 deals, Sequoia Capital in 43, Indian Angel Network in 35, Kalaari Capital in 32, and Ratan Tata — investing individually rather than through a fund — in 29. By total capital deployed, a different set of names leads: Westbridge Capital tops the ranking, with SoftBank (across its various entities), Microsoft, Alibaba, and Altimeter Capital close behind. These are largely strategic or late-stage investors making a smaller number of very large bets rather than a broad portfolio of smaller ones. The practical read: 'most active' and 'highest-value' are two different questions with two different answers, and a dashboard — or a report — that only shows one of them gives an incomplete picture of who actually shapes this market.</w:t>
      </w:r>
    </w:p>
    <w:p>
      <w:pPr>
        <w:spacing w:after="100" w:before="300"/>
      </w:pPr>
      <w:r>
        <w:rPr>
          <w:rFonts w:ascii="Calibri" w:cs="Calibri" w:eastAsia="Calibri" w:hAnsi="Calibri"/>
          <w:b/>
          <w:bCs/>
          <w:color w:val="2E3192"/>
          <w:sz w:val="23"/>
          <w:szCs w:val="23"/>
        </w:rPr>
        <w:t xml:space="preserve">Q5. How much of the funding data is undisclosed, and how does that affect confidence in the headline numbers?</w:t>
      </w:r>
    </w:p>
    <w:p>
      <w:pPr>
        <w:spacing w:after="160" w:line="300"/>
      </w:pPr>
      <w:r>
        <w:rPr>
          <w:rFonts w:ascii="Calibri" w:cs="Calibri" w:eastAsia="Calibri" w:hAnsi="Calibri"/>
          <w:b/>
          <w:bCs/>
          <w:color w:val="F26430"/>
          <w:sz w:val="22"/>
          <w:szCs w:val="22"/>
        </w:rPr>
        <w:t xml:space="preserve">Answer: </w:t>
      </w:r>
      <w:r>
        <w:rPr>
          <w:rFonts w:ascii="Calibri" w:cs="Calibri" w:eastAsia="Calibri" w:hAnsi="Calibri"/>
          <w:color w:val="1A1A2E"/>
          <w:sz w:val="22"/>
          <w:szCs w:val="22"/>
        </w:rPr>
        <w:t xml:space="preserve">A meaningful share of deals list no disclosed amount at all — recorded under variants of 'undisclosed,' 'unknown,' 'N/A,' or missing entirely. Rather than dropping these rows, they were flagged with an explicit Is_Disclosed marker so the rate of non-disclosure is itself measurable and visible, instead of quietly disappearing from the total. This matters for how the headline $36.1 billion figure should be read: it is the sum of disclosed deals only, and the true total capital raised is certainly higher. Any comparison across years or cities also inherits this bias — if disclosure rates differ across time periods or geographies (which is plausible, since large strategic deals are sometimes disclosed while smaller angel rounds often aren't), the visible totals could understate certain segments more than others. This is flagged as a limitation rather than corrected for, because there's no reliable way to estimate undisclosed amounts from this dataset alone.</w:t>
      </w:r>
    </w:p>
    <w:p>
      <w:pPr>
        <w:spacing w:after="100" w:before="300"/>
      </w:pPr>
      <w:r>
        <w:rPr>
          <w:rFonts w:ascii="Calibri" w:cs="Calibri" w:eastAsia="Calibri" w:hAnsi="Calibri"/>
          <w:b/>
          <w:bCs/>
          <w:color w:val="2E3192"/>
          <w:sz w:val="23"/>
          <w:szCs w:val="23"/>
        </w:rPr>
        <w:t xml:space="preserve">Q6. Is there a difference between analyzing this at the deal level versus the investor level?</w:t>
      </w:r>
    </w:p>
    <w:p>
      <w:pPr>
        <w:spacing w:after="160" w:line="300"/>
      </w:pPr>
      <w:r>
        <w:rPr>
          <w:rFonts w:ascii="Calibri" w:cs="Calibri" w:eastAsia="Calibri" w:hAnsi="Calibri"/>
          <w:b/>
          <w:bCs/>
          <w:color w:val="F26430"/>
          <w:sz w:val="22"/>
          <w:szCs w:val="22"/>
        </w:rPr>
        <w:t xml:space="preserve">Answer: </w:t>
      </w:r>
      <w:r>
        <w:rPr>
          <w:rFonts w:ascii="Calibri" w:cs="Calibri" w:eastAsia="Calibri" w:hAnsi="Calibri"/>
          <w:color w:val="1A1A2E"/>
          <w:sz w:val="22"/>
          <w:szCs w:val="22"/>
        </w:rPr>
        <w:t xml:space="preserve">Yes, and it's worth being precise about it. A number of deals in this dataset list multiple co-investors in a single row (for example, a Series C round backed jointly by three or four firms). To analyze investor-level activity — which firm shows up most often, which firm has deployed the most capital — those rows were split so each investor gets their own record against the same deal. That step is necessary for investor-level questions, but it also means the investor table's funding total is not the same number as the deal-level funding total: a $50 million round with three investors listed contributes $50 million three times to the investor-level sum, once per investor, because each of those investors was genuinely part of that capital. That is why the investor page's total ($38.1 billion across investor-deal pairs) runs higher than the deal-level total ($36.1 billion) — the difference isn't an error, it reflects overlapping participation in multi-investor rounds, and the two totals answer different questions.</w:t>
      </w:r>
    </w:p>
    <w:p>
      <w:pPr>
        <w:spacing w:after="100" w:before="300"/>
      </w:pPr>
      <w:r>
        <w:rPr>
          <w:rFonts w:ascii="Calibri" w:cs="Calibri" w:eastAsia="Calibri" w:hAnsi="Calibri"/>
          <w:b/>
          <w:bCs/>
          <w:color w:val="2E3192"/>
          <w:sz w:val="23"/>
          <w:szCs w:val="23"/>
        </w:rPr>
        <w:t xml:space="preserve">Q7. What data-quality caveats should someone reviewing this dashboard keep in mind?</w:t>
      </w:r>
    </w:p>
    <w:p>
      <w:pPr>
        <w:spacing w:after="160" w:line="300"/>
      </w:pPr>
      <w:r>
        <w:rPr>
          <w:rFonts w:ascii="Calibri" w:cs="Calibri" w:eastAsia="Calibri" w:hAnsi="Calibri"/>
          <w:b/>
          <w:bCs/>
          <w:color w:val="F26430"/>
          <w:sz w:val="22"/>
          <w:szCs w:val="22"/>
        </w:rPr>
        <w:t xml:space="preserve">Answer: </w:t>
      </w:r>
      <w:r>
        <w:rPr>
          <w:rFonts w:ascii="Calibri" w:cs="Calibri" w:eastAsia="Calibri" w:hAnsi="Calibri"/>
          <w:color w:val="1A1A2E"/>
          <w:sz w:val="22"/>
          <w:szCs w:val="22"/>
        </w:rPr>
        <w:t xml:space="preserve">A few things, in order of how much they matter. First, 2020 is a partial year and should not be compared directly against full years without that caveat attached. Second, the 27% 'Other/Niche' industry bucket is a genuine reflection of inconsistent source data, not a cleaning shortcut — it should be read as 'sector unclear from the data provided,' not as its own meaningful category. Third, city and investor placeholder labels ('Undisclosed Investors,' 'Undisclosed Investor,' and 'N/A' in the investor field) were still appearing as separate entries at the time this report was written rather than being fully consolidated into a single placeholder category — a cleanup step worth finishing before drawing firm conclusions about investor rankings near the bottom of that list. Finally, the entire analysis rests on disclosed amounts only, per the answer to Q5 above.</w:t>
      </w:r>
    </w:p>
    <w:p>
      <w:pPr>
        <w:pStyle w:val="Heading1"/>
        <w:pBdr>
          <w:bottom w:val="single" w:color="2E3192" w:sz="6" w:space="4"/>
        </w:pBdr>
        <w:spacing w:after="160" w:before="360"/>
      </w:pPr>
      <w:r>
        <w:rPr>
          <w:rFonts w:ascii="Calibri" w:cs="Calibri" w:eastAsia="Calibri" w:hAnsi="Calibri"/>
          <w:b/>
          <w:bCs/>
          <w:color w:val="2E3192"/>
          <w:sz w:val="28"/>
          <w:szCs w:val="28"/>
        </w:rPr>
        <w:t xml:space="preserve">Suggested Next Steps</w:t>
      </w:r>
    </w:p>
    <w:p>
      <w:pPr>
        <w:spacing w:after="160" w:line="300"/>
      </w:pPr>
      <w:r>
        <w:rPr>
          <w:rFonts w:ascii="Calibri" w:cs="Calibri" w:eastAsia="Calibri" w:hAnsi="Calibri"/>
          <w:i w:val="false"/>
          <w:iCs w:val="false"/>
          <w:color w:val="1A1A2E"/>
          <w:sz w:val="22"/>
          <w:szCs w:val="22"/>
        </w:rPr>
        <w:t xml:space="preserve">A few extensions would deepen this analysis if it were carried further:</w:t>
      </w:r>
    </w:p>
    <w:p>
      <w:pPr>
        <w:pStyle w:val="ListParagraph"/>
        <w:numPr>
          <w:ilvl w:val="0"/>
          <w:numId w:val="1"/>
        </w:numPr>
        <w:spacing w:after="90"/>
      </w:pPr>
      <w:r>
        <w:rPr>
          <w:rFonts w:ascii="Calibri" w:cs="Calibri" w:eastAsia="Calibri" w:hAnsi="Calibri"/>
          <w:color w:val="1A1A2E"/>
          <w:sz w:val="22"/>
          <w:szCs w:val="22"/>
        </w:rPr>
        <w:t xml:space="preserve">Break funding down by investment stage (Seed, Series A/B/C, Private Equity) — the raw InvestmentType field supports this and wasn't fully explored here.</w:t>
      </w:r>
    </w:p>
    <w:p>
      <w:pPr>
        <w:pStyle w:val="ListParagraph"/>
        <w:numPr>
          <w:ilvl w:val="0"/>
          <w:numId w:val="1"/>
        </w:numPr>
        <w:spacing w:after="90"/>
      </w:pPr>
      <w:r>
        <w:rPr>
          <w:rFonts w:ascii="Calibri" w:cs="Calibri" w:eastAsia="Calibri" w:hAnsi="Calibri"/>
          <w:color w:val="1A1A2E"/>
          <w:sz w:val="22"/>
          <w:szCs w:val="22"/>
        </w:rPr>
        <w:t xml:space="preserve">Finish consolidating the placeholder investor labels ('Undisclosed Investors' / 'Undisclosed Investor' / 'N/A') into a single category so they don't dilute the ranking of genuine investors near the bottom of the list.</w:t>
      </w:r>
    </w:p>
    <w:p>
      <w:pPr>
        <w:pStyle w:val="ListParagraph"/>
        <w:numPr>
          <w:ilvl w:val="0"/>
          <w:numId w:val="1"/>
        </w:numPr>
        <w:spacing w:after="90"/>
      </w:pPr>
      <w:r>
        <w:rPr>
          <w:rFonts w:ascii="Calibri" w:cs="Calibri" w:eastAsia="Calibri" w:hAnsi="Calibri"/>
          <w:color w:val="1A1A2E"/>
          <w:sz w:val="22"/>
          <w:szCs w:val="22"/>
        </w:rPr>
        <w:t xml:space="preserve">Layer in a second data source with founding dates or headcount to test whether city concentration reflects where startups are founded, or just where later-stage capital tends to land.</w:t>
      </w:r>
    </w:p>
    <w:p>
      <w:pPr>
        <w:pStyle w:val="ListParagraph"/>
        <w:numPr>
          <w:ilvl w:val="0"/>
          <w:numId w:val="1"/>
        </w:numPr>
        <w:spacing w:after="90"/>
      </w:pPr>
      <w:r>
        <w:rPr>
          <w:rFonts w:ascii="Calibri" w:cs="Calibri" w:eastAsia="Calibri" w:hAnsi="Calibri"/>
          <w:color w:val="1A1A2E"/>
          <w:sz w:val="22"/>
          <w:szCs w:val="22"/>
        </w:rPr>
        <w:t xml:space="preserve">If a more recent version of this dataset becomes available, extending the timeline past the partial 2020 data would let the post-2020 trend actually be assessed rather than guessed at.</w:t>
      </w:r>
    </w:p>
    <w:p>
      <w:pPr>
        <w:pStyle w:val="Heading1"/>
        <w:pBdr>
          <w:bottom w:val="single" w:color="2E3192" w:sz="6" w:space="4"/>
        </w:pBdr>
        <w:spacing w:after="160" w:before="360"/>
      </w:pPr>
      <w:r>
        <w:rPr>
          <w:rFonts w:ascii="Calibri" w:cs="Calibri" w:eastAsia="Calibri" w:hAnsi="Calibri"/>
          <w:b/>
          <w:bCs/>
          <w:color w:val="2E3192"/>
          <w:sz w:val="28"/>
          <w:szCs w:val="28"/>
        </w:rPr>
        <w:t xml:space="preserve">Closing Note</w:t>
      </w:r>
    </w:p>
    <w:p>
      <w:pPr>
        <w:spacing w:after="160" w:line="300"/>
      </w:pPr>
      <w:r>
        <w:rPr>
          <w:rFonts w:ascii="Calibri" w:cs="Calibri" w:eastAsia="Calibri" w:hAnsi="Calibri"/>
          <w:i w:val="false"/>
          <w:iCs w:val="false"/>
          <w:color w:val="1A1A2E"/>
          <w:sz w:val="22"/>
          <w:szCs w:val="22"/>
        </w:rPr>
        <w:t xml:space="preserve">The headline numbers in this report — $36.1 billion, ~3,000 deals, Bengaluru and E-Commerce on top — are the kind of thing a two-minute dashboard glance would surface on its own. The more useful part of this exercise was everything underneath those numbers: figuring out that 'Consumer Internet' and 'E-Commerce' aren't the same category and shouldn't be merged, that a fifth of the industry field was unusable as a sector label, and that investor rankings change completely depending on whether you're counting deals or dollars. Those are the kinds of judgment calls a dataset this messy actually requires, and they're the reason the cleaning process took up as much of this project as the analysis itself.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2026-09-21T04:37:20.933Z</dcterms:created>
  <dcterms:modified xsi:type="dcterms:W3CDTF">2026-09-21T04:37:20.942Z</dcterms:modified>
</cp:coreProperties>
</file>

<file path=docProps/custom.xml><?xml version="1.0" encoding="utf-8"?>
<Properties xmlns="http://schemas.openxmlformats.org/officeDocument/2006/custom-properties" xmlns:vt="http://schemas.openxmlformats.org/officeDocument/2006/docPropsVTypes"/>
</file>