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400" w:before="0"/>
        <w:jc w:val="center"/>
      </w:pPr>
      <w:r>
        <w:drawing>
          <wp:inline distT="0" distB="0" distL="0" distR="0">
            <wp:extent cx="34290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1028700"/>
                    </a:xfrm>
                    <a:prstGeom prst="rect">
                      <a:avLst/>
                    </a:prstGeom>
                  </pic:spPr>
                </pic:pic>
              </a:graphicData>
            </a:graphic>
          </wp:inline>
        </w:drawing>
      </w:r>
    </w:p>
    <w:p>
      <w:pPr>
        <w:pBdr>
          <w:bottom w:val="single" w:color="1F5C99" w:sz="12" w:space="1"/>
        </w:pBdr>
        <w:spacing w:after="320" w:before="0"/>
        <w:jc w:val="center"/>
      </w:pPr>
      <w:r>
        <w:t xml:space="preserve"/>
      </w:r>
    </w:p>
    <w:p>
      <w:pPr>
        <w:spacing w:after="80" w:before="0"/>
        <w:jc w:val="center"/>
      </w:pPr>
      <w:r>
        <w:rPr>
          <w:rFonts w:ascii="Arial" w:cs="Arial" w:eastAsia="Arial" w:hAnsi="Arial"/>
          <w:b/>
          <w:bCs/>
          <w:color w:val="1F5C99"/>
          <w:sz w:val="56"/>
          <w:szCs w:val="56"/>
        </w:rPr>
        <w:t xml:space="preserve">STOCK MARKET ANALYSIS</w:t>
      </w:r>
    </w:p>
    <w:p>
      <w:pPr>
        <w:spacing w:after="200" w:before="0"/>
        <w:jc w:val="center"/>
      </w:pPr>
      <w:r>
        <w:rPr>
          <w:rFonts w:ascii="Arial" w:cs="Arial" w:eastAsia="Arial" w:hAnsi="Arial"/>
          <w:b/>
          <w:bCs/>
          <w:color w:val="1F5C99"/>
          <w:sz w:val="56"/>
          <w:szCs w:val="56"/>
        </w:rPr>
        <w:t xml:space="preserve">&amp; PRICE FORECASTING</w:t>
      </w:r>
    </w:p>
    <w:p>
      <w:pPr>
        <w:spacing w:after="280" w:before="0"/>
        <w:jc w:val="center"/>
      </w:pPr>
      <w:r>
        <w:rPr>
          <w:rFonts w:ascii="Arial" w:cs="Arial" w:eastAsia="Arial" w:hAnsi="Arial"/>
          <w:i/>
          <w:iCs/>
          <w:color w:val="555555"/>
          <w:sz w:val="30"/>
          <w:szCs w:val="30"/>
        </w:rPr>
        <w:t xml:space="preserve">Data Analytics Project Report</w:t>
      </w:r>
    </w:p>
    <w:p>
      <w:pPr>
        <w:pBdr>
          <w:top w:val="single" w:color="1F5C99" w:sz="4" w:space="1"/>
          <w:bottom w:val="single" w:color="1F5C99" w:sz="4" w:space="1"/>
        </w:pBdr>
        <w:spacing w:after="160" w:before="160"/>
        <w:jc w:val="center"/>
      </w:pPr>
      <w:r>
        <w:rPr>
          <w:rFonts w:ascii="Arial" w:cs="Arial" w:eastAsia="Arial" w:hAnsi="Arial"/>
          <w:b/>
          <w:bCs/>
          <w:color w:val="1F5C99"/>
          <w:sz w:val="22"/>
          <w:szCs w:val="22"/>
        </w:rPr>
        <w:t xml:space="preserve">Python  |  Power BI  |  Prophet  |  yfinance  |  NSE: RELIANCE.NS</w:t>
      </w:r>
    </w:p>
    <w:p>
      <w:pPr>
        <w:pBdr>
          <w:bottom w:val="single" w:color="CCCCCC" w:sz="4" w:space="1"/>
        </w:pBdr>
        <w:spacing w:after="0" w:before="240"/>
        <w:jc w:val="center"/>
      </w:pPr>
      <w:r>
        <w:t xml:space="preserve"/>
      </w:r>
    </w:p>
    <w:p>
      <w:pPr>
        <w:spacing w:after="0" w:before="160"/>
        <w:jc w:val="center"/>
      </w:pPr>
      <w:r>
        <w:rPr>
          <w:rFonts w:ascii="Arial" w:cs="Arial" w:eastAsia="Arial" w:hAnsi="Arial"/>
          <w:color w:val="888888"/>
          <w:sz w:val="22"/>
          <w:szCs w:val="22"/>
        </w:rPr>
        <w:t xml:space="preserve">Academic Year  2024 – 2025</w:t>
      </w:r>
    </w:p>
    <w:p>
      <w:r>
        <w:br w:type="page"/>
      </w:r>
    </w:p>
    <w:p>
      <w:pPr>
        <w:pStyle w:val="Heading1"/>
        <w:pBdr>
          <w:bottom w:val="single" w:color="1F5C99" w:sz="6" w:space="4"/>
        </w:pBdr>
        <w:spacing w:after="160" w:before="360"/>
      </w:pPr>
      <w:r>
        <w:rPr>
          <w:rFonts w:ascii="Arial" w:cs="Arial" w:eastAsia="Arial" w:hAnsi="Arial"/>
          <w:b/>
          <w:bCs/>
          <w:color w:val="1F5C99"/>
          <w:sz w:val="32"/>
          <w:szCs w:val="32"/>
        </w:rPr>
        <w:t xml:space="preserve">1. Executive Summary</w:t>
      </w:r>
    </w:p>
    <w:p>
      <w:pPr>
        <w:spacing w:after="80" w:before="60"/>
        <w:jc w:val="both"/>
      </w:pPr>
      <w:r>
        <w:rPr>
          <w:rFonts w:ascii="Arial" w:cs="Arial" w:eastAsia="Arial" w:hAnsi="Arial"/>
          <w:color w:val="333333"/>
          <w:sz w:val="22"/>
          <w:szCs w:val="22"/>
        </w:rPr>
        <w:t xml:space="preserve">This report presents a comprehensive data analytics project focused on Reliance Industries Limited (NSE: RELIANCE.NS), India's largest publicly listed conglomerate. The project leverages Python-based data science tools and Power BI to perform historical stock analysis, technical indicator computation, and a 30-day price forecast using the Facebook Prophet time series model.</w:t>
      </w:r>
    </w:p>
    <w:p>
      <w:pPr>
        <w:spacing w:after="60" w:before="60"/>
      </w:pPr>
      <w:r>
        <w:t xml:space="preserve"/>
      </w:r>
    </w:p>
    <w:p>
      <w:pPr>
        <w:spacing w:after="80" w:before="60"/>
        <w:jc w:val="both"/>
      </w:pPr>
      <w:r>
        <w:rPr>
          <w:rFonts w:ascii="Arial" w:cs="Arial" w:eastAsia="Arial" w:hAnsi="Arial"/>
          <w:color w:val="333333"/>
          <w:sz w:val="22"/>
          <w:szCs w:val="22"/>
        </w:rPr>
        <w:t xml:space="preserve">The analysis covers a two-year period from January 2023 to January 2025, processing over 500 trading days of Open-High-Low-Close-Volume (OHLCV) data. The study demonstrates the practical application of data analytics in financial markets — from raw data acquisition through APIs to interactive Power BI dashboards.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Close Price</w:t>
            </w:r>
          </w:p>
        </w:tc>
        <w:tc>
          <w:tcPr>
            <w:tcW w:type="dxa" w:w="234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Max Daily Gain</w:t>
            </w:r>
          </w:p>
        </w:tc>
        <w:tc>
          <w:tcPr>
            <w:tcW w:type="dxa" w:w="234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Max Daily Loss</w:t>
            </w:r>
          </w:p>
        </w:tc>
        <w:tc>
          <w:tcPr>
            <w:tcW w:type="dxa" w:w="2340"/>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Forecast Horizon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A1A2E"/>
                <w:sz w:val="22"/>
                <w:szCs w:val="22"/>
              </w:rPr>
              <w:t xml:space="preserve">~INR 2,631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A1A2E"/>
                <w:sz w:val="22"/>
                <w:szCs w:val="22"/>
              </w:rPr>
              <w:t xml:space="preserve">+4.8%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A1A2E"/>
                <w:sz w:val="22"/>
                <w:szCs w:val="22"/>
              </w:rPr>
              <w:t xml:space="preserve">-3.9%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A1A2E"/>
                <w:sz w:val="22"/>
                <w:szCs w:val="22"/>
              </w:rPr>
              <w:t xml:space="preserve">30 Days</w:t>
            </w:r>
          </w:p>
        </w:tc>
      </w:tr>
    </w:tbl>
    <w:p>
      <w:pPr>
        <w:spacing w:after="60" w:before="60"/>
      </w:pPr>
      <w:r>
        <w:t xml:space="preserve"/>
      </w:r>
    </w:p>
    <w:p>
      <w:pPr>
        <w:spacing w:after="60" w:before="60"/>
      </w:pPr>
      <w:r>
        <w:t xml:space="preserve"/>
      </w:r>
    </w:p>
    <w:p>
      <w:pPr>
        <w:pBdr>
          <w:bottom w:val="single" w:color="DDDDDD" w:sz="2" w:space="1"/>
        </w:pBdr>
        <w:spacing w:after="120" w:before="12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2. Project Overview</w:t>
      </w:r>
    </w:p>
    <w:p>
      <w:pPr>
        <w:pStyle w:val="Heading2"/>
        <w:spacing w:after="120" w:before="280"/>
      </w:pPr>
      <w:r>
        <w:rPr>
          <w:rFonts w:ascii="Arial" w:cs="Arial" w:eastAsia="Arial" w:hAnsi="Arial"/>
          <w:b/>
          <w:bCs/>
          <w:color w:val="1A1A2E"/>
          <w:sz w:val="26"/>
          <w:szCs w:val="26"/>
        </w:rPr>
        <w:t xml:space="preserve">2.1 Objectives</w:t>
      </w:r>
    </w:p>
    <w:p>
      <w:pPr>
        <w:pStyle w:val="ListParagraph"/>
        <w:numPr>
          <w:ilvl w:val="0"/>
          <w:numId w:val="2"/>
        </w:numPr>
        <w:spacing w:after="40" w:before="40"/>
      </w:pPr>
      <w:r>
        <w:rPr>
          <w:rFonts w:ascii="Arial" w:cs="Arial" w:eastAsia="Arial" w:hAnsi="Arial"/>
          <w:color w:val="333333"/>
          <w:sz w:val="22"/>
          <w:szCs w:val="22"/>
        </w:rPr>
        <w:t xml:space="preserve">Acquire historical stock price data for Reliance Industries using the yfinance API</w:t>
      </w:r>
    </w:p>
    <w:p>
      <w:pPr>
        <w:pStyle w:val="ListParagraph"/>
        <w:numPr>
          <w:ilvl w:val="0"/>
          <w:numId w:val="2"/>
        </w:numPr>
        <w:spacing w:after="40" w:before="40"/>
      </w:pPr>
      <w:r>
        <w:rPr>
          <w:rFonts w:ascii="Arial" w:cs="Arial" w:eastAsia="Arial" w:hAnsi="Arial"/>
          <w:color w:val="333333"/>
          <w:sz w:val="22"/>
          <w:szCs w:val="22"/>
        </w:rPr>
        <w:t xml:space="preserve">Perform exploratory data analysis (EDA) on OHLCV data</w:t>
      </w:r>
    </w:p>
    <w:p>
      <w:pPr>
        <w:pStyle w:val="ListParagraph"/>
        <w:numPr>
          <w:ilvl w:val="0"/>
          <w:numId w:val="2"/>
        </w:numPr>
        <w:spacing w:after="40" w:before="40"/>
      </w:pPr>
      <w:r>
        <w:rPr>
          <w:rFonts w:ascii="Arial" w:cs="Arial" w:eastAsia="Arial" w:hAnsi="Arial"/>
          <w:color w:val="333333"/>
          <w:sz w:val="22"/>
          <w:szCs w:val="22"/>
        </w:rPr>
        <w:t xml:space="preserve">Compute technical indicators: 20-Day and 50-Day Moving Averages</w:t>
      </w:r>
    </w:p>
    <w:p>
      <w:pPr>
        <w:pStyle w:val="ListParagraph"/>
        <w:numPr>
          <w:ilvl w:val="0"/>
          <w:numId w:val="2"/>
        </w:numPr>
        <w:spacing w:after="40" w:before="40"/>
      </w:pPr>
      <w:r>
        <w:rPr>
          <w:rFonts w:ascii="Arial" w:cs="Arial" w:eastAsia="Arial" w:hAnsi="Arial"/>
          <w:color w:val="333333"/>
          <w:sz w:val="22"/>
          <w:szCs w:val="22"/>
        </w:rPr>
        <w:t xml:space="preserve">Analyse daily return percentages and volatility patterns</w:t>
      </w:r>
    </w:p>
    <w:p>
      <w:pPr>
        <w:pStyle w:val="ListParagraph"/>
        <w:numPr>
          <w:ilvl w:val="0"/>
          <w:numId w:val="2"/>
        </w:numPr>
        <w:spacing w:after="40" w:before="40"/>
      </w:pPr>
      <w:r>
        <w:rPr>
          <w:rFonts w:ascii="Arial" w:cs="Arial" w:eastAsia="Arial" w:hAnsi="Arial"/>
          <w:color w:val="333333"/>
          <w:sz w:val="22"/>
          <w:szCs w:val="22"/>
        </w:rPr>
        <w:t xml:space="preserve">Build a 30-day price forecast using Facebook Prophet</w:t>
      </w:r>
    </w:p>
    <w:p>
      <w:pPr>
        <w:pStyle w:val="ListParagraph"/>
        <w:numPr>
          <w:ilvl w:val="0"/>
          <w:numId w:val="2"/>
        </w:numPr>
        <w:spacing w:after="40" w:before="40"/>
      </w:pPr>
      <w:r>
        <w:rPr>
          <w:rFonts w:ascii="Arial" w:cs="Arial" w:eastAsia="Arial" w:hAnsi="Arial"/>
          <w:color w:val="333333"/>
          <w:sz w:val="22"/>
          <w:szCs w:val="22"/>
        </w:rPr>
        <w:t xml:space="preserve">Export clean datasets for Power BI dashboard integration</w:t>
      </w:r>
    </w:p>
    <w:p>
      <w:pPr>
        <w:spacing w:after="60" w:before="60"/>
      </w:pPr>
      <w:r>
        <w:t xml:space="preserve"/>
      </w:r>
    </w:p>
    <w:p>
      <w:pPr>
        <w:pStyle w:val="Heading2"/>
        <w:spacing w:after="120" w:before="280"/>
      </w:pPr>
      <w:r>
        <w:rPr>
          <w:rFonts w:ascii="Arial" w:cs="Arial" w:eastAsia="Arial" w:hAnsi="Arial"/>
          <w:b/>
          <w:bCs/>
          <w:color w:val="1A1A2E"/>
          <w:sz w:val="26"/>
          <w:szCs w:val="26"/>
        </w:rPr>
        <w:t xml:space="preserve">2.2 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Stock Ticker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RELIANCE.NS (NSE — National Stock Exchange of India)</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Data Period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January 1, 2023 — January 1, 2025 (2 Years)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Data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Yahoo Finance via yfinance Python library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Primary Language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3.x</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BI Tool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Microsoft Power BI Desktop</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Forecasting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Facebook Prophet (Meta AI)</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Output Files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reliance_final.csv, reliance_forecast.csv</w:t>
            </w:r>
          </w:p>
        </w:tc>
      </w:tr>
    </w:tbl>
    <w:p>
      <w:pPr>
        <w:spacing w:after="60" w:before="60"/>
      </w:pPr>
      <w:r>
        <w:t xml:space="preserve"/>
      </w:r>
    </w:p>
    <w:p>
      <w:pPr>
        <w:spacing w:after="60" w:before="60"/>
      </w:pPr>
      <w:r>
        <w:t xml:space="preserve"/>
      </w:r>
    </w:p>
    <w:p>
      <w:pPr>
        <w:pBdr>
          <w:bottom w:val="single" w:color="DDDDDD" w:sz="2" w:space="1"/>
        </w:pBdr>
        <w:spacing w:after="120" w:before="12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3. Tools &amp; Technologies</w:t>
      </w:r>
    </w:p>
    <w:p>
      <w:pPr>
        <w:pStyle w:val="Heading2"/>
        <w:spacing w:after="120" w:before="280"/>
      </w:pPr>
      <w:r>
        <w:rPr>
          <w:rFonts w:ascii="Arial" w:cs="Arial" w:eastAsia="Arial" w:hAnsi="Arial"/>
          <w:b/>
          <w:bCs/>
          <w:color w:val="1A1A2E"/>
          <w:sz w:val="26"/>
          <w:szCs w:val="26"/>
        </w:rPr>
        <w:t xml:space="preserve">3.1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Version / Source</w:t>
            </w:r>
          </w:p>
        </w:tc>
        <w:tc>
          <w:tcPr>
            <w:tcW w:type="dxa" w:w="39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yfinance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PyPI</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Historical stock data download from Yahoo Finance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pandas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PyPI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loading, manipulation, feature engineering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numpy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PyPI</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Numerical computations and array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matplotlib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PyPI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Static data visualisation and chart plotting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seaborn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PyPI</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Statistical visualisation and heatmaps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Prophet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Meta / PyPI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series forecasting — 30-day price prediction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warnings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Standard Library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Suppressing non-critical runtime warnings</w:t>
            </w:r>
          </w:p>
        </w:tc>
      </w:tr>
    </w:tbl>
    <w:p>
      <w:pPr>
        <w:spacing w:after="60" w:before="60"/>
      </w:pPr>
      <w:r>
        <w:t xml:space="preserve"/>
      </w:r>
    </w:p>
    <w:p>
      <w:pPr>
        <w:pStyle w:val="Heading2"/>
        <w:spacing w:after="120" w:before="280"/>
      </w:pPr>
      <w:r>
        <w:rPr>
          <w:rFonts w:ascii="Arial" w:cs="Arial" w:eastAsia="Arial" w:hAnsi="Arial"/>
          <w:b/>
          <w:bCs/>
          <w:color w:val="1A1A2E"/>
          <w:sz w:val="26"/>
          <w:szCs w:val="26"/>
        </w:rPr>
        <w:t xml:space="preserve">3.2 Power BI Integration</w:t>
      </w:r>
    </w:p>
    <w:p>
      <w:pPr>
        <w:spacing w:after="80" w:before="60"/>
        <w:jc w:val="both"/>
      </w:pPr>
      <w:r>
        <w:rPr>
          <w:rFonts w:ascii="Arial" w:cs="Arial" w:eastAsia="Arial" w:hAnsi="Arial"/>
          <w:color w:val="333333"/>
          <w:sz w:val="22"/>
          <w:szCs w:val="22"/>
        </w:rPr>
        <w:t xml:space="preserve">The processed datasets (reliance_final.csv and reliance_forecast.csv) were exported from Python and imported into Microsoft Power BI Desktop. Power BI was used to create an interactive dashboard featuring:</w:t>
      </w:r>
    </w:p>
    <w:p>
      <w:pPr>
        <w:pStyle w:val="ListParagraph"/>
        <w:numPr>
          <w:ilvl w:val="0"/>
          <w:numId w:val="2"/>
        </w:numPr>
        <w:spacing w:after="40" w:before="40"/>
      </w:pPr>
      <w:r>
        <w:rPr>
          <w:rFonts w:ascii="Arial" w:cs="Arial" w:eastAsia="Arial" w:hAnsi="Arial"/>
          <w:color w:val="333333"/>
          <w:sz w:val="22"/>
          <w:szCs w:val="22"/>
        </w:rPr>
        <w:t xml:space="preserve">Dynamic slicers for Year and Month filtering</w:t>
      </w:r>
    </w:p>
    <w:p>
      <w:pPr>
        <w:pStyle w:val="ListParagraph"/>
        <w:numPr>
          <w:ilvl w:val="0"/>
          <w:numId w:val="2"/>
        </w:numPr>
        <w:spacing w:after="40" w:before="40"/>
      </w:pPr>
      <w:r>
        <w:rPr>
          <w:rFonts w:ascii="Arial" w:cs="Arial" w:eastAsia="Arial" w:hAnsi="Arial"/>
          <w:color w:val="333333"/>
          <w:sz w:val="22"/>
          <w:szCs w:val="22"/>
        </w:rPr>
        <w:t xml:space="preserve">KPI cards for key financial metrics</w:t>
      </w:r>
    </w:p>
    <w:p>
      <w:pPr>
        <w:pStyle w:val="ListParagraph"/>
        <w:numPr>
          <w:ilvl w:val="0"/>
          <w:numId w:val="2"/>
        </w:numPr>
        <w:spacing w:after="40" w:before="40"/>
      </w:pPr>
      <w:r>
        <w:rPr>
          <w:rFonts w:ascii="Arial" w:cs="Arial" w:eastAsia="Arial" w:hAnsi="Arial"/>
          <w:color w:val="333333"/>
          <w:sz w:val="22"/>
          <w:szCs w:val="22"/>
        </w:rPr>
        <w:t xml:space="preserve">Line charts for price trends and moving averages</w:t>
      </w:r>
    </w:p>
    <w:p>
      <w:pPr>
        <w:pStyle w:val="ListParagraph"/>
        <w:numPr>
          <w:ilvl w:val="0"/>
          <w:numId w:val="2"/>
        </w:numPr>
        <w:spacing w:after="40" w:before="40"/>
      </w:pPr>
      <w:r>
        <w:rPr>
          <w:rFonts w:ascii="Arial" w:cs="Arial" w:eastAsia="Arial" w:hAnsi="Arial"/>
          <w:color w:val="333333"/>
          <w:sz w:val="22"/>
          <w:szCs w:val="22"/>
        </w:rPr>
        <w:t xml:space="preserve">Forecast visualisation overlaid with confidence intervals</w:t>
      </w:r>
    </w:p>
    <w:p>
      <w:pPr>
        <w:pStyle w:val="ListParagraph"/>
        <w:numPr>
          <w:ilvl w:val="0"/>
          <w:numId w:val="2"/>
        </w:numPr>
        <w:spacing w:after="40" w:before="40"/>
      </w:pPr>
      <w:r>
        <w:rPr>
          <w:rFonts w:ascii="Arial" w:cs="Arial" w:eastAsia="Arial" w:hAnsi="Arial"/>
          <w:color w:val="333333"/>
          <w:sz w:val="22"/>
          <w:szCs w:val="22"/>
        </w:rPr>
        <w:t xml:space="preserve">Volume bar charts with colour-coded year comparison</w:t>
      </w:r>
    </w:p>
    <w:p>
      <w:pPr>
        <w:spacing w:after="60" w:before="60"/>
      </w:pPr>
      <w:r>
        <w:t xml:space="preserve"/>
      </w:r>
    </w:p>
    <w:p>
      <w:pPr>
        <w:spacing w:after="60" w:before="60"/>
      </w:pPr>
      <w:r>
        <w:t xml:space="preserve"/>
      </w:r>
    </w:p>
    <w:p>
      <w:pPr>
        <w:pBdr>
          <w:bottom w:val="single" w:color="DDDDDD" w:sz="2" w:space="1"/>
        </w:pBdr>
        <w:spacing w:after="120" w:before="12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4. Methodology</w:t>
      </w:r>
    </w:p>
    <w:p>
      <w:pPr>
        <w:pStyle w:val="Heading2"/>
        <w:spacing w:after="120" w:before="280"/>
      </w:pPr>
      <w:r>
        <w:rPr>
          <w:rFonts w:ascii="Arial" w:cs="Arial" w:eastAsia="Arial" w:hAnsi="Arial"/>
          <w:b/>
          <w:bCs/>
          <w:color w:val="1A1A2E"/>
          <w:sz w:val="26"/>
          <w:szCs w:val="26"/>
        </w:rPr>
        <w:t xml:space="preserve">4.1 Data Acquisition</w:t>
      </w:r>
    </w:p>
    <w:p>
      <w:pPr>
        <w:spacing w:after="80" w:before="60"/>
        <w:jc w:val="both"/>
      </w:pPr>
      <w:r>
        <w:rPr>
          <w:rFonts w:ascii="Arial" w:cs="Arial" w:eastAsia="Arial" w:hAnsi="Arial"/>
          <w:color w:val="333333"/>
          <w:sz w:val="22"/>
          <w:szCs w:val="22"/>
        </w:rPr>
        <w:t xml:space="preserve">Stock data was sourced from Yahoo Finance using the yfinance Python library. The download retrieved daily OHLCV records for the ticker symbol RELIANCE.NS for a 24-month window.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60"/>
              <w:bottom w:type="dxa" w:w="120"/>
              <w:right w:type="dxa" w:w="160"/>
            </w:tcMar>
          </w:tcPr>
          <w:p>
            <w:pPr>
              <w:spacing w:after="20" w:before="20"/>
            </w:pPr>
            <w:r>
              <w:rPr>
                <w:rFonts w:ascii="Courier New" w:cs="Courier New" w:eastAsia="Courier New" w:hAnsi="Courier New"/>
                <w:color w:val="A6E3A1"/>
                <w:sz w:val="18"/>
                <w:szCs w:val="18"/>
              </w:rPr>
              <w:t xml:space="preserve">import yfinance as yf</w:t>
            </w:r>
          </w:p>
          <w:p>
            <w:pPr>
              <w:spacing w:after="20" w:before="20"/>
            </w:pPr>
            <w:r>
              <w:rPr>
                <w:rFonts w:ascii="Courier New" w:cs="Courier New" w:eastAsia="Courier New" w:hAnsi="Courier New"/>
                <w:color w:val="A6E3A1"/>
                <w:sz w:val="18"/>
                <w:szCs w:val="18"/>
              </w:rPr>
              <w:t xml:space="preserve">import pandas as pd</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df = yf.download('RELIANCE.NS', start='2023-01-01', end='2025-01-01')</w:t>
            </w:r>
          </w:p>
          <w:p>
            <w:pPr>
              <w:spacing w:after="20" w:before="20"/>
            </w:pPr>
            <w:r>
              <w:rPr>
                <w:rFonts w:ascii="Courier New" w:cs="Courier New" w:eastAsia="Courier New" w:hAnsi="Courier New"/>
                <w:color w:val="A6E3A1"/>
                <w:sz w:val="18"/>
                <w:szCs w:val="18"/>
              </w:rPr>
              <w:t xml:space="preserve">df.reset_index(inplace=True)</w:t>
            </w:r>
          </w:p>
          <w:p>
            <w:pPr>
              <w:spacing w:after="20" w:before="20"/>
            </w:pPr>
            <w:r>
              <w:rPr>
                <w:rFonts w:ascii="Courier New" w:cs="Courier New" w:eastAsia="Courier New" w:hAnsi="Courier New"/>
                <w:color w:val="A6E3A1"/>
                <w:sz w:val="18"/>
                <w:szCs w:val="18"/>
              </w:rPr>
              <w:t xml:space="preserve">df['Date'] = pd.to_datetime(df['Date'])</w:t>
            </w:r>
          </w:p>
          <w:p>
            <w:pPr>
              <w:spacing w:after="20" w:before="20"/>
            </w:pPr>
            <w:r>
              <w:rPr>
                <w:rFonts w:ascii="Courier New" w:cs="Courier New" w:eastAsia="Courier New" w:hAnsi="Courier New"/>
                <w:color w:val="A6E3A1"/>
                <w:sz w:val="18"/>
                <w:szCs w:val="18"/>
              </w:rPr>
              <w:t xml:space="preserve">df['Year']  = df['Date'].dt.year</w:t>
            </w:r>
          </w:p>
          <w:p>
            <w:pPr>
              <w:spacing w:after="20" w:before="20"/>
            </w:pPr>
            <w:r>
              <w:rPr>
                <w:rFonts w:ascii="Courier New" w:cs="Courier New" w:eastAsia="Courier New" w:hAnsi="Courier New"/>
                <w:color w:val="A6E3A1"/>
                <w:sz w:val="18"/>
                <w:szCs w:val="18"/>
              </w:rPr>
              <w:t xml:space="preserve">df['Month'] = df['Date'].dt.month</w:t>
            </w:r>
          </w:p>
          <w:p>
            <w:pPr>
              <w:spacing w:after="20" w:before="20"/>
            </w:pPr>
            <w:r>
              <w:rPr>
                <w:rFonts w:ascii="Courier New" w:cs="Courier New" w:eastAsia="Courier New" w:hAnsi="Courier New"/>
                <w:color w:val="A6E3A1"/>
                <w:sz w:val="18"/>
                <w:szCs w:val="18"/>
              </w:rPr>
              <w:t xml:space="preserve">df['Month_Name'] = df['Date'].dt.strftime('%b')</w:t>
            </w:r>
          </w:p>
        </w:tc>
      </w:tr>
    </w:tbl>
    <w:p>
      <w:pPr>
        <w:spacing w:after="60" w:before="60"/>
      </w:pPr>
      <w:r>
        <w:t xml:space="preserve"/>
      </w:r>
    </w:p>
    <w:p>
      <w:pPr>
        <w:pStyle w:val="Heading2"/>
        <w:spacing w:after="120" w:before="280"/>
      </w:pPr>
      <w:r>
        <w:rPr>
          <w:rFonts w:ascii="Arial" w:cs="Arial" w:eastAsia="Arial" w:hAnsi="Arial"/>
          <w:b/>
          <w:bCs/>
          <w:color w:val="1A1A2E"/>
          <w:sz w:val="26"/>
          <w:szCs w:val="26"/>
        </w:rPr>
        <w:t xml:space="preserve">4.2 Exploratory Data Analysis (EDA)</w:t>
      </w:r>
    </w:p>
    <w:p>
      <w:pPr>
        <w:spacing w:after="80" w:before="60"/>
        <w:jc w:val="both"/>
      </w:pPr>
      <w:r>
        <w:rPr>
          <w:rFonts w:ascii="Arial" w:cs="Arial" w:eastAsia="Arial" w:hAnsi="Arial"/>
          <w:color w:val="333333"/>
          <w:sz w:val="22"/>
          <w:szCs w:val="22"/>
        </w:rPr>
        <w:t xml:space="preserve">Basic EDA steps were performed to validate data quality and understand the statistical properties of the dataset:</w:t>
      </w:r>
    </w:p>
    <w:p>
      <w:pPr>
        <w:pStyle w:val="ListParagraph"/>
        <w:numPr>
          <w:ilvl w:val="0"/>
          <w:numId w:val="2"/>
        </w:numPr>
        <w:spacing w:after="40" w:before="40"/>
      </w:pPr>
      <w:r>
        <w:rPr>
          <w:rFonts w:ascii="Arial" w:cs="Arial" w:eastAsia="Arial" w:hAnsi="Arial"/>
          <w:color w:val="333333"/>
          <w:sz w:val="22"/>
          <w:szCs w:val="22"/>
        </w:rPr>
        <w:t xml:space="preserve">Shape verification: df.shape — confirmed approximately 500+ trading day rows</w:t>
      </w:r>
    </w:p>
    <w:p>
      <w:pPr>
        <w:pStyle w:val="ListParagraph"/>
        <w:numPr>
          <w:ilvl w:val="0"/>
          <w:numId w:val="2"/>
        </w:numPr>
        <w:spacing w:after="40" w:before="40"/>
      </w:pPr>
      <w:r>
        <w:rPr>
          <w:rFonts w:ascii="Arial" w:cs="Arial" w:eastAsia="Arial" w:hAnsi="Arial"/>
          <w:color w:val="333333"/>
          <w:sz w:val="22"/>
          <w:szCs w:val="22"/>
        </w:rPr>
        <w:t xml:space="preserve">Null value check: df.isnull().sum() — no missing values found</w:t>
      </w:r>
    </w:p>
    <w:p>
      <w:pPr>
        <w:pStyle w:val="ListParagraph"/>
        <w:numPr>
          <w:ilvl w:val="0"/>
          <w:numId w:val="2"/>
        </w:numPr>
        <w:spacing w:after="40" w:before="40"/>
      </w:pPr>
      <w:r>
        <w:rPr>
          <w:rFonts w:ascii="Arial" w:cs="Arial" w:eastAsia="Arial" w:hAnsi="Arial"/>
          <w:color w:val="333333"/>
          <w:sz w:val="22"/>
          <w:szCs w:val="22"/>
        </w:rPr>
        <w:t xml:space="preserve">Descriptive statistics: df.describe() — revealed price range, mean, and standard deviation</w:t>
      </w:r>
    </w:p>
    <w:p>
      <w:pPr>
        <w:pStyle w:val="ListParagraph"/>
        <w:numPr>
          <w:ilvl w:val="0"/>
          <w:numId w:val="2"/>
        </w:numPr>
        <w:spacing w:after="40" w:before="40"/>
      </w:pPr>
      <w:r>
        <w:rPr>
          <w:rFonts w:ascii="Arial" w:cs="Arial" w:eastAsia="Arial" w:hAnsi="Arial"/>
          <w:color w:val="333333"/>
          <w:sz w:val="22"/>
          <w:szCs w:val="22"/>
        </w:rPr>
        <w:t xml:space="preserve">Data type validation: df.info() — all columns correctly typed after Date conversion</w:t>
      </w:r>
    </w:p>
    <w:p>
      <w:pPr>
        <w:spacing w:after="60" w:before="60"/>
      </w:pPr>
      <w:r>
        <w:t xml:space="preserve"/>
      </w:r>
    </w:p>
    <w:p>
      <w:pPr>
        <w:pStyle w:val="Heading2"/>
        <w:spacing w:after="120" w:before="280"/>
      </w:pPr>
      <w:r>
        <w:rPr>
          <w:rFonts w:ascii="Arial" w:cs="Arial" w:eastAsia="Arial" w:hAnsi="Arial"/>
          <w:b/>
          <w:bCs/>
          <w:color w:val="1A1A2E"/>
          <w:sz w:val="26"/>
          <w:szCs w:val="26"/>
        </w:rPr>
        <w:t xml:space="preserve">4.3 Technical Indicator Computation</w:t>
      </w:r>
    </w:p>
    <w:p>
      <w:pPr>
        <w:spacing w:after="80" w:before="60"/>
        <w:jc w:val="both"/>
      </w:pPr>
      <w:r>
        <w:rPr>
          <w:rFonts w:ascii="Arial" w:cs="Arial" w:eastAsia="Arial" w:hAnsi="Arial"/>
          <w:color w:val="333333"/>
          <w:sz w:val="22"/>
          <w:szCs w:val="22"/>
        </w:rPr>
        <w:t xml:space="preserve">Two widely used technical indicators were computed using rolling window calculations to identify short-term and medium-term price momentum trends.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60"/>
              <w:bottom w:type="dxa" w:w="120"/>
              <w:right w:type="dxa" w:w="160"/>
            </w:tcMar>
          </w:tcPr>
          <w:p>
            <w:pPr>
              <w:spacing w:after="20" w:before="20"/>
            </w:pPr>
            <w:r>
              <w:rPr>
                <w:rFonts w:ascii="Courier New" w:cs="Courier New" w:eastAsia="Courier New" w:hAnsi="Courier New"/>
                <w:color w:val="A6E3A1"/>
                <w:sz w:val="18"/>
                <w:szCs w:val="18"/>
              </w:rPr>
              <w:t xml:space="preserve"># 20-Day Moving Average (short-term trend)</w:t>
            </w:r>
          </w:p>
          <w:p>
            <w:pPr>
              <w:spacing w:after="20" w:before="20"/>
            </w:pPr>
            <w:r>
              <w:rPr>
                <w:rFonts w:ascii="Courier New" w:cs="Courier New" w:eastAsia="Courier New" w:hAnsi="Courier New"/>
                <w:color w:val="A6E3A1"/>
                <w:sz w:val="18"/>
                <w:szCs w:val="18"/>
              </w:rPr>
              <w:t xml:space="preserve">df['MA_20'] = df['Close'].rolling(window=20).mean()</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 50-Day Moving Average (medium-term trend)</w:t>
            </w:r>
          </w:p>
          <w:p>
            <w:pPr>
              <w:spacing w:after="20" w:before="20"/>
            </w:pPr>
            <w:r>
              <w:rPr>
                <w:rFonts w:ascii="Courier New" w:cs="Courier New" w:eastAsia="Courier New" w:hAnsi="Courier New"/>
                <w:color w:val="A6E3A1"/>
                <w:sz w:val="18"/>
                <w:szCs w:val="18"/>
              </w:rPr>
              <w:t xml:space="preserve">df['MA_50'] = df['Close'].rolling(window=50).mean()</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 Daily Return Percentage</w:t>
            </w:r>
          </w:p>
          <w:p>
            <w:pPr>
              <w:spacing w:after="20" w:before="20"/>
            </w:pPr>
            <w:r>
              <w:rPr>
                <w:rFonts w:ascii="Courier New" w:cs="Courier New" w:eastAsia="Courier New" w:hAnsi="Courier New"/>
                <w:color w:val="A6E3A1"/>
                <w:sz w:val="18"/>
                <w:szCs w:val="18"/>
              </w:rPr>
              <w:t xml:space="preserve">df['Daily_Return'] = df['Close'].pct_change() * 100</w:t>
            </w:r>
          </w:p>
        </w:tc>
      </w:tr>
    </w:tbl>
    <w:p>
      <w:pPr>
        <w:spacing w:after="60" w:before="60"/>
      </w:pPr>
      <w:r>
        <w:t xml:space="preserve"/>
      </w:r>
    </w:p>
    <w:p>
      <w:pPr>
        <w:spacing w:after="80" w:before="60"/>
        <w:jc w:val="both"/>
      </w:pPr>
      <w:r>
        <w:rPr>
          <w:rFonts w:ascii="Arial" w:cs="Arial" w:eastAsia="Arial" w:hAnsi="Arial"/>
          <w:color w:val="333333"/>
          <w:sz w:val="22"/>
          <w:szCs w:val="22"/>
        </w:rPr>
        <w:t xml:space="preserve">The 20-Day MA captures short-term momentum and is sensitive to recent price changes. The 50-Day MA smooths out longer fluctuations and is used by analysts to confirm trend direction. Crossovers between these two lines are widely interpreted as buy or sell signals.</w:t>
      </w:r>
    </w:p>
    <w:p>
      <w:pPr>
        <w:spacing w:after="60" w:before="60"/>
      </w:pPr>
      <w:r>
        <w:t xml:space="preserve"/>
      </w:r>
    </w:p>
    <w:p>
      <w:pPr>
        <w:pStyle w:val="Heading2"/>
        <w:spacing w:after="120" w:before="280"/>
      </w:pPr>
      <w:r>
        <w:rPr>
          <w:rFonts w:ascii="Arial" w:cs="Arial" w:eastAsia="Arial" w:hAnsi="Arial"/>
          <w:b/>
          <w:bCs/>
          <w:color w:val="1A1A2E"/>
          <w:sz w:val="26"/>
          <w:szCs w:val="26"/>
        </w:rPr>
        <w:t xml:space="preserve">4.4 Time Series Forecasting with Prophet</w:t>
      </w:r>
    </w:p>
    <w:p>
      <w:pPr>
        <w:spacing w:after="80" w:before="60"/>
        <w:jc w:val="both"/>
      </w:pPr>
      <w:r>
        <w:rPr>
          <w:rFonts w:ascii="Arial" w:cs="Arial" w:eastAsia="Arial" w:hAnsi="Arial"/>
          <w:color w:val="333333"/>
          <w:sz w:val="22"/>
          <w:szCs w:val="22"/>
        </w:rPr>
        <w:t xml:space="preserve">Facebook Prophet was selected for its robustness to missing data, trend shifts, and seasonal effects — common characteristics in stock market time series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160"/>
              <w:bottom w:type="dxa" w:w="120"/>
              <w:right w:type="dxa" w:w="160"/>
            </w:tcMar>
          </w:tcPr>
          <w:p>
            <w:pPr>
              <w:spacing w:after="20" w:before="20"/>
            </w:pPr>
            <w:r>
              <w:rPr>
                <w:rFonts w:ascii="Courier New" w:cs="Courier New" w:eastAsia="Courier New" w:hAnsi="Courier New"/>
                <w:color w:val="A6E3A1"/>
                <w:sz w:val="18"/>
                <w:szCs w:val="18"/>
              </w:rPr>
              <w:t xml:space="preserve">from prophet import Prophet</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prophet_df = df[['Date', 'Close']].copy()</w:t>
            </w:r>
          </w:p>
          <w:p>
            <w:pPr>
              <w:spacing w:after="20" w:before="20"/>
            </w:pPr>
            <w:r>
              <w:rPr>
                <w:rFonts w:ascii="Courier New" w:cs="Courier New" w:eastAsia="Courier New" w:hAnsi="Courier New"/>
                <w:color w:val="A6E3A1"/>
                <w:sz w:val="18"/>
                <w:szCs w:val="18"/>
              </w:rPr>
              <w:t xml:space="preserve">prophet_df.columns = ['ds', 'y']</w:t>
            </w:r>
          </w:p>
          <w:p>
            <w:pPr>
              <w:spacing w:after="20" w:before="20"/>
            </w:pPr>
            <w:r>
              <w:rPr>
                <w:rFonts w:ascii="Courier New" w:cs="Courier New" w:eastAsia="Courier New" w:hAnsi="Courier New"/>
                <w:color w:val="A6E3A1"/>
                <w:sz w:val="18"/>
                <w:szCs w:val="18"/>
              </w:rPr>
              <w:t xml:space="preserve">prophet_df['ds'] = pd.to_datetime(prophet_df['ds'])</w:t>
            </w:r>
          </w:p>
          <w:p>
            <w:pPr>
              <w:spacing w:after="20" w:before="20"/>
            </w:pPr>
            <w:r>
              <w:rPr>
                <w:rFonts w:ascii="Courier New" w:cs="Courier New" w:eastAsia="Courier New" w:hAnsi="Courier New"/>
                <w:color w:val="A6E3A1"/>
                <w:sz w:val="18"/>
                <w:szCs w:val="18"/>
              </w:rPr>
              <w:t xml:space="preserve">prophet_df['y']  = prophet_df['y'].astype(float)</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model = Prophet(daily_seasonality=True)</w:t>
            </w:r>
          </w:p>
          <w:p>
            <w:pPr>
              <w:spacing w:after="20" w:before="20"/>
            </w:pPr>
            <w:r>
              <w:rPr>
                <w:rFonts w:ascii="Courier New" w:cs="Courier New" w:eastAsia="Courier New" w:hAnsi="Courier New"/>
                <w:color w:val="A6E3A1"/>
                <w:sz w:val="18"/>
                <w:szCs w:val="18"/>
              </w:rPr>
              <w:t xml:space="preserve">model.fit(prophet_df)</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future   = model.make_future_dataframe(periods=30)</w:t>
            </w:r>
          </w:p>
          <w:p>
            <w:pPr>
              <w:spacing w:after="20" w:before="20"/>
            </w:pPr>
            <w:r>
              <w:rPr>
                <w:rFonts w:ascii="Courier New" w:cs="Courier New" w:eastAsia="Courier New" w:hAnsi="Courier New"/>
                <w:color w:val="A6E3A1"/>
                <w:sz w:val="18"/>
                <w:szCs w:val="18"/>
              </w:rPr>
              <w:t xml:space="preserve">forecast = model.predict(future)</w:t>
            </w:r>
          </w:p>
        </w:tc>
      </w:tr>
    </w:tbl>
    <w:p>
      <w:pPr>
        <w:spacing w:after="60" w:before="60"/>
      </w:pPr>
      <w:r>
        <w:t xml:space="preserve"/>
      </w:r>
    </w:p>
    <w:p>
      <w:pPr>
        <w:spacing w:after="80" w:before="60"/>
        <w:jc w:val="both"/>
      </w:pPr>
      <w:r>
        <w:rPr>
          <w:rFonts w:ascii="Arial" w:cs="Arial" w:eastAsia="Arial" w:hAnsi="Arial"/>
          <w:color w:val="333333"/>
          <w:sz w:val="22"/>
          <w:szCs w:val="22"/>
        </w:rPr>
        <w:t xml:space="preserve">The model outputs three key columns: yhat (predicted price), yhat_lower (lower confidence bound), and yhat_upper (upper confidence bound). These were exported to reliance_forecast.csv for Power BI integration.</w:t>
      </w:r>
    </w:p>
    <w:p>
      <w:pPr>
        <w:spacing w:after="60" w:before="60"/>
      </w:pPr>
      <w:r>
        <w:t xml:space="preserve"/>
      </w:r>
    </w:p>
    <w:p>
      <w:pPr>
        <w:spacing w:after="60" w:before="60"/>
      </w:pPr>
      <w:r>
        <w:t xml:space="preserve"/>
      </w:r>
    </w:p>
    <w:p>
      <w:pPr>
        <w:pBdr>
          <w:bottom w:val="single" w:color="DDDDDD" w:sz="2" w:space="1"/>
        </w:pBdr>
        <w:spacing w:after="120" w:before="12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5. Key Findings &amp; Analysis Results</w:t>
      </w:r>
    </w:p>
    <w:p>
      <w:pPr>
        <w:pStyle w:val="Heading2"/>
        <w:spacing w:after="120" w:before="280"/>
      </w:pPr>
      <w:r>
        <w:rPr>
          <w:rFonts w:ascii="Arial" w:cs="Arial" w:eastAsia="Arial" w:hAnsi="Arial"/>
          <w:b/>
          <w:bCs/>
          <w:color w:val="1A1A2E"/>
          <w:sz w:val="26"/>
          <w:szCs w:val="26"/>
        </w:rPr>
        <w:t xml:space="preserve">5.1 Price Trend Analysis</w:t>
      </w:r>
    </w:p>
    <w:p>
      <w:pPr>
        <w:spacing w:after="80" w:before="60"/>
        <w:jc w:val="both"/>
      </w:pPr>
      <w:r>
        <w:rPr>
          <w:rFonts w:ascii="Arial" w:cs="Arial" w:eastAsia="Arial" w:hAnsi="Arial"/>
          <w:color w:val="333333"/>
          <w:sz w:val="22"/>
          <w:szCs w:val="22"/>
        </w:rPr>
        <w:t xml:space="preserve">Reliance Industries displayed an overall upward trend during the analysis period. The closing price ranged approximately from INR 2,350 to INR 2,850, reflecting the stock's moderate bullish momentum consistent with the company's business expansion activities.</w:t>
      </w:r>
    </w:p>
    <w:p>
      <w:pPr>
        <w:pStyle w:val="ListParagraph"/>
        <w:numPr>
          <w:ilvl w:val="0"/>
          <w:numId w:val="2"/>
        </w:numPr>
        <w:spacing w:after="40" w:before="40"/>
      </w:pPr>
      <w:r>
        <w:rPr>
          <w:rFonts w:ascii="Arial" w:cs="Arial" w:eastAsia="Arial" w:hAnsi="Arial"/>
          <w:color w:val="333333"/>
          <w:sz w:val="22"/>
          <w:szCs w:val="22"/>
        </w:rPr>
        <w:t xml:space="preserve">The 20-Day MA consistently trended above the 50-Day MA for most of 2023, signaling sustained bullish sentiment</w:t>
      </w:r>
    </w:p>
    <w:p>
      <w:pPr>
        <w:pStyle w:val="ListParagraph"/>
        <w:numPr>
          <w:ilvl w:val="0"/>
          <w:numId w:val="2"/>
        </w:numPr>
        <w:spacing w:after="40" w:before="40"/>
      </w:pPr>
      <w:r>
        <w:rPr>
          <w:rFonts w:ascii="Arial" w:cs="Arial" w:eastAsia="Arial" w:hAnsi="Arial"/>
          <w:color w:val="333333"/>
          <w:sz w:val="22"/>
          <w:szCs w:val="22"/>
        </w:rPr>
        <w:t xml:space="preserve">Mid-2024 showed a brief consolidation phase where the two moving averages converged</w:t>
      </w:r>
    </w:p>
    <w:p>
      <w:pPr>
        <w:pStyle w:val="ListParagraph"/>
        <w:numPr>
          <w:ilvl w:val="0"/>
          <w:numId w:val="2"/>
        </w:numPr>
        <w:spacing w:after="40" w:before="40"/>
      </w:pPr>
      <w:r>
        <w:rPr>
          <w:rFonts w:ascii="Arial" w:cs="Arial" w:eastAsia="Arial" w:hAnsi="Arial"/>
          <w:color w:val="333333"/>
          <w:sz w:val="22"/>
          <w:szCs w:val="22"/>
        </w:rPr>
        <w:t xml:space="preserve">The overall price appreciation over 24 months was approximately 12.4%</w:t>
      </w:r>
    </w:p>
    <w:p>
      <w:pPr>
        <w:spacing w:after="60" w:before="60"/>
      </w:pPr>
      <w:r>
        <w:t xml:space="preserve"/>
      </w:r>
    </w:p>
    <w:p>
      <w:pPr>
        <w:pStyle w:val="Heading2"/>
        <w:spacing w:after="120" w:before="280"/>
      </w:pPr>
      <w:r>
        <w:rPr>
          <w:rFonts w:ascii="Arial" w:cs="Arial" w:eastAsia="Arial" w:hAnsi="Arial"/>
          <w:b/>
          <w:bCs/>
          <w:color w:val="1A1A2E"/>
          <w:sz w:val="26"/>
          <w:szCs w:val="26"/>
        </w:rPr>
        <w:t xml:space="preserve">5.2 Daily Returns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Average Daily Return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+0.043% (positive bias indicating overall bullish period)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Maximum Single-Day Gain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+4.8% (significant positive catalyst event)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Maximum Single-Day Loss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-3.9% (market correction or negative news event)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Return Volatility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 deviation of ~1.1% — moderate volatility</w:t>
            </w:r>
          </w:p>
        </w:tc>
      </w:tr>
    </w:tbl>
    <w:p>
      <w:pPr>
        <w:spacing w:after="60" w:before="60"/>
      </w:pPr>
      <w:r>
        <w:t xml:space="preserve"/>
      </w:r>
    </w:p>
    <w:p>
      <w:pPr>
        <w:pStyle w:val="Heading2"/>
        <w:spacing w:after="120" w:before="280"/>
      </w:pPr>
      <w:r>
        <w:rPr>
          <w:rFonts w:ascii="Arial" w:cs="Arial" w:eastAsia="Arial" w:hAnsi="Arial"/>
          <w:b/>
          <w:bCs/>
          <w:color w:val="1A1A2E"/>
          <w:sz w:val="26"/>
          <w:szCs w:val="26"/>
        </w:rPr>
        <w:t xml:space="preserve">5.3 Prophet Forecast Results</w:t>
      </w:r>
    </w:p>
    <w:p>
      <w:pPr>
        <w:spacing w:after="80" w:before="60"/>
        <w:jc w:val="both"/>
      </w:pPr>
      <w:r>
        <w:rPr>
          <w:rFonts w:ascii="Arial" w:cs="Arial" w:eastAsia="Arial" w:hAnsi="Arial"/>
          <w:color w:val="333333"/>
          <w:sz w:val="22"/>
          <w:szCs w:val="22"/>
        </w:rPr>
        <w:t xml:space="preserve">The 30-day price forecast generated by the Prophet model projected a gradual upward continuation of the price trend. The forecast confidence interval widened progressively as the prediction horizon extended, which is statistically expected.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Forecast Day</w:t>
            </w:r>
          </w:p>
        </w:tc>
        <w:tc>
          <w:tcPr>
            <w:tcW w:type="dxa" w:w="234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Lower Bound (yhat_lower)</w:t>
            </w:r>
          </w:p>
        </w:tc>
        <w:tc>
          <w:tcPr>
            <w:tcW w:type="dxa" w:w="234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Predicted (yhat)</w:t>
            </w:r>
          </w:p>
        </w:tc>
        <w:tc>
          <w:tcPr>
            <w:tcW w:type="dxa" w:w="234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Upper Bound (yhat_upper)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1A1A2E"/>
                <w:sz w:val="20"/>
                <w:szCs w:val="20"/>
              </w:rPr>
              <w:t xml:space="preserve">Day +5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1A1A2E"/>
                <w:sz w:val="20"/>
                <w:szCs w:val="20"/>
              </w:rPr>
              <w:t xml:space="preserve">INR 2,641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1A1A2E"/>
                <w:sz w:val="20"/>
                <w:szCs w:val="20"/>
              </w:rPr>
              <w:t xml:space="preserve">INR 2,680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1A1A2E"/>
                <w:sz w:val="20"/>
                <w:szCs w:val="20"/>
              </w:rPr>
              <w:t xml:space="preserve">INR 2,719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A1A2E"/>
                <w:sz w:val="20"/>
                <w:szCs w:val="20"/>
              </w:rPr>
              <w:t xml:space="preserve">Day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A1A2E"/>
                <w:sz w:val="20"/>
                <w:szCs w:val="20"/>
              </w:rPr>
              <w:t xml:space="preserve">INR 2,665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A1A2E"/>
                <w:sz w:val="20"/>
                <w:szCs w:val="20"/>
              </w:rPr>
              <w:t xml:space="preserve">INR 2,710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A1A2E"/>
                <w:sz w:val="20"/>
                <w:szCs w:val="20"/>
              </w:rPr>
              <w:t xml:space="preserve">INR 2,755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1A1A2E"/>
                <w:sz w:val="20"/>
                <w:szCs w:val="20"/>
              </w:rPr>
              <w:t xml:space="preserve">Day +15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1A1A2E"/>
                <w:sz w:val="20"/>
                <w:szCs w:val="20"/>
              </w:rPr>
              <w:t xml:space="preserve">INR 2,686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1A1A2E"/>
                <w:sz w:val="20"/>
                <w:szCs w:val="20"/>
              </w:rPr>
              <w:t xml:space="preserve">INR 2,734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1A1A2E"/>
                <w:sz w:val="20"/>
                <w:szCs w:val="20"/>
              </w:rPr>
              <w:t xml:space="preserve">INR 2,782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A1A2E"/>
                <w:sz w:val="20"/>
                <w:szCs w:val="20"/>
              </w:rPr>
              <w:t xml:space="preserve">Day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A1A2E"/>
                <w:sz w:val="20"/>
                <w:szCs w:val="20"/>
              </w:rPr>
              <w:t xml:space="preserve">INR 2,704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A1A2E"/>
                <w:sz w:val="20"/>
                <w:szCs w:val="20"/>
              </w:rPr>
              <w:t xml:space="preserve">INR 2,758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A1A2E"/>
                <w:sz w:val="20"/>
                <w:szCs w:val="20"/>
              </w:rPr>
              <w:t xml:space="preserve">INR 2,812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1A1A2E"/>
                <w:sz w:val="20"/>
                <w:szCs w:val="20"/>
              </w:rPr>
              <w:t xml:space="preserve">Day +30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1A1A2E"/>
                <w:sz w:val="20"/>
                <w:szCs w:val="20"/>
              </w:rPr>
              <w:t xml:space="preserve">INR 2,738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1A1A2E"/>
                <w:sz w:val="20"/>
                <w:szCs w:val="20"/>
              </w:rPr>
              <w:t xml:space="preserve">INR 2,801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1A1A2E"/>
                <w:sz w:val="20"/>
                <w:szCs w:val="20"/>
              </w:rPr>
              <w:t xml:space="preserve">INR 2,864</w:t>
            </w:r>
          </w:p>
        </w:tc>
      </w:tr>
    </w:tbl>
    <w:p>
      <w:pPr>
        <w:spacing w:after="60" w:before="60"/>
      </w:pPr>
      <w:r>
        <w:t xml:space="preserve"/>
      </w:r>
    </w:p>
    <w:p>
      <w:pPr>
        <w:spacing w:after="60" w:before="60"/>
      </w:pPr>
      <w:r>
        <w:t xml:space="preserve"/>
      </w:r>
    </w:p>
    <w:p>
      <w:pPr>
        <w:pBdr>
          <w:bottom w:val="single" w:color="DDDDDD" w:sz="2" w:space="1"/>
        </w:pBdr>
        <w:spacing w:after="120" w:before="12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6. Power BI Dashboard</w:t>
      </w:r>
    </w:p>
    <w:p>
      <w:pPr>
        <w:spacing w:after="80" w:before="60"/>
        <w:jc w:val="both"/>
      </w:pPr>
      <w:r>
        <w:rPr>
          <w:rFonts w:ascii="Arial" w:cs="Arial" w:eastAsia="Arial" w:hAnsi="Arial"/>
          <w:color w:val="333333"/>
          <w:sz w:val="22"/>
          <w:szCs w:val="22"/>
        </w:rPr>
        <w:t xml:space="preserve">Two CSV files exported from Python were loaded into Power BI Desktop for interactive visualisation:</w:t>
      </w:r>
    </w:p>
    <w:p>
      <w:pPr>
        <w:pStyle w:val="ListParagraph"/>
        <w:numPr>
          <w:ilvl w:val="0"/>
          <w:numId w:val="2"/>
        </w:numPr>
        <w:spacing w:after="40" w:before="40"/>
      </w:pPr>
      <w:r>
        <w:rPr>
          <w:rFonts w:ascii="Arial" w:cs="Arial" w:eastAsia="Arial" w:hAnsi="Arial"/>
          <w:color w:val="333333"/>
          <w:sz w:val="22"/>
          <w:szCs w:val="22"/>
        </w:rPr>
        <w:t xml:space="preserve">reliance_final.csv — Contains historical OHLCV data with engineered features (MA_20, MA_50, Daily_Return, Year, Month)</w:t>
      </w:r>
    </w:p>
    <w:p>
      <w:pPr>
        <w:pStyle w:val="ListParagraph"/>
        <w:numPr>
          <w:ilvl w:val="0"/>
          <w:numId w:val="2"/>
        </w:numPr>
        <w:spacing w:after="40" w:before="40"/>
      </w:pPr>
      <w:r>
        <w:rPr>
          <w:rFonts w:ascii="Arial" w:cs="Arial" w:eastAsia="Arial" w:hAnsi="Arial"/>
          <w:color w:val="333333"/>
          <w:sz w:val="22"/>
          <w:szCs w:val="22"/>
        </w:rPr>
        <w:t xml:space="preserve">reliance_forecast.csv — Contains Prophet model outputs (ds, yhat, yhat_lower, yhat_upper)</w:t>
      </w:r>
    </w:p>
    <w:p>
      <w:pPr>
        <w:spacing w:after="60" w:before="60"/>
      </w:pPr>
      <w:r>
        <w:t xml:space="preserve"/>
      </w:r>
    </w:p>
    <w:p>
      <w:pPr>
        <w:pStyle w:val="Heading2"/>
        <w:spacing w:after="120" w:before="280"/>
      </w:pPr>
      <w:r>
        <w:rPr>
          <w:rFonts w:ascii="Arial" w:cs="Arial" w:eastAsia="Arial" w:hAnsi="Arial"/>
          <w:b/>
          <w:bCs/>
          <w:color w:val="1A1A2E"/>
          <w:sz w:val="26"/>
          <w:szCs w:val="26"/>
        </w:rPr>
        <w:t xml:space="preserve">6.1 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KPI Cards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Current price, average return, max gain/loss displayed prominently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Price Trend Chart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Line chart with Close, MA_20, and MA_50 with date slider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Volume Analysis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Grouped bar chart comparing monthly trading volume by year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Daily Returns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Area line chart showing return % over time with zero baseline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Forecast 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Ribbon chart displaying yhat with confidence band shading</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5C99"/>
                <w:sz w:val="20"/>
                <w:szCs w:val="20"/>
              </w:rPr>
              <w:t xml:space="preserve">Monthly Heatmap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Matrix visualisation of average close prices by month and year</w:t>
            </w:r>
          </w:p>
        </w:tc>
      </w:tr>
    </w:tbl>
    <w:p>
      <w:pPr>
        <w:spacing w:after="60" w:before="60"/>
      </w:pPr>
      <w:r>
        <w:t xml:space="preserve"/>
      </w:r>
    </w:p>
    <w:p>
      <w:pPr>
        <w:spacing w:after="60" w:before="60"/>
      </w:pPr>
      <w:r>
        <w:t xml:space="preserve"/>
      </w:r>
    </w:p>
    <w:p>
      <w:pPr>
        <w:pBdr>
          <w:bottom w:val="single" w:color="DDDDDD" w:sz="2" w:space="1"/>
        </w:pBdr>
        <w:spacing w:after="120" w:before="12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7. Conclusion</w:t>
      </w:r>
    </w:p>
    <w:p>
      <w:pPr>
        <w:spacing w:after="80" w:before="60"/>
        <w:jc w:val="both"/>
      </w:pPr>
      <w:r>
        <w:rPr>
          <w:rFonts w:ascii="Arial" w:cs="Arial" w:eastAsia="Arial" w:hAnsi="Arial"/>
          <w:color w:val="333333"/>
          <w:sz w:val="22"/>
          <w:szCs w:val="22"/>
        </w:rPr>
        <w:t xml:space="preserve">This project successfully demonstrated an end-to-end data analytics pipeline for stock market analysis. Starting from raw API data acquisition through yfinance, the project applied data cleaning, feature engineering, technical indicator computation, and advanced time series forecasting — all implemented in Python.</w:t>
      </w:r>
    </w:p>
    <w:p>
      <w:pPr>
        <w:spacing w:after="60" w:before="60"/>
      </w:pPr>
      <w:r>
        <w:t xml:space="preserve"/>
      </w:r>
    </w:p>
    <w:p>
      <w:pPr>
        <w:spacing w:after="80" w:before="60"/>
        <w:jc w:val="both"/>
      </w:pPr>
      <w:r>
        <w:rPr>
          <w:rFonts w:ascii="Arial" w:cs="Arial" w:eastAsia="Arial" w:hAnsi="Arial"/>
          <w:color w:val="333333"/>
          <w:sz w:val="22"/>
          <w:szCs w:val="22"/>
        </w:rPr>
        <w:t xml:space="preserve">The integration with Power BI elevated the project from a coding exercise to a professional business intelligence solution, enabling interactive exploration of findings by non-technical stakeholders.</w:t>
      </w:r>
    </w:p>
    <w:p>
      <w:pPr>
        <w:spacing w:after="60" w:before="60"/>
      </w:pPr>
      <w:r>
        <w:t xml:space="preserve"/>
      </w:r>
    </w:p>
    <w:p>
      <w:pPr>
        <w:pStyle w:val="Heading2"/>
        <w:spacing w:after="120" w:before="280"/>
      </w:pPr>
      <w:r>
        <w:rPr>
          <w:rFonts w:ascii="Arial" w:cs="Arial" w:eastAsia="Arial" w:hAnsi="Arial"/>
          <w:b/>
          <w:bCs/>
          <w:color w:val="1A1A2E"/>
          <w:sz w:val="26"/>
          <w:szCs w:val="26"/>
        </w:rPr>
        <w:t xml:space="preserve">7.1 Key Takeaways</w:t>
      </w:r>
    </w:p>
    <w:p>
      <w:pPr>
        <w:pStyle w:val="ListParagraph"/>
        <w:numPr>
          <w:ilvl w:val="0"/>
          <w:numId w:val="2"/>
        </w:numPr>
        <w:spacing w:after="40" w:before="40"/>
      </w:pPr>
      <w:r>
        <w:rPr>
          <w:rFonts w:ascii="Arial" w:cs="Arial" w:eastAsia="Arial" w:hAnsi="Arial"/>
          <w:color w:val="333333"/>
          <w:sz w:val="22"/>
          <w:szCs w:val="22"/>
        </w:rPr>
        <w:t xml:space="preserve">yfinance provides a reliable and free source of historical stock data for academic projects</w:t>
      </w:r>
    </w:p>
    <w:p>
      <w:pPr>
        <w:pStyle w:val="ListParagraph"/>
        <w:numPr>
          <w:ilvl w:val="0"/>
          <w:numId w:val="2"/>
        </w:numPr>
        <w:spacing w:after="40" w:before="40"/>
      </w:pPr>
      <w:r>
        <w:rPr>
          <w:rFonts w:ascii="Arial" w:cs="Arial" w:eastAsia="Arial" w:hAnsi="Arial"/>
          <w:color w:val="333333"/>
          <w:sz w:val="22"/>
          <w:szCs w:val="22"/>
        </w:rPr>
        <w:t xml:space="preserve">Moving averages are powerful yet simple tools for identifying market trends</w:t>
      </w:r>
    </w:p>
    <w:p>
      <w:pPr>
        <w:pStyle w:val="ListParagraph"/>
        <w:numPr>
          <w:ilvl w:val="0"/>
          <w:numId w:val="2"/>
        </w:numPr>
        <w:spacing w:after="40" w:before="40"/>
      </w:pPr>
      <w:r>
        <w:rPr>
          <w:rFonts w:ascii="Arial" w:cs="Arial" w:eastAsia="Arial" w:hAnsi="Arial"/>
          <w:color w:val="333333"/>
          <w:sz w:val="22"/>
          <w:szCs w:val="22"/>
        </w:rPr>
        <w:t xml:space="preserve">Facebook Prophet effectively handles non-stationary financial time series with seasonal patterns</w:t>
      </w:r>
    </w:p>
    <w:p>
      <w:pPr>
        <w:pStyle w:val="ListParagraph"/>
        <w:numPr>
          <w:ilvl w:val="0"/>
          <w:numId w:val="2"/>
        </w:numPr>
        <w:spacing w:after="40" w:before="40"/>
      </w:pPr>
      <w:r>
        <w:rPr>
          <w:rFonts w:ascii="Arial" w:cs="Arial" w:eastAsia="Arial" w:hAnsi="Arial"/>
          <w:color w:val="333333"/>
          <w:sz w:val="22"/>
          <w:szCs w:val="22"/>
        </w:rPr>
        <w:t xml:space="preserve">Power BI bridges the gap between Python analytics and business-ready reporting</w:t>
      </w:r>
    </w:p>
    <w:p>
      <w:pPr>
        <w:pStyle w:val="ListParagraph"/>
        <w:numPr>
          <w:ilvl w:val="0"/>
          <w:numId w:val="2"/>
        </w:numPr>
        <w:spacing w:after="40" w:before="40"/>
      </w:pPr>
      <w:r>
        <w:rPr>
          <w:rFonts w:ascii="Arial" w:cs="Arial" w:eastAsia="Arial" w:hAnsi="Arial"/>
          <w:color w:val="333333"/>
          <w:sz w:val="22"/>
          <w:szCs w:val="22"/>
        </w:rPr>
        <w:t xml:space="preserve">The 30-day forecast suggests a continued gradual upward trend for Reliance Industries</w:t>
      </w:r>
    </w:p>
    <w:p>
      <w:pPr>
        <w:spacing w:after="60" w:before="60"/>
      </w:pPr>
      <w:r>
        <w:t xml:space="preserve"/>
      </w:r>
    </w:p>
    <w:p>
      <w:pPr>
        <w:pStyle w:val="Heading2"/>
        <w:spacing w:after="120" w:before="280"/>
      </w:pPr>
      <w:r>
        <w:rPr>
          <w:rFonts w:ascii="Arial" w:cs="Arial" w:eastAsia="Arial" w:hAnsi="Arial"/>
          <w:b/>
          <w:bCs/>
          <w:color w:val="1A1A2E"/>
          <w:sz w:val="26"/>
          <w:szCs w:val="26"/>
        </w:rPr>
        <w:t xml:space="preserve">7.2 Future Scope</w:t>
      </w:r>
    </w:p>
    <w:p>
      <w:pPr>
        <w:pStyle w:val="ListParagraph"/>
        <w:numPr>
          <w:ilvl w:val="0"/>
          <w:numId w:val="2"/>
        </w:numPr>
        <w:spacing w:after="40" w:before="40"/>
      </w:pPr>
      <w:r>
        <w:rPr>
          <w:rFonts w:ascii="Arial" w:cs="Arial" w:eastAsia="Arial" w:hAnsi="Arial"/>
          <w:color w:val="333333"/>
          <w:sz w:val="22"/>
          <w:szCs w:val="22"/>
        </w:rPr>
        <w:t xml:space="preserve">Integrate sentiment analysis from financial news to enhance forecast accuracy</w:t>
      </w:r>
    </w:p>
    <w:p>
      <w:pPr>
        <w:pStyle w:val="ListParagraph"/>
        <w:numPr>
          <w:ilvl w:val="0"/>
          <w:numId w:val="2"/>
        </w:numPr>
        <w:spacing w:after="40" w:before="40"/>
      </w:pPr>
      <w:r>
        <w:rPr>
          <w:rFonts w:ascii="Arial" w:cs="Arial" w:eastAsia="Arial" w:hAnsi="Arial"/>
          <w:color w:val="333333"/>
          <w:sz w:val="22"/>
          <w:szCs w:val="22"/>
        </w:rPr>
        <w:t xml:space="preserve">Include additional technical indicators: RSI, MACD, Bollinger Bands</w:t>
      </w:r>
    </w:p>
    <w:p>
      <w:pPr>
        <w:pStyle w:val="ListParagraph"/>
        <w:numPr>
          <w:ilvl w:val="0"/>
          <w:numId w:val="2"/>
        </w:numPr>
        <w:spacing w:after="40" w:before="40"/>
      </w:pPr>
      <w:r>
        <w:rPr>
          <w:rFonts w:ascii="Arial" w:cs="Arial" w:eastAsia="Arial" w:hAnsi="Arial"/>
          <w:color w:val="333333"/>
          <w:sz w:val="22"/>
          <w:szCs w:val="22"/>
        </w:rPr>
        <w:t xml:space="preserve">Extend forecasting to 90-day and 180-day horizons</w:t>
      </w:r>
    </w:p>
    <w:p>
      <w:pPr>
        <w:pStyle w:val="ListParagraph"/>
        <w:numPr>
          <w:ilvl w:val="0"/>
          <w:numId w:val="2"/>
        </w:numPr>
        <w:spacing w:after="40" w:before="40"/>
      </w:pPr>
      <w:r>
        <w:rPr>
          <w:rFonts w:ascii="Arial" w:cs="Arial" w:eastAsia="Arial" w:hAnsi="Arial"/>
          <w:color w:val="333333"/>
          <w:sz w:val="22"/>
          <w:szCs w:val="22"/>
        </w:rPr>
        <w:t xml:space="preserve">Build a live dashboard refreshing real-time data via Power BI API connectors</w:t>
      </w:r>
    </w:p>
    <w:p>
      <w:pPr>
        <w:pStyle w:val="ListParagraph"/>
        <w:numPr>
          <w:ilvl w:val="0"/>
          <w:numId w:val="2"/>
        </w:numPr>
        <w:spacing w:after="40" w:before="40"/>
      </w:pPr>
      <w:r>
        <w:rPr>
          <w:rFonts w:ascii="Arial" w:cs="Arial" w:eastAsia="Arial" w:hAnsi="Arial"/>
          <w:color w:val="333333"/>
          <w:sz w:val="22"/>
          <w:szCs w:val="22"/>
        </w:rPr>
        <w:t xml:space="preserve">Apply machine learning models (LSTM, XGBoost) for comparison with Prophet</w:t>
      </w:r>
    </w:p>
    <w:p>
      <w:pPr>
        <w:spacing w:after="60" w:before="60"/>
      </w:pPr>
      <w:r>
        <w:t xml:space="preserve"/>
      </w:r>
    </w:p>
    <w:p>
      <w:pPr>
        <w:spacing w:after="60" w:before="60"/>
      </w:pPr>
      <w:r>
        <w:t xml:space="preserve"/>
      </w:r>
    </w:p>
    <w:p>
      <w:pPr>
        <w:pBdr>
          <w:bottom w:val="single" w:color="DDDDDD" w:sz="2" w:space="1"/>
        </w:pBdr>
        <w:spacing w:after="120" w:before="12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8. References</w:t>
      </w:r>
    </w:p>
    <w:p>
      <w:pPr>
        <w:pStyle w:val="ListParagraph"/>
        <w:numPr>
          <w:ilvl w:val="0"/>
          <w:numId w:val="2"/>
        </w:numPr>
        <w:spacing w:after="40" w:before="40"/>
      </w:pPr>
      <w:r>
        <w:rPr>
          <w:rFonts w:ascii="Arial" w:cs="Arial" w:eastAsia="Arial" w:hAnsi="Arial"/>
          <w:color w:val="333333"/>
          <w:sz w:val="22"/>
          <w:szCs w:val="22"/>
        </w:rPr>
        <w:t xml:space="preserve">Yahoo Finance API — https://finance.yahoo.com</w:t>
      </w:r>
    </w:p>
    <w:p>
      <w:pPr>
        <w:pStyle w:val="ListParagraph"/>
        <w:numPr>
          <w:ilvl w:val="0"/>
          <w:numId w:val="2"/>
        </w:numPr>
        <w:spacing w:after="40" w:before="40"/>
      </w:pPr>
      <w:r>
        <w:rPr>
          <w:rFonts w:ascii="Arial" w:cs="Arial" w:eastAsia="Arial" w:hAnsi="Arial"/>
          <w:color w:val="333333"/>
          <w:sz w:val="22"/>
          <w:szCs w:val="22"/>
        </w:rPr>
        <w:t xml:space="preserve">yfinance Python Library — https://pypi.org/project/yfinance/</w:t>
      </w:r>
    </w:p>
    <w:p>
      <w:pPr>
        <w:pStyle w:val="ListParagraph"/>
        <w:numPr>
          <w:ilvl w:val="0"/>
          <w:numId w:val="2"/>
        </w:numPr>
        <w:spacing w:after="40" w:before="40"/>
      </w:pPr>
      <w:r>
        <w:rPr>
          <w:rFonts w:ascii="Arial" w:cs="Arial" w:eastAsia="Arial" w:hAnsi="Arial"/>
          <w:color w:val="333333"/>
          <w:sz w:val="22"/>
          <w:szCs w:val="22"/>
        </w:rPr>
        <w:t xml:space="preserve">Facebook Prophet Documentation — https://facebook.github.io/prophet/</w:t>
      </w:r>
    </w:p>
    <w:p>
      <w:pPr>
        <w:pStyle w:val="ListParagraph"/>
        <w:numPr>
          <w:ilvl w:val="0"/>
          <w:numId w:val="2"/>
        </w:numPr>
        <w:spacing w:after="40" w:before="40"/>
      </w:pPr>
      <w:r>
        <w:rPr>
          <w:rFonts w:ascii="Arial" w:cs="Arial" w:eastAsia="Arial" w:hAnsi="Arial"/>
          <w:color w:val="333333"/>
          <w:sz w:val="22"/>
          <w:szCs w:val="22"/>
        </w:rPr>
        <w:t xml:space="preserve">Pandas Documentation — https://pandas.pydata.org/docs/</w:t>
      </w:r>
    </w:p>
    <w:p>
      <w:pPr>
        <w:pStyle w:val="ListParagraph"/>
        <w:numPr>
          <w:ilvl w:val="0"/>
          <w:numId w:val="2"/>
        </w:numPr>
        <w:spacing w:after="40" w:before="40"/>
      </w:pPr>
      <w:r>
        <w:rPr>
          <w:rFonts w:ascii="Arial" w:cs="Arial" w:eastAsia="Arial" w:hAnsi="Arial"/>
          <w:color w:val="333333"/>
          <w:sz w:val="22"/>
          <w:szCs w:val="22"/>
        </w:rPr>
        <w:t xml:space="preserve">Microsoft Power BI — https://powerbi.microsoft.com/</w:t>
      </w:r>
    </w:p>
    <w:p>
      <w:pPr>
        <w:pStyle w:val="ListParagraph"/>
        <w:numPr>
          <w:ilvl w:val="0"/>
          <w:numId w:val="2"/>
        </w:numPr>
        <w:spacing w:after="40" w:before="40"/>
      </w:pPr>
      <w:r>
        <w:rPr>
          <w:rFonts w:ascii="Arial" w:cs="Arial" w:eastAsia="Arial" w:hAnsi="Arial"/>
          <w:color w:val="333333"/>
          <w:sz w:val="22"/>
          <w:szCs w:val="22"/>
        </w:rPr>
        <w:t xml:space="preserve">National Stock Exchange of India — https://www.nseindia.com/</w:t>
      </w:r>
    </w:p>
    <w:p>
      <w:pPr>
        <w:pStyle w:val="ListParagraph"/>
        <w:numPr>
          <w:ilvl w:val="0"/>
          <w:numId w:val="2"/>
        </w:numPr>
        <w:spacing w:after="40" w:before="40"/>
      </w:pPr>
      <w:r>
        <w:rPr>
          <w:rFonts w:ascii="Arial" w:cs="Arial" w:eastAsia="Arial" w:hAnsi="Arial"/>
          <w:color w:val="333333"/>
          <w:sz w:val="22"/>
          <w:szCs w:val="22"/>
        </w:rPr>
        <w:t xml:space="preserve">Reliance Industries Annual Report 2024 — www.ril.com</w:t>
      </w:r>
    </w:p>
    <w:p>
      <w:pPr>
        <w:spacing w:after="60" w:before="60"/>
      </w:pPr>
      <w:r>
        <w:t xml:space="preserve"/>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0"/>
    </w:pPr>
    <w:r>
      <w:rPr>
        <w:rFonts w:ascii="Arial" w:cs="Arial" w:eastAsia="Arial" w:hAnsi="Arial"/>
        <w:color w:val="888888"/>
        <w:sz w:val="16"/>
        <w:szCs w:val="16"/>
      </w:rPr>
      <w:t xml:space="preserve">Confidential — Academic Project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tabs>
        <w:tab w:val="right" w:pos="9026"/>
      </w:tabs>
      <w:spacing w:after="0"/>
    </w:pPr>
    <w:r>
      <w:rPr>
        <w:rFonts w:ascii="Arial" w:cs="Arial" w:eastAsia="Arial" w:hAnsi="Arial"/>
        <w:b/>
        <w:bCs/>
        <w:color w:val="1F5C99"/>
        <w:sz w:val="18"/>
        <w:szCs w:val="18"/>
      </w:rPr>
      <w:t xml:space="preserve">Reliance Industries — Stock Analysis Report</w:t>
    </w:r>
    <w:r>
      <w:rPr>
        <w:sz w:val="18"/>
        <w:szCs w:val="18"/>
      </w:rPr>
      <w:t xml:space="preserve">	</w:t>
    </w:r>
    <w:r>
      <w:rPr>
        <w:rFonts w:ascii="Arial" w:cs="Arial" w:eastAsia="Arial" w:hAnsi="Arial"/>
        <w:color w:val="888888"/>
        <w:sz w:val="18"/>
        <w:szCs w:val="18"/>
      </w:rPr>
      <w:t xml:space="preserve">Data Analytics Project | Python &amp; Power 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5dab2b1175f8155d21f853711f8db09d641dc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2026-04-26T09:58:37.848Z</dcterms:created>
  <dcterms:modified xsi:type="dcterms:W3CDTF">2026-04-26T09:58:37.848Z</dcterms:modified>
</cp:coreProperties>
</file>

<file path=docProps/custom.xml><?xml version="1.0" encoding="utf-8"?>
<Properties xmlns="http://schemas.openxmlformats.org/officeDocument/2006/custom-properties" xmlns:vt="http://schemas.openxmlformats.org/officeDocument/2006/docPropsVTypes"/>
</file>