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Titan — Architecture &amp; Technical Specifications</w:t>
      </w:r>
    </w:p>
    <w:p>
      <w:pPr>
        <w:pStyle w:val="Heading2"/>
      </w:pPr>
      <w:r>
        <w:t>1. Overview &amp; Objective</w:t>
      </w:r>
    </w:p>
    <w:p>
      <w:r>
        <w:t>Project Titan is Acme's next-generation real-time analytics and distributed query engine. The project lead architect is Sarah Jenkins, who also supervises the DevOps release pipeline.</w:t>
      </w:r>
    </w:p>
    <w:p>
      <w:pPr>
        <w:pStyle w:val="Heading2"/>
      </w:pPr>
      <w:r>
        <w:t>2. Core Infrastructure &amp; Databases</w:t>
      </w:r>
    </w:p>
    <w:p>
      <w:r>
        <w:t>The primary relational persistence layer is PostgreSQL 16, utilizing multi-region streaming replication with a hot synchronous standby in us-west-2 to guarantee zero data loss (RPO = 0).</w:t>
      </w:r>
    </w:p>
    <w:p>
      <w:r>
        <w:t>Redis 7 is deployed in cluster mode as the distributed caching layer and pub/sub message bus for session state and query acceleration.</w:t>
      </w:r>
    </w:p>
    <w:p>
      <w:pPr>
        <w:pStyle w:val="Heading2"/>
      </w:pPr>
      <w:r>
        <w:t>3. Performance SLAs &amp; Latency Targets</w:t>
      </w:r>
    </w:p>
    <w:p>
      <w:r>
        <w:t>Project Titan's search endpoint has a strict latency Service Level Agreement: the p99 latency must stay under 120 milliseconds under a concurrent throughput of 5,000 requests per second.</w:t>
      </w:r>
    </w:p>
    <w:p>
      <w:pPr>
        <w:pStyle w:val="Heading2"/>
      </w:pPr>
      <w:r>
        <w:t>4. Cloud Budget Allocation</w:t>
      </w:r>
    </w:p>
    <w:p>
      <w:r>
        <w:t>The approved annual cloud infrastructure budget for Project Titan is $450,000 for the 2024–2025 fiscal year. This includes AWS compute instances, cross-region replication bandwidth, and reserved Redis clusters.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