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br/>
        <w:t>SMC Alerts Platform</w:t>
        <w:br/>
        <w:t>Metabase Integration &amp; Database Schema Reference</w:t>
        <w:br/>
      </w:r>
    </w:p>
    <w:p>
      <w:r>
        <w:br/>
      </w:r>
    </w:p>
    <w:p>
      <w:pPr>
        <w:keepNext/>
        <w:spacing w:before="360" w:after="120"/>
      </w:pPr>
      <w:r>
        <w:rPr>
          <w:b/>
          <w:color w:val="003366"/>
          <w:sz w:val="32"/>
        </w:rPr>
        <w:t>1. Metabase Database Connection Parameters</w:t>
      </w:r>
    </w:p>
    <w:p>
      <w:pPr>
        <w:spacing w:after="120" w:line="276" w:lineRule="auto"/>
      </w:pPr>
      <w:r>
        <w:t>To connect Metabase to the SMC Alerts database, utilize the following PostgreSQL server settings extracted from the container configuration environment: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Parameter Name</w:t>
            </w:r>
          </w:p>
        </w:tc>
        <w:tc>
          <w:tcPr>
            <w:tcW w:type="dxa" w:w="4680"/>
            <w:shd w:fill="003366"/>
          </w:tcPr>
          <w:p>
            <w:r>
              <w:rPr>
                <w:b/>
                <w:color w:val="FFFFFF"/>
              </w:rPr>
              <w:t>Configuration Value</w:t>
            </w:r>
          </w:p>
        </w:tc>
      </w:tr>
      <w:tr>
        <w:tc>
          <w:tcPr>
            <w:tcW w:type="dxa" w:w="4680"/>
          </w:tcPr>
          <w:p>
            <w:r>
              <w:t>Database Engine</w:t>
            </w:r>
          </w:p>
        </w:tc>
        <w:tc>
          <w:tcPr>
            <w:tcW w:type="dxa" w:w="4680"/>
          </w:tcPr>
          <w:p>
            <w:r>
              <w:t>PostgreSQL</w:t>
            </w:r>
          </w:p>
        </w:tc>
      </w:tr>
      <w:tr>
        <w:tc>
          <w:tcPr>
            <w:tcW w:type="dxa" w:w="4680"/>
          </w:tcPr>
          <w:p>
            <w:r>
              <w:t>Host</w:t>
            </w:r>
          </w:p>
        </w:tc>
        <w:tc>
          <w:tcPr>
            <w:tcW w:type="dxa" w:w="4680"/>
          </w:tcPr>
          <w:p>
            <w:r>
              <w:t>localhost (or 'db' inside the Docker network)</w:t>
            </w:r>
          </w:p>
        </w:tc>
      </w:tr>
      <w:tr>
        <w:tc>
          <w:tcPr>
            <w:tcW w:type="dxa" w:w="4680"/>
          </w:tcPr>
          <w:p>
            <w:r>
              <w:t>Port</w:t>
            </w:r>
          </w:p>
        </w:tc>
        <w:tc>
          <w:tcPr>
            <w:tcW w:type="dxa" w:w="4680"/>
          </w:tcPr>
          <w:p>
            <w:r>
              <w:t>5432</w:t>
            </w:r>
          </w:p>
        </w:tc>
      </w:tr>
      <w:tr>
        <w:tc>
          <w:tcPr>
            <w:tcW w:type="dxa" w:w="4680"/>
          </w:tcPr>
          <w:p>
            <w:r>
              <w:t>Database Name</w:t>
            </w:r>
          </w:p>
        </w:tc>
        <w:tc>
          <w:tcPr>
            <w:tcW w:type="dxa" w:w="4680"/>
          </w:tcPr>
          <w:p>
            <w:r>
              <w:t>alert_summery_db</w:t>
            </w:r>
          </w:p>
        </w:tc>
      </w:tr>
      <w:tr>
        <w:tc>
          <w:tcPr>
            <w:tcW w:type="dxa" w:w="4680"/>
          </w:tcPr>
          <w:p>
            <w:r>
              <w:t>Username</w:t>
            </w:r>
          </w:p>
        </w:tc>
        <w:tc>
          <w:tcPr>
            <w:tcW w:type="dxa" w:w="4680"/>
          </w:tcPr>
          <w:p>
            <w:r>
              <w:t>sre</w:t>
            </w:r>
          </w:p>
        </w:tc>
      </w:tr>
      <w:tr>
        <w:tc>
          <w:tcPr>
            <w:tcW w:type="dxa" w:w="4680"/>
          </w:tcPr>
          <w:p>
            <w:r>
              <w:t>Password</w:t>
            </w:r>
          </w:p>
        </w:tc>
        <w:tc>
          <w:tcPr>
            <w:tcW w:type="dxa" w:w="4680"/>
          </w:tcPr>
          <w:p>
            <w:r>
              <w:t>@smcltd12</w:t>
            </w:r>
          </w:p>
        </w:tc>
      </w:tr>
      <w:tr>
        <w:tc>
          <w:tcPr>
            <w:tcW w:type="dxa" w:w="4680"/>
          </w:tcPr>
          <w:p>
            <w:r>
              <w:t>Database Timezone</w:t>
            </w:r>
          </w:p>
        </w:tc>
        <w:tc>
          <w:tcPr>
            <w:tcW w:type="dxa" w:w="4680"/>
          </w:tcPr>
          <w:p>
            <w:r>
              <w:t>Asia/Kolkata</w:t>
            </w:r>
          </w:p>
        </w:tc>
      </w:tr>
    </w:tbl>
    <w:p>
      <w:pPr>
        <w:keepNext/>
        <w:spacing w:before="360" w:after="120"/>
      </w:pPr>
      <w:r>
        <w:rPr>
          <w:b/>
          <w:color w:val="003366"/>
          <w:sz w:val="32"/>
        </w:rPr>
        <w:t>2. Schema for 'alert_history' Table</w:t>
      </w:r>
    </w:p>
    <w:p>
      <w:pPr>
        <w:spacing w:after="120" w:line="276" w:lineRule="auto"/>
      </w:pPr>
      <w:r>
        <w:t>The alert_history table is a TimescaleDB Hypertable partitioned by fired_time. Below is the complete database schema including primary keys, types, index status, and field purposes: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3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id</w:t>
            </w:r>
          </w:p>
        </w:tc>
        <w:tc>
          <w:tcPr>
            <w:tcW w:type="dxa" w:w="2340"/>
          </w:tcPr>
          <w:p>
            <w:r>
              <w:t>BigInteger</w:t>
            </w:r>
          </w:p>
        </w:tc>
        <w:tc>
          <w:tcPr>
            <w:tcW w:type="dxa" w:w="2340"/>
          </w:tcPr>
          <w:p>
            <w:r>
              <w:t>Primary Key, Auto-increment</w:t>
            </w:r>
          </w:p>
        </w:tc>
        <w:tc>
          <w:tcPr>
            <w:tcW w:type="dxa" w:w="2340"/>
          </w:tcPr>
          <w:p>
            <w:r>
              <w:t>Unique identifier for each alert record</w:t>
            </w:r>
          </w:p>
        </w:tc>
      </w:tr>
      <w:tr>
        <w:tc>
          <w:tcPr>
            <w:tcW w:type="dxa" w:w="2340"/>
          </w:tcPr>
          <w:p>
            <w:r>
              <w:t>fired_time</w:t>
            </w:r>
          </w:p>
        </w:tc>
        <w:tc>
          <w:tcPr>
            <w:tcW w:type="dxa" w:w="2340"/>
          </w:tcPr>
          <w:p>
            <w:r>
              <w:t>DateTime(timezone=True)</w:t>
            </w:r>
          </w:p>
        </w:tc>
        <w:tc>
          <w:tcPr>
            <w:tcW w:type="dxa" w:w="2340"/>
          </w:tcPr>
          <w:p>
            <w:r>
              <w:t>Primary Key</w:t>
            </w:r>
          </w:p>
        </w:tc>
        <w:tc>
          <w:tcPr>
            <w:tcW w:type="dxa" w:w="2340"/>
          </w:tcPr>
          <w:p>
            <w:r>
              <w:t>Time the alert triggered. Used as partitioning key</w:t>
            </w:r>
          </w:p>
        </w:tc>
      </w:tr>
      <w:tr>
        <w:tc>
          <w:tcPr>
            <w:tcW w:type="dxa" w:w="2340"/>
          </w:tcPr>
          <w:p>
            <w:r>
              <w:t>fingerprint</w:t>
            </w:r>
          </w:p>
        </w:tc>
        <w:tc>
          <w:tcPr>
            <w:tcW w:type="dxa" w:w="2340"/>
          </w:tcPr>
          <w:p>
            <w:r>
              <w:t>String(64)</w:t>
            </w:r>
          </w:p>
        </w:tc>
        <w:tc>
          <w:tcPr>
            <w:tcW w:type="dxa" w:w="2340"/>
          </w:tcPr>
          <w:p>
            <w:r>
              <w:t>Indexed, Not Null</w:t>
            </w:r>
          </w:p>
        </w:tc>
        <w:tc>
          <w:tcPr>
            <w:tcW w:type="dxa" w:w="2340"/>
          </w:tcPr>
          <w:p>
            <w:r>
              <w:t>Unique hash identifier for the alert entity</w:t>
            </w:r>
          </w:p>
        </w:tc>
      </w:tr>
      <w:tr>
        <w:tc>
          <w:tcPr>
            <w:tcW w:type="dxa" w:w="2340"/>
          </w:tcPr>
          <w:p>
            <w:r>
              <w:t>instance</w:t>
            </w:r>
          </w:p>
        </w:tc>
        <w:tc>
          <w:tcPr>
            <w:tcW w:type="dxa" w:w="2340"/>
          </w:tcPr>
          <w:p>
            <w:r>
              <w:t>String(255)</w:t>
            </w:r>
          </w:p>
        </w:tc>
        <w:tc>
          <w:tcPr>
            <w:tcW w:type="dxa" w:w="2340"/>
          </w:tcPr>
          <w:p>
            <w:r>
              <w:t>Indexed, Not Null</w:t>
            </w:r>
          </w:p>
        </w:tc>
        <w:tc>
          <w:tcPr>
            <w:tcW w:type="dxa" w:w="2340"/>
          </w:tcPr>
          <w:p>
            <w:r>
              <w:t>Target instance or server IP/hostname</w:t>
            </w:r>
          </w:p>
        </w:tc>
      </w:tr>
      <w:tr>
        <w:tc>
          <w:tcPr>
            <w:tcW w:type="dxa" w:w="2340"/>
          </w:tcPr>
          <w:p>
            <w:r>
              <w:t>hostname</w:t>
            </w:r>
          </w:p>
        </w:tc>
        <w:tc>
          <w:tcPr>
            <w:tcW w:type="dxa" w:w="2340"/>
          </w:tcPr>
          <w:p>
            <w:r>
              <w:t>String(255)</w:t>
            </w:r>
          </w:p>
        </w:tc>
        <w:tc>
          <w:tcPr>
            <w:tcW w:type="dxa" w:w="2340"/>
          </w:tcPr>
          <w:p>
            <w:r>
              <w:t>Nullable</w:t>
            </w:r>
          </w:p>
        </w:tc>
        <w:tc>
          <w:tcPr>
            <w:tcW w:type="dxa" w:w="2340"/>
          </w:tcPr>
          <w:p>
            <w:r>
              <w:t>Human-readable server host alias</w:t>
            </w:r>
          </w:p>
        </w:tc>
      </w:tr>
      <w:tr>
        <w:tc>
          <w:tcPr>
            <w:tcW w:type="dxa" w:w="2340"/>
          </w:tcPr>
          <w:p>
            <w:r>
              <w:t>job</w:t>
            </w:r>
          </w:p>
        </w:tc>
        <w:tc>
          <w:tcPr>
            <w:tcW w:type="dxa" w:w="2340"/>
          </w:tcPr>
          <w:p>
            <w:r>
              <w:t>String(100)</w:t>
            </w:r>
          </w:p>
        </w:tc>
        <w:tc>
          <w:tcPr>
            <w:tcW w:type="dxa" w:w="2340"/>
          </w:tcPr>
          <w:p>
            <w:r>
              <w:t>Indexed, Nullable</w:t>
            </w:r>
          </w:p>
        </w:tc>
        <w:tc>
          <w:tcPr>
            <w:tcW w:type="dxa" w:w="2340"/>
          </w:tcPr>
          <w:p>
            <w:r>
              <w:t>Prometheus target scrape job</w:t>
            </w:r>
          </w:p>
        </w:tc>
      </w:tr>
      <w:tr>
        <w:tc>
          <w:tcPr>
            <w:tcW w:type="dxa" w:w="2340"/>
          </w:tcPr>
          <w:p>
            <w:r>
              <w:t>mount_point</w:t>
            </w:r>
          </w:p>
        </w:tc>
        <w:tc>
          <w:tcPr>
            <w:tcW w:type="dxa" w:w="2340"/>
          </w:tcPr>
          <w:p>
            <w:r>
              <w:t>String(255)</w:t>
            </w:r>
          </w:p>
        </w:tc>
        <w:tc>
          <w:tcPr>
            <w:tcW w:type="dxa" w:w="2340"/>
          </w:tcPr>
          <w:p>
            <w:r>
              <w:t>Nullable</w:t>
            </w:r>
          </w:p>
        </w:tc>
        <w:tc>
          <w:tcPr>
            <w:tcW w:type="dxa" w:w="2340"/>
          </w:tcPr>
          <w:p>
            <w:r>
              <w:t>Storage mount disk name</w:t>
            </w:r>
          </w:p>
        </w:tc>
      </w:tr>
      <w:tr>
        <w:tc>
          <w:tcPr>
            <w:tcW w:type="dxa" w:w="2340"/>
          </w:tcPr>
          <w:p>
            <w:r>
              <w:t>severity</w:t>
            </w:r>
          </w:p>
        </w:tc>
        <w:tc>
          <w:tcPr>
            <w:tcW w:type="dxa" w:w="2340"/>
          </w:tcPr>
          <w:p>
            <w:r>
              <w:t>String(50)</w:t>
            </w:r>
          </w:p>
        </w:tc>
        <w:tc>
          <w:tcPr>
            <w:tcW w:type="dxa" w:w="2340"/>
          </w:tcPr>
          <w:p>
            <w:r>
              <w:t>Indexed, Not Null</w:t>
            </w:r>
          </w:p>
        </w:tc>
        <w:tc>
          <w:tcPr>
            <w:tcW w:type="dxa" w:w="2340"/>
          </w:tcPr>
          <w:p>
            <w:r>
              <w:t>Severity level: Critical, Warning, Info</w:t>
            </w:r>
          </w:p>
        </w:tc>
      </w:tr>
      <w:tr>
        <w:tc>
          <w:tcPr>
            <w:tcW w:type="dxa" w:w="2340"/>
          </w:tcPr>
          <w:p>
            <w:r>
              <w:t>metric_value_fired</w:t>
            </w:r>
          </w:p>
        </w:tc>
        <w:tc>
          <w:tcPr>
            <w:tcW w:type="dxa" w:w="2340"/>
          </w:tcPr>
          <w:p>
            <w:r>
              <w:t>Float</w:t>
            </w:r>
          </w:p>
        </w:tc>
        <w:tc>
          <w:tcPr>
            <w:tcW w:type="dxa" w:w="2340"/>
          </w:tcPr>
          <w:p>
            <w:r>
              <w:t>Nullable</w:t>
            </w:r>
          </w:p>
        </w:tc>
        <w:tc>
          <w:tcPr>
            <w:tcW w:type="dxa" w:w="2340"/>
          </w:tcPr>
          <w:p>
            <w:r>
              <w:t>Metric value recorded at trigger time</w:t>
            </w:r>
          </w:p>
        </w:tc>
      </w:tr>
      <w:tr>
        <w:tc>
          <w:tcPr>
            <w:tcW w:type="dxa" w:w="2340"/>
          </w:tcPr>
          <w:p>
            <w:r>
              <w:t>metric_value_resolved</w:t>
            </w:r>
          </w:p>
        </w:tc>
        <w:tc>
          <w:tcPr>
            <w:tcW w:type="dxa" w:w="2340"/>
          </w:tcPr>
          <w:p>
            <w:r>
              <w:t>Float</w:t>
            </w:r>
          </w:p>
        </w:tc>
        <w:tc>
          <w:tcPr>
            <w:tcW w:type="dxa" w:w="2340"/>
          </w:tcPr>
          <w:p>
            <w:r>
              <w:t>Nullable</w:t>
            </w:r>
          </w:p>
        </w:tc>
        <w:tc>
          <w:tcPr>
            <w:tcW w:type="dxa" w:w="2340"/>
          </w:tcPr>
          <w:p>
            <w:r>
              <w:t>Metric value recorded at resolution time</w:t>
            </w:r>
          </w:p>
        </w:tc>
      </w:tr>
      <w:tr>
        <w:tc>
          <w:tcPr>
            <w:tcW w:type="dxa" w:w="2340"/>
          </w:tcPr>
          <w:p>
            <w:r>
              <w:t>threshold</w:t>
            </w:r>
          </w:p>
        </w:tc>
        <w:tc>
          <w:tcPr>
            <w:tcW w:type="dxa" w:w="2340"/>
          </w:tcPr>
          <w:p>
            <w:r>
              <w:t>Float</w:t>
            </w:r>
          </w:p>
        </w:tc>
        <w:tc>
          <w:tcPr>
            <w:tcW w:type="dxa" w:w="2340"/>
          </w:tcPr>
          <w:p>
            <w:r>
              <w:t>Nullable</w:t>
            </w:r>
          </w:p>
        </w:tc>
        <w:tc>
          <w:tcPr>
            <w:tcW w:type="dxa" w:w="2340"/>
          </w:tcPr>
          <w:p>
            <w:r>
              <w:t>Breach threshold parameter</w:t>
            </w:r>
          </w:p>
        </w:tc>
      </w:tr>
      <w:tr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String(50)</w:t>
            </w:r>
          </w:p>
        </w:tc>
        <w:tc>
          <w:tcPr>
            <w:tcW w:type="dxa" w:w="2340"/>
          </w:tcPr>
          <w:p>
            <w:r>
              <w:t>Indexed, Not Null</w:t>
            </w:r>
          </w:p>
        </w:tc>
        <w:tc>
          <w:tcPr>
            <w:tcW w:type="dxa" w:w="2340"/>
          </w:tcPr>
          <w:p>
            <w:r>
              <w:t>Lifecycle state: firing, resolved</w:t>
            </w:r>
          </w:p>
        </w:tc>
      </w:tr>
      <w:tr>
        <w:tc>
          <w:tcPr>
            <w:tcW w:type="dxa" w:w="2340"/>
          </w:tcPr>
          <w:p>
            <w:r>
              <w:t>resolved_time</w:t>
            </w:r>
          </w:p>
        </w:tc>
        <w:tc>
          <w:tcPr>
            <w:tcW w:type="dxa" w:w="2340"/>
          </w:tcPr>
          <w:p>
            <w:r>
              <w:t>DateTime(timezone=True)</w:t>
            </w:r>
          </w:p>
        </w:tc>
        <w:tc>
          <w:tcPr>
            <w:tcW w:type="dxa" w:w="2340"/>
          </w:tcPr>
          <w:p>
            <w:r>
              <w:t>Nullable</w:t>
            </w:r>
          </w:p>
        </w:tc>
        <w:tc>
          <w:tcPr>
            <w:tcW w:type="dxa" w:w="2340"/>
          </w:tcPr>
          <w:p>
            <w:r>
              <w:t>Timestamp when alert resolved</w:t>
            </w:r>
          </w:p>
        </w:tc>
      </w:tr>
      <w:tr>
        <w:tc>
          <w:tcPr>
            <w:tcW w:type="dxa" w:w="2340"/>
          </w:tcPr>
          <w:p>
            <w:r>
              <w:t>duration</w:t>
            </w:r>
          </w:p>
        </w:tc>
        <w:tc>
          <w:tcPr>
            <w:tcW w:type="dxa" w:w="2340"/>
          </w:tcPr>
          <w:p>
            <w:r>
              <w:t>Interval</w:t>
            </w:r>
          </w:p>
        </w:tc>
        <w:tc>
          <w:tcPr>
            <w:tcW w:type="dxa" w:w="2340"/>
          </w:tcPr>
          <w:p>
            <w:r>
              <w:t>Nullable</w:t>
            </w:r>
          </w:p>
        </w:tc>
        <w:tc>
          <w:tcPr>
            <w:tcW w:type="dxa" w:w="2340"/>
          </w:tcPr>
          <w:p>
            <w:r>
              <w:t>Elapsed time of the breach</w:t>
            </w:r>
          </w:p>
        </w:tc>
      </w:tr>
      <w:tr>
        <w:tc>
          <w:tcPr>
            <w:tcW w:type="dxa" w:w="2340"/>
          </w:tcPr>
          <w:p>
            <w:r>
              <w:t>labels</w:t>
            </w:r>
          </w:p>
        </w:tc>
        <w:tc>
          <w:tcPr>
            <w:tcW w:type="dxa" w:w="2340"/>
          </w:tcPr>
          <w:p>
            <w:r>
              <w:t>JSON</w:t>
            </w:r>
          </w:p>
        </w:tc>
        <w:tc>
          <w:tcPr>
            <w:tcW w:type="dxa" w:w="2340"/>
          </w:tcPr>
          <w:p>
            <w:r>
              <w:t>Not Null</w:t>
            </w:r>
          </w:p>
        </w:tc>
        <w:tc>
          <w:tcPr>
            <w:tcW w:type="dxa" w:w="2340"/>
          </w:tcPr>
          <w:p>
            <w:r>
              <w:t>Full Prometheus label dictionary</w:t>
            </w:r>
          </w:p>
        </w:tc>
      </w:tr>
      <w:tr>
        <w:tc>
          <w:tcPr>
            <w:tcW w:type="dxa" w:w="2340"/>
          </w:tcPr>
          <w:p>
            <w:r>
              <w:t>annotations</w:t>
            </w:r>
          </w:p>
        </w:tc>
        <w:tc>
          <w:tcPr>
            <w:tcW w:type="dxa" w:w="2340"/>
          </w:tcPr>
          <w:p>
            <w:r>
              <w:t>JSON</w:t>
            </w:r>
          </w:p>
        </w:tc>
        <w:tc>
          <w:tcPr>
            <w:tcW w:type="dxa" w:w="2340"/>
          </w:tcPr>
          <w:p>
            <w:r>
              <w:t>Not Null</w:t>
            </w:r>
          </w:p>
        </w:tc>
        <w:tc>
          <w:tcPr>
            <w:tcW w:type="dxa" w:w="2340"/>
          </w:tcPr>
          <w:p>
            <w:r>
              <w:t>Full Prometheus annotations details</w:t>
            </w:r>
          </w:p>
        </w:tc>
      </w:tr>
      <w:tr>
        <w:tc>
          <w:tcPr>
            <w:tcW w:type="dxa" w:w="2340"/>
          </w:tcPr>
          <w:p>
            <w:r>
              <w:t>ack_status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Indexed, Not Null</w:t>
            </w:r>
          </w:p>
        </w:tc>
        <w:tc>
          <w:tcPr>
            <w:tcW w:type="dxa" w:w="2340"/>
          </w:tcPr>
          <w:p>
            <w:r>
              <w:t>Acknowledgement flag status</w:t>
            </w:r>
          </w:p>
        </w:tc>
      </w:tr>
      <w:tr>
        <w:tc>
          <w:tcPr>
            <w:tcW w:type="dxa" w:w="2340"/>
          </w:tcPr>
          <w:p>
            <w:r>
              <w:t>ack_user_id</w:t>
            </w:r>
          </w:p>
        </w:tc>
        <w:tc>
          <w:tcPr>
            <w:tcW w:type="dxa" w:w="2340"/>
          </w:tcPr>
          <w:p>
            <w:r>
              <w:t>UUID</w:t>
            </w:r>
          </w:p>
        </w:tc>
        <w:tc>
          <w:tcPr>
            <w:tcW w:type="dxa" w:w="2340"/>
          </w:tcPr>
          <w:p>
            <w:r>
              <w:t>FK to users.id</w:t>
            </w:r>
          </w:p>
        </w:tc>
        <w:tc>
          <w:tcPr>
            <w:tcW w:type="dxa" w:w="2340"/>
          </w:tcPr>
          <w:p>
            <w:r>
              <w:t>Operator who acknowledged the incident</w:t>
            </w:r>
          </w:p>
        </w:tc>
      </w:tr>
      <w:tr>
        <w:tc>
          <w:tcPr>
            <w:tcW w:type="dxa" w:w="2340"/>
          </w:tcPr>
          <w:p>
            <w:r>
              <w:t>ack_time</w:t>
            </w:r>
          </w:p>
        </w:tc>
        <w:tc>
          <w:tcPr>
            <w:tcW w:type="dxa" w:w="2340"/>
          </w:tcPr>
          <w:p>
            <w:r>
              <w:t>DateTime(timezone=True)</w:t>
            </w:r>
          </w:p>
        </w:tc>
        <w:tc>
          <w:tcPr>
            <w:tcW w:type="dxa" w:w="2340"/>
          </w:tcPr>
          <w:p>
            <w:r>
              <w:t>Nullable</w:t>
            </w:r>
          </w:p>
        </w:tc>
        <w:tc>
          <w:tcPr>
            <w:tcW w:type="dxa" w:w="2340"/>
          </w:tcPr>
          <w:p>
            <w:r>
              <w:t>Acknowledgement timestamp</w:t>
            </w:r>
          </w:p>
        </w:tc>
      </w:tr>
      <w:tr>
        <w:tc>
          <w:tcPr>
            <w:tcW w:type="dxa" w:w="2340"/>
          </w:tcPr>
          <w:p>
            <w:r>
              <w:t>ack_comment</w:t>
            </w:r>
          </w:p>
        </w:tc>
        <w:tc>
          <w:tcPr>
            <w:tcW w:type="dxa" w:w="2340"/>
          </w:tcPr>
          <w:p>
            <w:r>
              <w:t>String(1000)</w:t>
            </w:r>
          </w:p>
        </w:tc>
        <w:tc>
          <w:tcPr>
            <w:tcW w:type="dxa" w:w="2340"/>
          </w:tcPr>
          <w:p>
            <w:r>
              <w:t>Nullable</w:t>
            </w:r>
          </w:p>
        </w:tc>
        <w:tc>
          <w:tcPr>
            <w:tcW w:type="dxa" w:w="2340"/>
          </w:tcPr>
          <w:p>
            <w:r>
              <w:t>Incident resolution comment or workflow log</w:t>
            </w:r>
          </w:p>
        </w:tc>
      </w:tr>
      <w:tr>
        <w:tc>
          <w:tcPr>
            <w:tcW w:type="dxa" w:w="2340"/>
          </w:tcPr>
          <w:p>
            <w:r>
              <w:t>rule_id</w:t>
            </w:r>
          </w:p>
        </w:tc>
        <w:tc>
          <w:tcPr>
            <w:tcW w:type="dxa" w:w="2340"/>
          </w:tcPr>
          <w:p>
            <w:r>
              <w:t>UUID</w:t>
            </w:r>
          </w:p>
        </w:tc>
        <w:tc>
          <w:tcPr>
            <w:tcW w:type="dxa" w:w="2340"/>
          </w:tcPr>
          <w:p>
            <w:r>
              <w:t>FK to alert_rules.id</w:t>
            </w:r>
          </w:p>
        </w:tc>
        <w:tc>
          <w:tcPr>
            <w:tcW w:type="dxa" w:w="2340"/>
          </w:tcPr>
          <w:p>
            <w:r>
              <w:t>Rule ID constraint mapping</w:t>
            </w:r>
          </w:p>
        </w:tc>
      </w:tr>
      <w:tr>
        <w:tc>
          <w:tcPr>
            <w:tcW w:type="dxa" w:w="2340"/>
          </w:tcPr>
          <w:p>
            <w:r>
              <w:t>prometheus_server_id</w:t>
            </w:r>
          </w:p>
        </w:tc>
        <w:tc>
          <w:tcPr>
            <w:tcW w:type="dxa" w:w="2340"/>
          </w:tcPr>
          <w:p>
            <w:r>
              <w:t>UUID</w:t>
            </w:r>
          </w:p>
        </w:tc>
        <w:tc>
          <w:tcPr>
            <w:tcW w:type="dxa" w:w="2340"/>
          </w:tcPr>
          <w:p>
            <w:r>
              <w:t>FK to prometheus_servers.id</w:t>
            </w:r>
          </w:p>
        </w:tc>
        <w:tc>
          <w:tcPr>
            <w:tcW w:type="dxa" w:w="2340"/>
          </w:tcPr>
          <w:p>
            <w:r>
              <w:t>Originating Prometheus server context</w:t>
            </w:r>
          </w:p>
        </w:tc>
      </w:tr>
      <w:tr>
        <w:tc>
          <w:tcPr>
            <w:tcW w:type="dxa" w:w="2340"/>
          </w:tcPr>
          <w:p>
            <w:r>
              <w:t>silence_id</w:t>
            </w:r>
          </w:p>
        </w:tc>
        <w:tc>
          <w:tcPr>
            <w:tcW w:type="dxa" w:w="2340"/>
          </w:tcPr>
          <w:p>
            <w:r>
              <w:t>UUID</w:t>
            </w:r>
          </w:p>
        </w:tc>
        <w:tc>
          <w:tcPr>
            <w:tcW w:type="dxa" w:w="2340"/>
          </w:tcPr>
          <w:p>
            <w:r>
              <w:t>FK to silences.id</w:t>
            </w:r>
          </w:p>
        </w:tc>
        <w:tc>
          <w:tcPr>
            <w:tcW w:type="dxa" w:w="2340"/>
          </w:tcPr>
          <w:p>
            <w:r>
              <w:t>Applicable silence configuration</w:t>
            </w:r>
          </w:p>
        </w:tc>
      </w:tr>
      <w:tr>
        <w:tc>
          <w:tcPr>
            <w:tcW w:type="dxa" w:w="2340"/>
          </w:tcPr>
          <w:p>
            <w:r>
              <w:t>jira_ticket</w:t>
            </w:r>
          </w:p>
        </w:tc>
        <w:tc>
          <w:tcPr>
            <w:tcW w:type="dxa" w:w="2340"/>
          </w:tcPr>
          <w:p>
            <w:r>
              <w:t>String(50)</w:t>
            </w:r>
          </w:p>
        </w:tc>
        <w:tc>
          <w:tcPr>
            <w:tcW w:type="dxa" w:w="2340"/>
          </w:tcPr>
          <w:p>
            <w:r>
              <w:t>Nullable</w:t>
            </w:r>
          </w:p>
        </w:tc>
        <w:tc>
          <w:tcPr>
            <w:tcW w:type="dxa" w:w="2340"/>
          </w:tcPr>
          <w:p>
            <w:r>
              <w:t>Linked Jira ticket code</w:t>
            </w:r>
          </w:p>
        </w:tc>
      </w:tr>
      <w:tr>
        <w:tc>
          <w:tcPr>
            <w:tcW w:type="dxa" w:w="2340"/>
          </w:tcPr>
          <w:p>
            <w:r>
              <w:t>jira_status</w:t>
            </w:r>
          </w:p>
        </w:tc>
        <w:tc>
          <w:tcPr>
            <w:tcW w:type="dxa" w:w="2340"/>
          </w:tcPr>
          <w:p>
            <w:r>
              <w:t>String(50)</w:t>
            </w:r>
          </w:p>
        </w:tc>
        <w:tc>
          <w:tcPr>
            <w:tcW w:type="dxa" w:w="2340"/>
          </w:tcPr>
          <w:p>
            <w:r>
              <w:t>Nullable</w:t>
            </w:r>
          </w:p>
        </w:tc>
        <w:tc>
          <w:tcPr>
            <w:tcW w:type="dxa" w:w="2340"/>
          </w:tcPr>
          <w:p>
            <w:r>
              <w:t>Status of the Jira integration issue</w:t>
            </w:r>
          </w:p>
        </w:tc>
      </w:tr>
    </w:tbl>
    <w:p>
      <w:pPr>
        <w:keepNext/>
        <w:spacing w:before="240" w:after="80"/>
      </w:pPr>
      <w:r>
        <w:rPr>
          <w:b/>
          <w:color w:val="005588"/>
          <w:sz w:val="26"/>
        </w:rPr>
        <w:t>2.1 Fields Recommended to be Added</w:t>
      </w:r>
    </w:p>
    <w:p>
      <w:pPr>
        <w:spacing w:after="120" w:line="276" w:lineRule="auto"/>
      </w:pPr>
      <w:r>
        <w:t>To support advanced reporting (such as operator performance, system categorizations, and Service Level Agreement metrics), consider appending these fields to the model:</w:t>
      </w:r>
    </w:p>
    <w:p>
      <w:pPr>
        <w:pStyle w:val="ListBullet"/>
        <w:spacing w:after="60" w:line="276" w:lineRule="auto"/>
      </w:pPr>
      <w:r>
        <w:t>resolved_by (UUID, FK to users.id) - Identifies the operator who manually resolved or confirmed the alert resolution.</w:t>
      </w:r>
    </w:p>
    <w:p>
      <w:pPr>
        <w:pStyle w:val="ListBullet"/>
        <w:spacing w:after="60" w:line="276" w:lineRule="auto"/>
      </w:pPr>
      <w:r>
        <w:t>category (String) - Enables categorization (e.g. Memory, Disk, CPU, Network) for component failure metrics dashboards.</w:t>
      </w:r>
    </w:p>
    <w:p>
      <w:pPr>
        <w:pStyle w:val="ListBullet"/>
        <w:spacing w:after="60" w:line="276" w:lineRule="auto"/>
      </w:pPr>
      <w:r>
        <w:t>sla_breached (Boolean) - System-computed column indicating if target MTTR (Mean Time to Resolution) breached response limits.</w:t>
      </w:r>
    </w:p>
    <w:p>
      <w:pPr>
        <w:keepNext/>
        <w:spacing w:before="360" w:after="120"/>
      </w:pPr>
      <w:r>
        <w:rPr>
          <w:b/>
          <w:color w:val="003366"/>
          <w:sz w:val="32"/>
        </w:rPr>
        <w:t>3. Logic for Exporting Data to CSV</w:t>
      </w:r>
    </w:p>
    <w:p>
      <w:pPr>
        <w:spacing w:after="120" w:line="276" w:lineRule="auto"/>
      </w:pPr>
      <w:r>
        <w:t>The CSV generation logic is implemented as follows inside the application layer:</w:t>
      </w:r>
    </w:p>
    <w:p>
      <w:pPr>
        <w:pStyle w:val="ListBullet"/>
        <w:spacing w:after="60" w:line="276" w:lineRule="auto"/>
      </w:pPr>
      <w:r>
        <w:t>Query Filters: Retrieves alert records within the specific start/end window, filtering out any alerts containing active silences (silence_id IS NULL) to report on real actioned issues.</w:t>
      </w:r>
    </w:p>
    <w:p>
      <w:pPr>
        <w:pStyle w:val="ListBullet"/>
        <w:spacing w:after="60" w:line="276" w:lineRule="auto"/>
      </w:pPr>
      <w:r>
        <w:t>Timezone Conversion: Automatically formats database UTC timestamps to India Standard Time (Asia/Kolkata) using the format: 'MM/DD/YYYY, H:MM:SS AM/PM'.</w:t>
      </w:r>
    </w:p>
    <w:p>
      <w:pPr>
        <w:pStyle w:val="ListBullet"/>
        <w:spacing w:after="60" w:line="276" w:lineRule="auto"/>
      </w:pPr>
      <w:r>
        <w:t>Pandas Conversion: Flat dict items are mapped into a Pandas DataFrame with clean, user-friendly headers, then encoded to UTF-8 CSV bytes stream output.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