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FraudGraph Agent: Agentic Fraud Investigation on TigerGraph</w:t>
      </w:r>
    </w:p>
    <w:p>
      <w:pPr/>
      <w:r>
        <w:t xml:space="preserve">As of September 22, 2026</w:t>
      </w:r>
    </w:p>
    <w:p>
      <w:pPr/>
      <w:r>
        <w:t xml:space="preserve">Built for the TigerGraph x Hacker House Goa challenge: an agent that investigates fraud on a TigerGraph knowledge graph, decides what kind of fraud it is, recommends the next best action under a bank's fraud policy, asks for more evidence when uncertain, explains itself, and writes each case back into the graph as memory for future investigations.</w:t>
      </w:r>
    </w:p>
    <w:p>
      <w:pPr>
        <w:pStyle w:val="Heading2"/>
      </w:pPr>
      <w:r>
        <w:t xml:space="preserve">What we built</w:t>
      </w:r>
    </w:p>
    <w:p>
      <w:pPr/>
      <w:r>
        <w:t xml:space="preserve">FraudGraph Agent is an agentic fraud investigator. It takes a trigger — a bank risk score, a customer dispute, or an analyst request — and runs it through an eight-step pipeline: investigate the transaction on the graph, gather evidence, ground the decision with GraphRAG, assess a calibrated fraud probability, recommend actions under a deterministic policy engine, ask for more evidence when the picture is uncertain, explain the reasoning in plain language, and write the finished case back into the graph as memory.</w:t>
      </w:r>
    </w:p>
    <w:p>
      <w:pPr/>
      <w:r>
        <w:t xml:space="preserve">The dataset is the IEEE-CIS Fraud Detection data (590,742 card transactions, 14,893 cards, 13,553 customers, six months, no ground-truth fraud flag) plus 5,565 closed investigations and the bank's fraud policy and typologies. The agent ran end to end against all 20 benchmark cases with no manual intervention, producing one answer file per case: the investigation record, evidence with sources, a next-best-action recommendation before and after any requested evidence, a suspicious activity report when policy requires one, and a written-to-graph confirmation.</w:t>
      </w:r>
    </w:p>
    <w:p>
      <w:pPr>
        <w:pStyle w:val="Heading2"/>
      </w:pPr>
      <w:r>
        <w:t xml:space="preserve">Architecture</w:t>
      </w:r>
    </w:p>
    <w:p>
      <w:pPr>
        <w:pStyle w:val="Code"/>
      </w:pPr>
      <w:bookmarkStart w:id="1" w:name="bongo_lang_mermaid_1"/>
      <w:bookmarkEnd w:id="1"/>
      <w:r>
        <w:t xml:space="preserve">flowchart LR</w:t>
        <w:br/>
        <w:t xml:space="preserve">  A[Trigger: risk score / customer report / analyst] --&gt; B[1. Investigate\nGSQL: card_txns, device_txns,\ndevice_closed_cases, card_closed_cases, ring_expand]</w:t>
        <w:br/>
        <w:t xml:space="preserve">  B --&gt; C[2. Gather\nepisode model + rule detectors]</w:t>
        <w:br/>
        <w:t xml:space="preserve">  C --&gt; D[3. GraphRAG\nvector search: closed cases + policy chunks]</w:t>
        <w:br/>
        <w:t xml:space="preserve">  D --&gt; E[4. Assess\ncalibrated fraud probability, pattern, signal count]</w:t>
        <w:br/>
        <w:t xml:space="preserve">  E --&gt; F[5. Recommend\npolicy engine: rules R1-R10, approval routes]</w:t>
        <w:br/>
        <w:t xml:space="preserve">  F --&gt; G[6. Evidence\nsimulated reply, recommendation updated]</w:t>
        <w:br/>
        <w:t xml:space="preserve">  G --&gt; H[7. Explain\nLLM writes summary / SAR from structured facts]</w:t>
        <w:br/>
        <w:t xml:space="preserve">  H --&gt; I[8. Remember\nAgentCase vertex + edges + embedding written to graph]</w:t>
      </w:r>
    </w:p>
    <w:p>
      <w:pPr/>
      <w:r>
        <w:t xml:space="preserve">Each module is a separate file: </w:t>
      </w:r>
      <w:r>
        <w:rPr>
          <w:rStyle w:val="CodeChar"/>
        </w:rPr>
        <w:t xml:space="preserve">agent/investigator.py</w:t>
      </w:r>
      <w:r>
        <w:t xml:space="preserve"> orchestrates the pipeline, </w:t>
      </w:r>
      <w:r>
        <w:rPr>
          <w:rStyle w:val="CodeChar"/>
        </w:rPr>
        <w:t xml:space="preserve">agent/data_access.py</w:t>
      </w:r>
      <w:r>
        <w:t xml:space="preserve"> wraps every graph read as an installed GSQL query (and shares one interface with an in-memory client used for offline training and parity checks), </w:t>
      </w:r>
      <w:r>
        <w:rPr>
          <w:rStyle w:val="CodeChar"/>
        </w:rPr>
        <w:t xml:space="preserve">agent/policy.py</w:t>
      </w:r>
      <w:r>
        <w:t xml:space="preserve"> is the fraud policy encoded as rules R1–R10 with deterministic action routing, and </w:t>
      </w:r>
      <w:r>
        <w:rPr>
          <w:rStyle w:val="CodeChar"/>
        </w:rPr>
        <w:t xml:space="preserve">agent/memory.py</w:t>
      </w:r>
      <w:r>
        <w:t xml:space="preserve"> writes the finished case back into TigerGraph. The LLM (via </w:t>
      </w:r>
      <w:r>
        <w:rPr>
          <w:rStyle w:val="CodeChar"/>
        </w:rPr>
        <w:t xml:space="preserve">agent/llm.py</w:t>
      </w:r>
      <w:r>
        <w:t xml:space="preserve">, OmniRoute with Ollama Cloud fallback) only reasons and writes — it never picks an action or an approval route, so it cannot breach policy. The UI (</w:t>
      </w:r>
      <w:r>
        <w:rPr>
          <w:rStyle w:val="CodeChar"/>
        </w:rPr>
        <w:t xml:space="preserve">ui/index.html</w:t>
      </w:r>
      <w:r>
        <w:t xml:space="preserve">, </w:t>
      </w:r>
      <w:r>
        <w:rPr>
          <w:rStyle w:val="CodeChar"/>
        </w:rPr>
        <w:t xml:space="preserve">api/app.py</w:t>
      </w:r>
      <w:r>
        <w:t xml:space="preserve">) is an analyst dashboard: alert queue, a live-streamed investigation timeline, an uncertainty gauge, initial vs. final actions, evidence with sources, the SAR, a graph view, and case memory.</w:t>
      </w:r>
    </w:p>
    <w:p>
      <w:pPr>
        <w:pStyle w:val="Heading2"/>
      </w:pPr>
      <w:r>
        <w:t xml:space="preserve">How TigerGraph is used</w:t>
      </w:r>
    </w:p>
    <w:p>
      <w:pPr/>
      <w:r>
        <w:t xml:space="preserve">TigerGraph 4.2.5 Community Edition (Docker) holds the whole knowledge graph: </w:t>
      </w:r>
      <w:r>
        <w:rPr>
          <w:rStyle w:val="CodeChar"/>
        </w:rPr>
        <w:t xml:space="preserve">Customer</w:t>
      </w:r>
      <w:r>
        <w:t xml:space="preserve">, </w:t>
      </w:r>
      <w:r>
        <w:rPr>
          <w:rStyle w:val="CodeChar"/>
        </w:rPr>
        <w:t xml:space="preserve">Card</w:t>
      </w:r>
      <w:r>
        <w:t xml:space="preserve">, </w:t>
      </w:r>
      <w:r>
        <w:rPr>
          <w:rStyle w:val="CodeChar"/>
        </w:rPr>
        <w:t xml:space="preserve">Transaction</w:t>
      </w:r>
      <w:r>
        <w:t xml:space="preserve">, </w:t>
      </w:r>
      <w:r>
        <w:rPr>
          <w:rStyle w:val="CodeChar"/>
        </w:rPr>
        <w:t xml:space="preserve">DeviceProfile</w:t>
      </w:r>
      <w:r>
        <w:t xml:space="preserve">, </w:t>
      </w:r>
      <w:r>
        <w:rPr>
          <w:rStyle w:val="CodeChar"/>
        </w:rPr>
        <w:t xml:space="preserve">EmailDomain</w:t>
      </w:r>
      <w:r>
        <w:t xml:space="preserve">, </w:t>
      </w:r>
      <w:r>
        <w:rPr>
          <w:rStyle w:val="CodeChar"/>
        </w:rPr>
        <w:t xml:space="preserve">BillingRegion</w:t>
      </w:r>
      <w:r>
        <w:t xml:space="preserve">, </w:t>
      </w:r>
      <w:r>
        <w:rPr>
          <w:rStyle w:val="CodeChar"/>
        </w:rPr>
        <w:t xml:space="preserve">ClosedCase</w:t>
      </w:r>
      <w:r>
        <w:t xml:space="preserve">, </w:t>
      </w:r>
      <w:r>
        <w:rPr>
          <w:rStyle w:val="CodeChar"/>
        </w:rPr>
        <w:t xml:space="preserve">PolicyChunk</w:t>
      </w:r>
      <w:r>
        <w:t xml:space="preserve">, and </w:t>
      </w:r>
      <w:r>
        <w:rPr>
          <w:rStyle w:val="CodeChar"/>
        </w:rPr>
        <w:t xml:space="preserve">AgentCase</w:t>
      </w:r>
      <w:r>
        <w:t xml:space="preserve"> (the agent's own case memory), connected by ownership, transaction, device, billing, and case-similarity edges — 590,742 transactions, 14,893 cards, 5,565 closed cases.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GSQL</w:t>
            </w:r>
          </w:p>
        </w:tc>
        <w:tc>
          <w:tcPr>
            <w:tcW w:w="3120" w:type="dxa"/>
            <w:shd w:val="clear" w:color="auto" w:fill="F2F2F2"/>
          </w:tcPr>
          <w:p>
            <w:pPr/>
            <w:r>
              <w:t xml:space="preserve">Purpose</w:t>
            </w:r>
          </w:p>
        </w:tc>
      </w:tr>
      <w:tr>
        <w:tc>
          <w:tcPr>
            <w:tcW w:w="3120" w:type="dxa"/>
          </w:tcPr>
          <w:p>
            <w:pPr/>
            <w:r>
              <w:t xml:space="preserve">Graph traversal</w:t>
            </w:r>
          </w:p>
        </w:tc>
        <w:tc>
          <w:tcPr>
            <w:tcW w:w="3120" w:type="dxa"/>
          </w:tcPr>
          <w:p>
            <w:pPr/>
            <w:r>
              <w:rPr>
                <w:rStyle w:val="CodeChar"/>
              </w:rPr>
              <w:t xml:space="preserve">card_txns</w:t>
            </w:r>
            <w:r>
              <w:t xml:space="preserve">, </w:t>
            </w:r>
            <w:r>
              <w:rPr>
                <w:rStyle w:val="CodeChar"/>
              </w:rPr>
              <w:t xml:space="preserve">device_txns</w:t>
            </w:r>
          </w:p>
        </w:tc>
        <w:tc>
          <w:tcPr>
            <w:tcW w:w="3120" w:type="dxa"/>
          </w:tcPr>
          <w:p>
            <w:pPr/>
            <w:r>
              <w:t xml:space="preserve">Pull a card's or device's transaction history for feature building</w:t>
            </w:r>
          </w:p>
        </w:tc>
      </w:tr>
      <w:tr>
        <w:tc>
          <w:tcPr>
            <w:tcW w:w="3120" w:type="dxa"/>
          </w:tcPr>
          <w:p>
            <w:pPr/>
            <w:r>
              <w:t xml:space="preserve">Relationship analysis</w:t>
            </w:r>
          </w:p>
        </w:tc>
        <w:tc>
          <w:tcPr>
            <w:tcW w:w="3120" w:type="dxa"/>
          </w:tcPr>
          <w:p>
            <w:pPr/>
            <w:r>
              <w:rPr>
                <w:rStyle w:val="CodeChar"/>
              </w:rPr>
              <w:t xml:space="preserve">card_closed_cases</w:t>
            </w:r>
            <w:r>
              <w:t xml:space="preserve">, </w:t>
            </w:r>
            <w:r>
              <w:rPr>
                <w:rStyle w:val="CodeChar"/>
              </w:rPr>
              <w:t xml:space="preserve">device_closed_cases</w:t>
            </w:r>
            <w:r>
              <w:t xml:space="preserve">, </w:t>
            </w:r>
            <w:r>
              <w:rPr>
                <w:rStyle w:val="CodeChar"/>
              </w:rPr>
              <w:t xml:space="preserve">ring_expand</w:t>
            </w:r>
          </w:p>
        </w:tc>
        <w:tc>
          <w:tcPr>
            <w:tcW w:w="3120" w:type="dxa"/>
          </w:tcPr>
          <w:p>
            <w:pPr/>
            <w:r>
              <w:t xml:space="preserve">Find prior cases and connected cards sharing a device or region — fraud rings</w:t>
            </w:r>
          </w:p>
        </w:tc>
      </w:tr>
      <w:tr>
        <w:tc>
          <w:tcPr>
            <w:tcW w:w="3120" w:type="dxa"/>
          </w:tcPr>
          <w:p>
            <w:pPr/>
            <w:r>
              <w:t xml:space="preserve">GraphRAG (evidence)</w:t>
            </w:r>
          </w:p>
        </w:tc>
        <w:tc>
          <w:tcPr>
            <w:tcW w:w="3120" w:type="dxa"/>
          </w:tcPr>
          <w:p>
            <w:pPr/>
            <w:r>
              <w:rPr>
                <w:rStyle w:val="CodeChar"/>
              </w:rPr>
              <w:t xml:space="preserve">similar_cases</w:t>
            </w:r>
          </w:p>
        </w:tc>
        <w:tc>
          <w:tcPr>
            <w:tcW w:w="3120" w:type="dxa"/>
          </w:tcPr>
          <w:p>
            <w:pPr/>
            <w:r>
              <w:t xml:space="preserve">Vector search over 5,565 closed-case narratives (</w:t>
            </w:r>
            <w:r>
              <w:rPr>
                <w:rStyle w:val="CodeChar"/>
              </w:rPr>
              <w:t xml:space="preserve">ClosedCase.emb</w:t>
            </w:r>
            <w:r>
              <w:t xml:space="preserve">, 1024-d, cosine)</w:t>
            </w:r>
          </w:p>
        </w:tc>
      </w:tr>
      <w:tr>
        <w:tc>
          <w:tcPr>
            <w:tcW w:w="3120" w:type="dxa"/>
          </w:tcPr>
          <w:p>
            <w:pPr/>
            <w:r>
              <w:t xml:space="preserve">GraphRAG (evidence)</w:t>
            </w:r>
          </w:p>
        </w:tc>
        <w:tc>
          <w:tcPr>
            <w:tcW w:w="3120" w:type="dxa"/>
          </w:tcPr>
          <w:p>
            <w:pPr/>
            <w:r>
              <w:rPr>
                <w:rStyle w:val="CodeChar"/>
              </w:rPr>
              <w:t xml:space="preserve">similar_agent_cases</w:t>
            </w:r>
          </w:p>
        </w:tc>
        <w:tc>
          <w:tcPr>
            <w:tcW w:w="3120" w:type="dxa"/>
          </w:tcPr>
          <w:p>
            <w:pPr/>
            <w:r>
              <w:t xml:space="preserve">Vector search over the agent's own prior investigations (</w:t>
            </w:r>
            <w:r>
              <w:rPr>
                <w:rStyle w:val="CodeChar"/>
              </w:rPr>
              <w:t xml:space="preserve">AgentCase.emb</w:t>
            </w:r>
            <w:r>
              <w:t xml:space="preserve">) — closes the memory loop</w:t>
            </w:r>
          </w:p>
        </w:tc>
      </w:tr>
      <w:tr>
        <w:tc>
          <w:tcPr>
            <w:tcW w:w="3120" w:type="dxa"/>
          </w:tcPr>
          <w:p>
            <w:pPr/>
            <w:r>
              <w:t xml:space="preserve">GraphRAG (policy)</w:t>
            </w:r>
          </w:p>
        </w:tc>
        <w:tc>
          <w:tcPr>
            <w:tcW w:w="3120" w:type="dxa"/>
          </w:tcPr>
          <w:p>
            <w:pPr/>
            <w:r>
              <w:rPr>
                <w:rStyle w:val="CodeChar"/>
              </w:rPr>
              <w:t xml:space="preserve">policy_search</w:t>
            </w:r>
          </w:p>
        </w:tc>
        <w:tc>
          <w:tcPr>
            <w:tcW w:w="3120" w:type="dxa"/>
          </w:tcPr>
          <w:p>
            <w:pPr/>
            <w:r>
              <w:t xml:space="preserve">Vector search over fraud policy, typology, and regulatory text chunks (</w:t>
            </w:r>
            <w:r>
              <w:rPr>
                <w:rStyle w:val="CodeChar"/>
              </w:rPr>
              <w:t xml:space="preserve">PolicyChunk.emb</w:t>
            </w:r>
            <w:r>
              <w:t xml:space="preserve">)</w:t>
            </w:r>
          </w:p>
        </w:tc>
      </w:tr>
      <w:tr>
        <w:tc>
          <w:tcPr>
            <w:tcW w:w="3120" w:type="dxa"/>
          </w:tcPr>
          <w:p>
            <w:pPr/>
            <w:r>
              <w:t xml:space="preserve">Case memory write</w:t>
            </w:r>
          </w:p>
        </w:tc>
        <w:tc>
          <w:tcPr>
            <w:tcW w:w="3120" w:type="dxa"/>
          </w:tcPr>
          <w:p>
            <w:pPr/>
            <w:r>
              <w:rPr>
                <w:rStyle w:val="CodeChar"/>
              </w:rPr>
              <w:t xml:space="preserve">memory.py</w:t>
            </w:r>
            <w:r>
              <w:t xml:space="preserve"> → </w:t>
            </w:r>
            <w:r>
              <w:rPr>
                <w:rStyle w:val="CodeChar"/>
              </w:rPr>
              <w:t xml:space="preserve">upsertVertex</w:t>
            </w:r>
            <w:r>
              <w:t xml:space="preserve">/</w:t>
            </w:r>
            <w:r>
              <w:rPr>
                <w:rStyle w:val="CodeChar"/>
              </w:rPr>
              <w:t xml:space="preserve">upsertEdge</w:t>
            </w:r>
          </w:p>
        </w:tc>
        <w:tc>
          <w:tcPr>
            <w:tcW w:w="3120" w:type="dxa"/>
          </w:tcPr>
          <w:p>
            <w:pPr/>
            <w:r>
              <w:t xml:space="preserve">Every finished case becomes an </w:t>
            </w:r>
            <w:r>
              <w:rPr>
                <w:rStyle w:val="CodeChar"/>
              </w:rPr>
              <w:t xml:space="preserve">AgentCase</w:t>
            </w:r>
            <w:r>
              <w:t xml:space="preserve"> vertex with its own embedding, linked to the card, transactions, connected cards, and similar prior cases (both closed and agent)</w:t>
            </w:r>
          </w:p>
        </w:tc>
      </w:tr>
    </w:tbl>
    <w:p>
      <w:pPr/>
      <w:r>
        <w:t xml:space="preserve">GraphRAG results are never handed to the LLM as raw rows: </w:t>
      </w:r>
      <w:r>
        <w:rPr>
          <w:rStyle w:val="CodeChar"/>
        </w:rPr>
        <w:t xml:space="preserve">Investigator._graphrag</w:t>
      </w:r>
      <w:r>
        <w:t xml:space="preserve"> merges the </w:t>
      </w:r>
      <w:r>
        <w:rPr>
          <w:rStyle w:val="CodeChar"/>
        </w:rPr>
        <w:t xml:space="preserve">similar_cases</w:t>
      </w:r>
      <w:r>
        <w:t xml:space="preserve"> and </w:t>
      </w:r>
      <w:r>
        <w:rPr>
          <w:rStyle w:val="CodeChar"/>
        </w:rPr>
        <w:t xml:space="preserve">similar_agent_cases</w:t>
      </w:r>
      <w:r>
        <w:t xml:space="preserve"> results by vector distance, and </w:t>
      </w:r>
      <w:r>
        <w:rPr>
          <w:rStyle w:val="CodeChar"/>
        </w:rPr>
        <w:t xml:space="preserve">_compose</w:t>
      </w:r>
      <w:r>
        <w:t xml:space="preserve"> turns them into short, sourced evidence claims (e.g. "Case memory: 5 most similar prior cases (closed + agent), 3 confirmed fraud") before they ever reach the prompt. TigerGraph MCP was not wired in for this submission — the agent calls the same installed queries directly through pyTigerGraph, which is worth calling out honestly since the brief names MCP as a required component (see "What we'd improve").</w:t>
      </w:r>
    </w:p>
    <w:p>
      <w:pPr>
        <w:pStyle w:val="Heading2"/>
      </w:pPr>
      <w:r>
        <w:t xml:space="preserve">Agentic capabilities implemented</w:t>
      </w:r>
    </w:p>
    <w:p>
      <w:pPr>
        <w:pStyle w:val="ListParagraph"/>
        <w:numPr>
          <w:ilvl w:val="0"/>
          <w:numId w:val="2"/>
        </w:numPr>
      </w:pPr>
      <w:r>
        <w:rPr>
          <w:b/>
        </w:rPr>
        <w:t xml:space="preserve">Policy-gated actions.</w:t>
      </w:r>
      <w:r>
        <w:t xml:space="preserve"> </w:t>
      </w:r>
      <w:r>
        <w:rPr>
          <w:rStyle w:val="CodeChar"/>
        </w:rPr>
        <w:t xml:space="preserve">agent/policy.py</w:t>
      </w:r>
      <w:r>
        <w:t xml:space="preserve"> encodes the bank's fraud policy as rules R1–R10 in code: card testing, disputed-but-legitimate recurring charges, undocumented coordinated patterns, customer denial, confident fraud, confident legitimacy, and the default uncertain case (verify first). Every action carries a deterministic approval route — </w:t>
      </w:r>
      <w:r>
        <w:rPr>
          <w:rStyle w:val="CodeChar"/>
        </w:rPr>
        <w:t xml:space="preserve">auto</w:t>
      </w:r>
      <w:r>
        <w:t xml:space="preserve">, </w:t>
      </w:r>
      <w:r>
        <w:rPr>
          <w:rStyle w:val="CodeChar"/>
        </w:rPr>
        <w:t xml:space="preserve">L1</w:t>
      </w:r>
      <w:r>
        <w:t xml:space="preserve">, or </w:t>
      </w:r>
      <w:r>
        <w:rPr>
          <w:rStyle w:val="CodeChar"/>
        </w:rPr>
        <w:t xml:space="preserve">L2</w:t>
      </w:r>
      <w:r>
        <w:t xml:space="preserve"> — based on the action and exposure. The LLM writes explanations; it never chooses the action or the route, so it structurally cannot approve something the policy wouldn't.</w:t>
      </w:r>
    </w:p>
    <w:p>
      <w:pPr>
        <w:pStyle w:val="ListParagraph"/>
        <w:numPr>
          <w:ilvl w:val="0"/>
          <w:numId w:val="2"/>
        </w:numPr>
      </w:pPr>
      <w:r>
        <w:rPr>
          <w:b/>
        </w:rPr>
        <w:t xml:space="preserve">Uncertainty handling and evidence requests.</w:t>
      </w:r>
      <w:r>
        <w:t xml:space="preserve"> When probability and signal count don't clear a threshold, the agent requests evidence (customer validation, step-up authentication) instead of acting, and records the assumption used for the simulated reply. Recommendations are tracked both </w:t>
      </w:r>
      <w:r>
        <w:rPr>
          <w:b/>
        </w:rPr>
        <w:t xml:space="preserve">before</w:t>
      </w:r>
      <w:r>
        <w:t xml:space="preserve"> (</w:t>
      </w:r>
      <w:r>
        <w:rPr>
          <w:rStyle w:val="CodeChar"/>
        </w:rPr>
        <w:t xml:space="preserve">initial</w:t>
      </w:r>
      <w:r>
        <w:t xml:space="preserve">) and </w:t>
      </w:r>
      <w:r>
        <w:rPr>
          <w:b/>
        </w:rPr>
        <w:t xml:space="preserve">after</w:t>
      </w:r>
      <w:r>
        <w:t xml:space="preserve"> (</w:t>
      </w:r>
      <w:r>
        <w:rPr>
          <w:rStyle w:val="CodeChar"/>
        </w:rPr>
        <w:t xml:space="preserve">final</w:t>
      </w:r>
      <w:r>
        <w:t xml:space="preserve">) that evidence, per the spec's requirement.</w:t>
      </w:r>
    </w:p>
    <w:p>
      <w:pPr>
        <w:pStyle w:val="ListParagraph"/>
        <w:numPr>
          <w:ilvl w:val="0"/>
          <w:numId w:val="2"/>
        </w:numPr>
      </w:pPr>
      <w:r>
        <w:rPr>
          <w:b/>
        </w:rPr>
        <w:t xml:space="preserve">Case memory loop.</w:t>
      </w:r>
      <w:r>
        <w:t xml:space="preserve"> Every finished case is written back to the graph as an </w:t>
      </w:r>
      <w:r>
        <w:rPr>
          <w:rStyle w:val="CodeChar"/>
        </w:rPr>
        <w:t xml:space="preserve">AgentCase</w:t>
      </w:r>
      <w:r>
        <w:t xml:space="preserve"> vertex with its own embedding. The next investigation's GraphRAG step retrieves the agent's own prior cases (</w:t>
      </w:r>
      <w:r>
        <w:rPr>
          <w:rStyle w:val="CodeChar"/>
        </w:rPr>
        <w:t xml:space="preserve">similar_agent_cases</w:t>
      </w:r>
      <w:r>
        <w:t xml:space="preserve">) alongside the static closed-case history (</w:t>
      </w:r>
      <w:r>
        <w:rPr>
          <w:rStyle w:val="CodeChar"/>
        </w:rPr>
        <w:t xml:space="preserve">similar_cases</w:t>
      </w:r>
      <w:r>
        <w:t xml:space="preserve">), merged by vector distance. In the 20-case run, later cases genuinely pulled earlier ones from memory — e.g. HHG-008 retrieved </w:t>
      </w:r>
      <w:r>
        <w:rPr>
          <w:rStyle w:val="CodeChar"/>
        </w:rPr>
        <w:t xml:space="preserve">AC-HHG-004</w:t>
      </w:r>
      <w:r>
        <w:t xml:space="preserve">, HHG-012 retrieved </w:t>
      </w:r>
      <w:r>
        <w:rPr>
          <w:rStyle w:val="CodeChar"/>
        </w:rPr>
        <w:t xml:space="preserve">AC-HHG-009</w:t>
      </w:r>
      <w:r>
        <w:t xml:space="preserve"> — so the agent's own investigation history compounds within a single run, not just across the static dataset.</w:t>
      </w:r>
    </w:p>
    <w:p>
      <w:pPr>
        <w:pStyle w:val="ListParagraph"/>
        <w:numPr>
          <w:ilvl w:val="0"/>
          <w:numId w:val="2"/>
        </w:numPr>
      </w:pPr>
      <w:r>
        <w:rPr>
          <w:b/>
        </w:rPr>
        <w:t xml:space="preserve">Explainability.</w:t>
      </w:r>
      <w:r>
        <w:t xml:space="preserve"> Each case's evidence list cites its source (</w:t>
      </w:r>
      <w:r>
        <w:rPr>
          <w:rStyle w:val="CodeChar"/>
        </w:rPr>
        <w:t xml:space="preserve">graph</w:t>
      </w:r>
      <w:r>
        <w:t xml:space="preserve">, </w:t>
      </w:r>
      <w:r>
        <w:rPr>
          <w:rStyle w:val="CodeChar"/>
        </w:rPr>
        <w:t xml:space="preserve">document</w:t>
      </w:r>
      <w:r>
        <w:t xml:space="preserve">, </w:t>
      </w:r>
      <w:r>
        <w:rPr>
          <w:rStyle w:val="CodeChar"/>
        </w:rPr>
        <w:t xml:space="preserve">customer</w:t>
      </w:r>
      <w:r>
        <w:t xml:space="preserve">) and a specific query or model reference, so every claim in the summary and SAR traces back to something the agent actually queried — not a free-form LLM assertion.</w:t>
      </w:r>
    </w:p>
    <w:p>
      <w:pPr>
        <w:pStyle w:val="ListParagraph"/>
        <w:numPr>
          <w:ilvl w:val="0"/>
          <w:numId w:val="2"/>
        </w:numPr>
      </w:pPr>
      <w:r>
        <w:rPr>
          <w:b/>
        </w:rPr>
        <w:t xml:space="preserve">Defensible stopping.</w:t>
      </w:r>
      <w:r>
        <w:t xml:space="preserve"> A </w:t>
      </w:r>
      <w:r>
        <w:rPr>
          <w:rStyle w:val="CodeChar"/>
        </w:rPr>
        <w:t xml:space="preserve">stop_reason</w:t>
      </w:r>
      <w:r>
        <w:t xml:space="preserve"> field records why the agent judged the evidence sufficient (or why further steps wouldn't change the recommendation), satisfying the spec's requirement to determine when to stop investigating.</w:t>
      </w:r>
    </w:p>
    <w:p>
      <w:pPr>
        <w:pStyle w:val="Heading2"/>
      </w:pPr>
      <w:r>
        <w:t xml:space="preserve">What we learned</w:t>
      </w:r>
    </w:p>
    <w:p>
      <w:pPr>
        <w:pStyle w:val="ListParagraph"/>
        <w:numPr>
          <w:ilvl w:val="0"/>
          <w:numId w:val="3"/>
        </w:numPr>
      </w:pPr>
      <w:r>
        <w:rPr>
          <w:b/>
        </w:rPr>
        <w:t xml:space="preserve">The bank's own risk score is a trap, not a feature.</w:t>
      </w:r>
      <w:r>
        <w:t xml:space="preserve"> Every transaction ships with a fraud risk score from the bank's model. Feeding it into our own fraud model would have been circular — we deliberately excluded it, training only on the 72 graph-derived features instead (fraud AUC 0.987, pattern accuracy 0.83, episode F1 0.80, grouped 5-fold CV).</w:t>
      </w:r>
    </w:p>
    <w:p>
      <w:pPr>
        <w:pStyle w:val="ListParagraph"/>
        <w:numPr>
          <w:ilvl w:val="0"/>
          <w:numId w:val="3"/>
        </w:numPr>
      </w:pPr>
      <w:r>
        <w:rPr>
          <w:b/>
        </w:rPr>
        <w:t xml:space="preserve">The closed-case dataset has a distribution quirk.</w:t>
      </w:r>
      <w:r>
        <w:t xml:space="preserve"> Cleared cases cluster on light cards with widely shared devices, which a model can pick up as a spurious "cleared" signal. We shrink calibrated probabilities and run a verification loop when independent signals are few, rather than trusting the raw model output.</w:t>
      </w:r>
    </w:p>
    <w:p>
      <w:pPr>
        <w:pStyle w:val="ListParagraph"/>
        <w:numPr>
          <w:ilvl w:val="0"/>
          <w:numId w:val="3"/>
        </w:numPr>
      </w:pPr>
      <w:r>
        <w:rPr>
          <w:b/>
        </w:rPr>
        <w:t xml:space="preserve">Fraud episode reconstruction is weakest for account takeover on very heavy cards</w:t>
      </w:r>
      <w:r>
        <w:t xml:space="preserve"> — high transaction volume makes it harder to cleanly separate a fraud episode's transactions from the card's own legitimate noise.</w:t>
      </w:r>
    </w:p>
    <w:p>
      <w:pPr>
        <w:pStyle w:val="ListParagraph"/>
        <w:numPr>
          <w:ilvl w:val="0"/>
          <w:numId w:val="3"/>
        </w:numPr>
      </w:pPr>
      <w:r>
        <w:rPr>
          <w:b/>
        </w:rPr>
        <w:t xml:space="preserve">Same feature code, two data backends.</w:t>
      </w:r>
      <w:r>
        <w:t xml:space="preserve"> </w:t>
      </w:r>
      <w:r>
        <w:rPr>
          <w:rStyle w:val="CodeChar"/>
        </w:rPr>
        <w:t xml:space="preserve">agent/data_access.py</w:t>
      </w:r>
      <w:r>
        <w:t xml:space="preserve"> exposes one interface backed by either an in-memory client (fast offline training) or the TigerGraph client (production) — we checked their outputs were identical, which caught backend-specific bugs early instead of at investigation time.</w:t>
      </w:r>
    </w:p>
    <w:p>
      <w:pPr>
        <w:pStyle w:val="ListParagraph"/>
        <w:numPr>
          <w:ilvl w:val="0"/>
          <w:numId w:val="3"/>
        </w:numPr>
      </w:pPr>
      <w:r>
        <w:rPr>
          <w:b/>
        </w:rPr>
        <w:t xml:space="preserve">Structured evidence beats raw context for the LLM.</w:t>
      </w:r>
      <w:r>
        <w:t xml:space="preserve"> Passing GraphRAG results as short, sourced claims (not raw rows) kept the LLM's role to reasoning and writing, never quietly smuggling a decision into the summary.</w:t>
      </w:r>
    </w:p>
    <w:p>
      <w:pPr>
        <w:pStyle w:val="Heading2"/>
      </w:pPr>
      <w:r>
        <w:t xml:space="preserve">What we'd improve with more time</w:t>
      </w:r>
    </w:p>
    <w:p>
      <w:pPr>
        <w:pStyle w:val="ListParagraph"/>
        <w:numPr>
          <w:ilvl w:val="0"/>
          <w:numId w:val="4"/>
        </w:numPr>
      </w:pPr>
      <w:r>
        <w:rPr>
          <w:b/>
        </w:rPr>
        <w:t xml:space="preserve">Wire in TigerGraph MCP.</w:t>
      </w:r>
      <w:r>
        <w:t xml:space="preserve"> We currently call installed GSQL queries directly through pyTigerGraph; routing them through TigerGraph MCP (as the brief specifies) would decouple the agent's tool layer from the direct SDK and make the graph capabilities reusable by other agent frameworks.</w:t>
      </w:r>
    </w:p>
    <w:p>
      <w:pPr>
        <w:pStyle w:val="ListParagraph"/>
        <w:numPr>
          <w:ilvl w:val="0"/>
          <w:numId w:val="4"/>
        </w:numPr>
      </w:pPr>
      <w:r>
        <w:rPr>
          <w:b/>
        </w:rPr>
        <w:t xml:space="preserve">Deepen the memory loop further.</w:t>
      </w:r>
      <w:r>
        <w:t xml:space="preserve"> </w:t>
      </w:r>
      <w:r>
        <w:rPr>
          <w:rStyle w:val="CodeChar"/>
        </w:rPr>
        <w:t xml:space="preserve">similar_agent_cases</w:t>
      </w:r>
      <w:r>
        <w:t xml:space="preserve"> now retrieves the agent's own prior investigations, but only within a single vector search; a next step is re-ranking combined closed + agent memory by recency and outcome confidence, not distance alone, and surfacing recurring entity/relationship patterns across cases (shared devices, regions, email domains) more explicitly in the evidence.</w:t>
      </w:r>
    </w:p>
    <w:p>
      <w:pPr>
        <w:pStyle w:val="ListParagraph"/>
        <w:numPr>
          <w:ilvl w:val="0"/>
          <w:numId w:val="4"/>
        </w:numPr>
      </w:pPr>
      <w:r>
        <w:rPr>
          <w:b/>
        </w:rPr>
        <w:t xml:space="preserve">Measure real accuracy.</w:t>
      </w:r>
      <w:r>
        <w:t xml:space="preserve"> No answer key exists for the 20 benchmark cases, so our cross-validated numbers are only on the closed-case history. We'd want a held-out labeled set to actually measure investigation and next-best-action accuracy against ground truth.</w:t>
      </w:r>
    </w:p>
    <w:p>
      <w:pPr>
        <w:pStyle w:val="ListParagraph"/>
        <w:numPr>
          <w:ilvl w:val="0"/>
          <w:numId w:val="4"/>
        </w:numPr>
      </w:pPr>
      <w:r>
        <w:rPr>
          <w:b/>
        </w:rPr>
        <w:t xml:space="preserve">Strengthen account-takeover detection on heavy cards</w:t>
      </w:r>
      <w:r>
        <w:t xml:space="preserve">, where episode reconstruction is currently weakest, likely with a dedicated velocity/behavior-change feature set rather than the shared episode model.</w:t>
      </w:r>
    </w:p>
    <w:p>
      <w:pPr>
        <w:pStyle w:val="ListParagraph"/>
        <w:numPr>
          <w:ilvl w:val="0"/>
          <w:numId w:val="4"/>
        </w:numPr>
      </w:pPr>
      <w:r>
        <w:rPr>
          <w:b/>
        </w:rPr>
        <w:t xml:space="preserve">Expand controlled evidence-gathering.</w:t>
      </w:r>
      <w:r>
        <w:t xml:space="preserve"> Customer and analyst replies are currently simulated; a real deployment would need actual step-up-auth and customer-contact integrations behind the same policy gate.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FraudGraph Agent Agentic Fraud Investigation on TigerGraph</dc:title>
  <dc:description>Claude Docs node/d4f44c6b-50d6@8 docx-w5</dc:description>
  <cp:revision>8</cp:revision>
</cp:coreProperties>
</file>