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1F3864"/>
        <w:spacing w:after="0" w:before="0"/>
      </w:pPr>
      <w:r>
        <w:rPr>
          <w:sz w:val="8"/>
        </w:rPr>
        <w:t xml:space="preserve">  </w:t>
      </w:r>
    </w:p>
    <w:p/>
    <w:p>
      <w:pPr>
        <w:jc w:val="center"/>
      </w:pPr>
      <w:r>
        <w:rPr>
          <w:b/>
          <w:color w:val="1F3864"/>
          <w:sz w:val="52"/>
        </w:rPr>
        <w:t>Network Intrusion Detection &amp; Monitoring System</w:t>
      </w:r>
    </w:p>
    <w:p>
      <w:pPr>
        <w:jc w:val="center"/>
      </w:pPr>
      <w:r>
        <w:rPr>
          <w:i/>
          <w:color w:val="2E75B6"/>
          <w:sz w:val="26"/>
        </w:rPr>
        <w:t>Using Splunk SIEM | Security Event Log Analysis &amp; Threat Detection</w:t>
      </w:r>
    </w:p>
    <w:p/>
    <w:tbl>
      <w:tblPr>
        <w:tblW w:type="auto" w:w="0"/>
        <w:jc w:val="center"/>
        <w:tblLook w:firstColumn="1" w:firstRow="1" w:lastColumn="0" w:lastRow="0" w:noHBand="0" w:noVBand="1" w:val="04A0"/>
      </w:tblPr>
      <w:tblGrid>
        <w:gridCol w:w="4392"/>
        <w:gridCol w:w="4392"/>
      </w:tblGrid>
      <w:tr>
        <w:tc>
          <w:tcPr>
            <w:tcW w:type="dxa" w:w="2880"/>
          </w:tcPr>
          <w:p>
            <w:r>
              <w:rPr>
                <w:b/>
                <w:sz w:val="22"/>
              </w:rPr>
              <w:t>Date:</w:t>
            </w:r>
          </w:p>
        </w:tc>
        <w:tc>
          <w:tcPr>
            <w:tcW w:type="dxa" w:w="5760"/>
          </w:tcPr>
          <w:p>
            <w:r>
              <w:rPr>
                <w:sz w:val="22"/>
              </w:rPr>
              <w:t>March 24, 2026</w:t>
            </w:r>
          </w:p>
        </w:tc>
      </w:tr>
      <w:tr>
        <w:tc>
          <w:tcPr>
            <w:tcW w:type="dxa" w:w="2880"/>
          </w:tcPr>
          <w:p>
            <w:r>
              <w:rPr>
                <w:b/>
                <w:sz w:val="22"/>
              </w:rPr>
              <w:t>Platform:</w:t>
            </w:r>
          </w:p>
        </w:tc>
        <w:tc>
          <w:tcPr>
            <w:tcW w:type="dxa" w:w="5760"/>
          </w:tcPr>
          <w:p>
            <w:r>
              <w:rPr>
                <w:sz w:val="22"/>
              </w:rPr>
              <w:t>Splunk Enterprise 10.2.1</w:t>
            </w:r>
          </w:p>
        </w:tc>
      </w:tr>
      <w:tr>
        <w:tc>
          <w:tcPr>
            <w:tcW w:type="dxa" w:w="2880"/>
          </w:tcPr>
          <w:p>
            <w:r>
              <w:rPr>
                <w:b/>
                <w:sz w:val="22"/>
              </w:rPr>
              <w:t>Environment:</w:t>
            </w:r>
          </w:p>
        </w:tc>
        <w:tc>
          <w:tcPr>
            <w:tcW w:type="dxa" w:w="5760"/>
          </w:tcPr>
          <w:p>
            <w:r>
              <w:rPr>
                <w:sz w:val="22"/>
              </w:rPr>
              <w:t>Windows Host  +  Kali Linux (VirtualBox)</w:t>
            </w:r>
          </w:p>
        </w:tc>
      </w:tr>
      <w:tr>
        <w:tc>
          <w:tcPr>
            <w:tcW w:type="dxa" w:w="2880"/>
          </w:tcPr>
          <w:p>
            <w:r>
              <w:rPr>
                <w:b/>
                <w:sz w:val="22"/>
              </w:rPr>
              <w:t>Classification:</w:t>
            </w:r>
          </w:p>
        </w:tc>
        <w:tc>
          <w:tcPr>
            <w:tcW w:type="dxa" w:w="5760"/>
          </w:tcPr>
          <w:p>
            <w:r>
              <w:rPr>
                <w:sz w:val="22"/>
              </w:rPr>
              <w:t>Internal / Lab Documentation</w:t>
            </w:r>
          </w:p>
        </w:tc>
      </w:tr>
    </w:tbl>
    <w:p/>
    <w:p>
      <w:pPr>
        <w:pBdr>
          <w:bottom w:val="single" w:sz="6" w:space="1" w:color="1F3864"/>
        </w:pBdr>
      </w:pPr>
    </w:p>
    <w:p>
      <w:r>
        <w:br w:type="page"/>
      </w:r>
    </w:p>
    <w:p>
      <w:pPr>
        <w:pStyle w:val="Heading1"/>
        <w:jc w:val="left"/>
      </w:pPr>
      <w:r>
        <w:rPr>
          <w:b/>
          <w:color w:val="1F3864"/>
          <w:sz w:val="36"/>
        </w:rPr>
        <w:t>1. Project Overview</w:t>
      </w:r>
    </w:p>
    <w:p>
      <w:pPr>
        <w:spacing w:after="120"/>
      </w:pPr>
      <w:r>
        <w:rPr>
          <w:b w:val="0"/>
          <w:i w:val="0"/>
          <w:sz w:val="22"/>
        </w:rPr>
        <w:t>This project implements a Security Information and Event Management (SIEM) solution using Splunk Enterprise 10.2.1 to monitor, detect, and analyse suspicious activities on a Windows host machine. The lab environment consists of a Windows target machine running Splunk and a Kali Linux attacker machine running inside Oracle VirtualBox. Attack simulations are performed from Kali Linux, and all generated Windows Security Event logs are forwarded to Splunk for real-time analysis.</w:t>
      </w:r>
    </w:p>
    <w:p>
      <w:pPr>
        <w:pStyle w:val="Heading2"/>
        <w:jc w:val="left"/>
      </w:pPr>
      <w:r>
        <w:rPr>
          <w:b/>
          <w:color w:val="1F3864"/>
          <w:sz w:val="28"/>
        </w:rPr>
        <w:t>Objectives</w:t>
      </w:r>
    </w:p>
    <w:p>
      <w:pPr>
        <w:pStyle w:val="ListBullet"/>
        <w:spacing w:after="80"/>
      </w:pPr>
      <w:r>
        <w:rPr>
          <w:sz w:val="22"/>
        </w:rPr>
        <w:t>Collect and index Windows Security Event logs in Splunk.</w:t>
      </w:r>
    </w:p>
    <w:p>
      <w:pPr>
        <w:pStyle w:val="ListBullet"/>
        <w:spacing w:after="80"/>
      </w:pPr>
      <w:r>
        <w:rPr>
          <w:sz w:val="22"/>
        </w:rPr>
        <w:t>Detect credential-based attacks such as brute-force login attempts via SMB.</w:t>
      </w:r>
    </w:p>
    <w:p>
      <w:pPr>
        <w:pStyle w:val="ListBullet"/>
        <w:spacing w:after="80"/>
      </w:pPr>
      <w:r>
        <w:rPr>
          <w:sz w:val="22"/>
        </w:rPr>
        <w:t>Identify network reconnaissance activities using Nmap scans.</w:t>
      </w:r>
    </w:p>
    <w:p>
      <w:pPr>
        <w:pStyle w:val="ListBullet"/>
        <w:spacing w:after="80"/>
      </w:pPr>
      <w:r>
        <w:rPr>
          <w:sz w:val="22"/>
        </w:rPr>
        <w:t>Correlate Windows Event Codes (4625, 4688) with malicious activity patterns.</w:t>
      </w:r>
    </w:p>
    <w:p>
      <w:pPr>
        <w:pStyle w:val="ListBullet"/>
        <w:spacing w:after="80"/>
      </w:pPr>
      <w:r>
        <w:rPr>
          <w:sz w:val="22"/>
        </w:rPr>
        <w:t>Demonstrate alert creation and event investigation workflows in Splunk.</w:t>
      </w:r>
    </w:p>
    <w:p>
      <w:pPr>
        <w:pBdr>
          <w:bottom w:val="single" w:sz="6" w:space="1" w:color="1F3864"/>
        </w:pBdr>
      </w:pPr>
    </w:p>
    <w:p/>
    <w:p>
      <w:pPr>
        <w:pStyle w:val="Heading1"/>
        <w:jc w:val="left"/>
      </w:pPr>
      <w:r>
        <w:rPr>
          <w:b/>
          <w:color w:val="1F3864"/>
          <w:sz w:val="36"/>
        </w:rPr>
        <w:t>2. Environment Setup</w:t>
      </w:r>
    </w:p>
    <w:p>
      <w:pPr>
        <w:pStyle w:val="Heading2"/>
        <w:jc w:val="left"/>
      </w:pPr>
      <w:r>
        <w:rPr>
          <w:b/>
          <w:color w:val="1F3864"/>
          <w:sz w:val="28"/>
        </w:rPr>
        <w:t>2.1 Architecture</w:t>
      </w:r>
    </w:p>
    <w:tbl>
      <w:tblPr>
        <w:tblStyle w:val="TableGrid"/>
        <w:tblW w:type="auto" w:w="0"/>
        <w:jc w:val="left"/>
        <w:tblLook w:firstColumn="1" w:firstRow="1" w:lastColumn="0" w:lastRow="0" w:noHBand="0" w:noVBand="1" w:val="04A0"/>
      </w:tblPr>
      <w:tblGrid>
        <w:gridCol w:w="2928"/>
        <w:gridCol w:w="2928"/>
        <w:gridCol w:w="2928"/>
      </w:tblGrid>
      <w:tr>
        <w:tc>
          <w:tcPr>
            <w:tcW w:type="dxa" w:w="2592"/>
            <w:shd w:val="clear" w:color="auto" w:fill="1F3864"/>
          </w:tcPr>
          <w:p>
            <w:r>
              <w:rPr>
                <w:b/>
                <w:color w:val="FFFFFF"/>
                <w:sz w:val="22"/>
              </w:rPr>
              <w:t>Component</w:t>
            </w:r>
          </w:p>
        </w:tc>
        <w:tc>
          <w:tcPr>
            <w:tcW w:type="dxa" w:w="4032"/>
            <w:shd w:val="clear" w:color="auto" w:fill="1F3864"/>
          </w:tcPr>
          <w:p>
            <w:r>
              <w:rPr>
                <w:b/>
                <w:color w:val="FFFFFF"/>
                <w:sz w:val="22"/>
              </w:rPr>
              <w:t>Details</w:t>
            </w:r>
          </w:p>
        </w:tc>
        <w:tc>
          <w:tcPr>
            <w:tcW w:type="dxa" w:w="3168"/>
            <w:shd w:val="clear" w:color="auto" w:fill="1F3864"/>
          </w:tcPr>
          <w:p>
            <w:r>
              <w:rPr>
                <w:b/>
                <w:color w:val="FFFFFF"/>
                <w:sz w:val="22"/>
              </w:rPr>
              <w:t>Role</w:t>
            </w:r>
          </w:p>
        </w:tc>
      </w:tr>
      <w:tr>
        <w:tc>
          <w:tcPr>
            <w:tcW w:type="dxa" w:w="2592"/>
            <w:shd w:val="clear" w:color="auto" w:fill="F2F7FF"/>
          </w:tcPr>
          <w:p>
            <w:r>
              <w:rPr>
                <w:sz w:val="20"/>
              </w:rPr>
              <w:t>Windows Host</w:t>
            </w:r>
          </w:p>
        </w:tc>
        <w:tc>
          <w:tcPr>
            <w:tcW w:type="dxa" w:w="4032"/>
            <w:shd w:val="clear" w:color="auto" w:fill="F2F7FF"/>
          </w:tcPr>
          <w:p>
            <w:r>
              <w:rPr>
                <w:sz w:val="20"/>
              </w:rPr>
              <w:t>DESKTOP-2VE1QV7  |  IP 192.168.56.50</w:t>
            </w:r>
          </w:p>
        </w:tc>
        <w:tc>
          <w:tcPr>
            <w:tcW w:type="dxa" w:w="3168"/>
            <w:shd w:val="clear" w:color="auto" w:fill="F2F7FF"/>
          </w:tcPr>
          <w:p>
            <w:r>
              <w:rPr>
                <w:sz w:val="20"/>
              </w:rPr>
              <w:t>Target &amp; Splunk Server</w:t>
            </w:r>
          </w:p>
        </w:tc>
      </w:tr>
      <w:tr>
        <w:tc>
          <w:tcPr>
            <w:tcW w:type="dxa" w:w="2592"/>
            <w:shd w:val="clear" w:color="auto" w:fill="FFFFFF"/>
          </w:tcPr>
          <w:p>
            <w:r>
              <w:rPr>
                <w:sz w:val="20"/>
              </w:rPr>
              <w:t>Kali Linux VM</w:t>
            </w:r>
          </w:p>
        </w:tc>
        <w:tc>
          <w:tcPr>
            <w:tcW w:type="dxa" w:w="4032"/>
            <w:shd w:val="clear" w:color="auto" w:fill="FFFFFF"/>
          </w:tcPr>
          <w:p>
            <w:r>
              <w:rPr>
                <w:sz w:val="20"/>
              </w:rPr>
              <w:t>Oracle VirtualBox  |  k2cker@kali</w:t>
            </w:r>
          </w:p>
        </w:tc>
        <w:tc>
          <w:tcPr>
            <w:tcW w:type="dxa" w:w="3168"/>
            <w:shd w:val="clear" w:color="auto" w:fill="FFFFFF"/>
          </w:tcPr>
          <w:p>
            <w:r>
              <w:rPr>
                <w:sz w:val="20"/>
              </w:rPr>
              <w:t>Attacker Machine</w:t>
            </w:r>
          </w:p>
        </w:tc>
      </w:tr>
      <w:tr>
        <w:tc>
          <w:tcPr>
            <w:tcW w:type="dxa" w:w="2592"/>
            <w:shd w:val="clear" w:color="auto" w:fill="F2F7FF"/>
          </w:tcPr>
          <w:p>
            <w:r>
              <w:rPr>
                <w:sz w:val="20"/>
              </w:rPr>
              <w:t>Splunk</w:t>
            </w:r>
          </w:p>
        </w:tc>
        <w:tc>
          <w:tcPr>
            <w:tcW w:type="dxa" w:w="4032"/>
            <w:shd w:val="clear" w:color="auto" w:fill="F2F7FF"/>
          </w:tcPr>
          <w:p>
            <w:r>
              <w:rPr>
                <w:sz w:val="20"/>
              </w:rPr>
              <w:t>Enterprise 10.2.1  |  Port 8000/8089</w:t>
            </w:r>
          </w:p>
        </w:tc>
        <w:tc>
          <w:tcPr>
            <w:tcW w:type="dxa" w:w="3168"/>
            <w:shd w:val="clear" w:color="auto" w:fill="F2F7FF"/>
          </w:tcPr>
          <w:p>
            <w:r>
              <w:rPr>
                <w:sz w:val="20"/>
              </w:rPr>
              <w:t>SIEM Platform</w:t>
            </w:r>
          </w:p>
        </w:tc>
      </w:tr>
      <w:tr>
        <w:tc>
          <w:tcPr>
            <w:tcW w:type="dxa" w:w="2592"/>
            <w:shd w:val="clear" w:color="auto" w:fill="FFFFFF"/>
          </w:tcPr>
          <w:p>
            <w:r>
              <w:rPr>
                <w:sz w:val="20"/>
              </w:rPr>
              <w:t>Log Source</w:t>
            </w:r>
          </w:p>
        </w:tc>
        <w:tc>
          <w:tcPr>
            <w:tcW w:type="dxa" w:w="4032"/>
            <w:shd w:val="clear" w:color="auto" w:fill="FFFFFF"/>
          </w:tcPr>
          <w:p>
            <w:r>
              <w:rPr>
                <w:sz w:val="20"/>
              </w:rPr>
              <w:t>WinEventLog:Security</w:t>
            </w:r>
          </w:p>
        </w:tc>
        <w:tc>
          <w:tcPr>
            <w:tcW w:type="dxa" w:w="3168"/>
            <w:shd w:val="clear" w:color="auto" w:fill="FFFFFF"/>
          </w:tcPr>
          <w:p>
            <w:r>
              <w:rPr>
                <w:sz w:val="20"/>
              </w:rPr>
              <w:t>Event Data Feed</w:t>
            </w:r>
          </w:p>
        </w:tc>
      </w:tr>
    </w:tbl>
    <w:p/>
    <w:p>
      <w:pPr>
        <w:pStyle w:val="Heading2"/>
        <w:jc w:val="left"/>
      </w:pPr>
      <w:r>
        <w:rPr>
          <w:b/>
          <w:color w:val="1F3864"/>
          <w:sz w:val="28"/>
        </w:rPr>
        <w:t>2.2 Tools Used</w:t>
      </w:r>
    </w:p>
    <w:p>
      <w:pPr>
        <w:pStyle w:val="ListBullet"/>
        <w:spacing w:after="80"/>
      </w:pPr>
      <w:r>
        <w:rPr>
          <w:b/>
          <w:sz w:val="22"/>
        </w:rPr>
        <w:t xml:space="preserve">Splunk Enterprise 10.2.1: </w:t>
      </w:r>
      <w:r>
        <w:rPr>
          <w:sz w:val="22"/>
        </w:rPr>
        <w:t>SIEM platform for log ingestion, search, and alerting</w:t>
      </w:r>
    </w:p>
    <w:p>
      <w:pPr>
        <w:pStyle w:val="ListBullet"/>
        <w:spacing w:after="80"/>
      </w:pPr>
      <w:r>
        <w:rPr>
          <w:b/>
          <w:sz w:val="22"/>
        </w:rPr>
        <w:t xml:space="preserve">Nmap 7.98: </w:t>
      </w:r>
      <w:r>
        <w:rPr>
          <w:sz w:val="22"/>
        </w:rPr>
        <w:t>Network port scanner and service detection</w:t>
      </w:r>
    </w:p>
    <w:p>
      <w:pPr>
        <w:pStyle w:val="ListBullet"/>
        <w:spacing w:after="80"/>
      </w:pPr>
      <w:r>
        <w:rPr>
          <w:b/>
          <w:sz w:val="22"/>
        </w:rPr>
        <w:t xml:space="preserve">Hydra v9.6: </w:t>
      </w:r>
      <w:r>
        <w:rPr>
          <w:sz w:val="22"/>
        </w:rPr>
        <w:t>Network brute-force login testing tool</w:t>
      </w:r>
    </w:p>
    <w:p>
      <w:pPr>
        <w:pStyle w:val="ListBullet"/>
        <w:spacing w:after="80"/>
      </w:pPr>
      <w:r>
        <w:rPr>
          <w:b/>
          <w:sz w:val="22"/>
        </w:rPr>
        <w:t xml:space="preserve">Oracle VirtualBox: </w:t>
      </w:r>
      <w:r>
        <w:rPr>
          <w:sz w:val="22"/>
        </w:rPr>
        <w:t>Hypervisor hosting the Kali Linux attacker VM</w:t>
      </w:r>
    </w:p>
    <w:p>
      <w:pPr>
        <w:pStyle w:val="ListBullet"/>
        <w:spacing w:after="80"/>
      </w:pPr>
      <w:r>
        <w:rPr>
          <w:b/>
          <w:sz w:val="22"/>
        </w:rPr>
        <w:t xml:space="preserve">Windows Event Log: </w:t>
      </w:r>
      <w:r>
        <w:rPr>
          <w:sz w:val="22"/>
        </w:rPr>
        <w:t>Native OS logging via WinEventLog:Security source</w:t>
      </w:r>
    </w:p>
    <w:p>
      <w:pPr>
        <w:pBdr>
          <w:bottom w:val="single" w:sz="6" w:space="1" w:color="1F3864"/>
        </w:pBdr>
      </w:pPr>
    </w:p>
    <w:p/>
    <w:p>
      <w:pPr>
        <w:pStyle w:val="Heading1"/>
        <w:jc w:val="left"/>
      </w:pPr>
      <w:r>
        <w:rPr>
          <w:b/>
          <w:color w:val="1F3864"/>
          <w:sz w:val="36"/>
        </w:rPr>
        <w:t>3. Attack Simulation</w:t>
      </w:r>
    </w:p>
    <w:p>
      <w:pPr>
        <w:pStyle w:val="Heading2"/>
        <w:jc w:val="left"/>
      </w:pPr>
      <w:r>
        <w:rPr>
          <w:b/>
          <w:color w:val="1F3864"/>
          <w:sz w:val="28"/>
        </w:rPr>
        <w:t>3.1 Reconnaissance — Nmap Service Scan</w:t>
      </w:r>
    </w:p>
    <w:p>
      <w:pPr>
        <w:spacing w:after="120"/>
      </w:pPr>
      <w:r>
        <w:rPr>
          <w:b w:val="0"/>
          <w:i w:val="0"/>
          <w:sz w:val="22"/>
        </w:rPr>
        <w:t>From the Kali Linux machine, an Nmap service version scan was executed against the Windows host at 192.168.56.50 to discover open ports and running services.</w:t>
      </w:r>
    </w:p>
    <w:p>
      <w:pPr>
        <w:shd w:val="clear" w:color="auto" w:fill="EEF2F7"/>
        <w:spacing w:after="120" w:before="80"/>
        <w:ind w:left="432"/>
      </w:pPr>
      <w:r>
        <w:rPr>
          <w:rFonts w:ascii="Courier New" w:hAnsi="Courier New"/>
          <w:color w:val="0070C0"/>
          <w:sz w:val="20"/>
        </w:rPr>
        <w:t>nmap -sV -Pn 192.168.56.50</w:t>
      </w:r>
    </w:p>
    <w:p>
      <w:pPr>
        <w:pStyle w:val="Heading2"/>
        <w:jc w:val="left"/>
      </w:pPr>
      <w:r>
        <w:rPr>
          <w:b/>
          <w:color w:val="1F3864"/>
          <w:sz w:val="28"/>
        </w:rPr>
        <w:t>Scan Results</w:t>
      </w:r>
    </w:p>
    <w:tbl>
      <w:tblPr>
        <w:tblStyle w:val="TableGrid"/>
        <w:tblW w:type="auto" w:w="0"/>
        <w:jc w:val="left"/>
        <w:tblLook w:firstColumn="1" w:firstRow="1" w:lastColumn="0" w:lastRow="0" w:noHBand="0" w:noVBand="1" w:val="04A0"/>
      </w:tblPr>
      <w:tblGrid>
        <w:gridCol w:w="2928"/>
        <w:gridCol w:w="2928"/>
        <w:gridCol w:w="2928"/>
      </w:tblGrid>
      <w:tr>
        <w:tc>
          <w:tcPr>
            <w:tcW w:type="dxa" w:w="2304"/>
            <w:shd w:val="clear" w:color="auto" w:fill="1F3864"/>
          </w:tcPr>
          <w:p>
            <w:r>
              <w:rPr>
                <w:b/>
                <w:color w:val="FFFFFF"/>
                <w:sz w:val="22"/>
              </w:rPr>
              <w:t>Port / Protocol</w:t>
            </w:r>
          </w:p>
        </w:tc>
        <w:tc>
          <w:tcPr>
            <w:tcW w:type="dxa" w:w="2880"/>
            <w:shd w:val="clear" w:color="auto" w:fill="1F3864"/>
          </w:tcPr>
          <w:p>
            <w:r>
              <w:rPr>
                <w:b/>
                <w:color w:val="FFFFFF"/>
                <w:sz w:val="22"/>
              </w:rPr>
              <w:t>Service</w:t>
            </w:r>
          </w:p>
        </w:tc>
        <w:tc>
          <w:tcPr>
            <w:tcW w:type="dxa" w:w="4320"/>
            <w:shd w:val="clear" w:color="auto" w:fill="1F3864"/>
          </w:tcPr>
          <w:p>
            <w:r>
              <w:rPr>
                <w:b/>
                <w:color w:val="FFFFFF"/>
                <w:sz w:val="22"/>
              </w:rPr>
              <w:t>Version / Info</w:t>
            </w:r>
          </w:p>
        </w:tc>
      </w:tr>
      <w:tr>
        <w:tc>
          <w:tcPr>
            <w:tcW w:type="dxa" w:w="2304"/>
            <w:shd w:val="clear" w:color="auto" w:fill="F2F7FF"/>
          </w:tcPr>
          <w:p>
            <w:r>
              <w:rPr>
                <w:sz w:val="20"/>
              </w:rPr>
              <w:t>135/tcp</w:t>
            </w:r>
          </w:p>
        </w:tc>
        <w:tc>
          <w:tcPr>
            <w:tcW w:type="dxa" w:w="2880"/>
            <w:shd w:val="clear" w:color="auto" w:fill="F2F7FF"/>
          </w:tcPr>
          <w:p>
            <w:r>
              <w:rPr>
                <w:sz w:val="20"/>
              </w:rPr>
              <w:t>msrpc</w:t>
            </w:r>
          </w:p>
        </w:tc>
        <w:tc>
          <w:tcPr>
            <w:tcW w:type="dxa" w:w="4320"/>
            <w:shd w:val="clear" w:color="auto" w:fill="F2F7FF"/>
          </w:tcPr>
          <w:p>
            <w:r>
              <w:rPr>
                <w:sz w:val="20"/>
              </w:rPr>
              <w:t>Microsoft Windows RPC</w:t>
            </w:r>
          </w:p>
        </w:tc>
      </w:tr>
      <w:tr>
        <w:tc>
          <w:tcPr>
            <w:tcW w:type="dxa" w:w="2304"/>
            <w:shd w:val="clear" w:color="auto" w:fill="FFFFFF"/>
          </w:tcPr>
          <w:p>
            <w:r>
              <w:rPr>
                <w:sz w:val="20"/>
              </w:rPr>
              <w:t>139/tcp</w:t>
            </w:r>
          </w:p>
        </w:tc>
        <w:tc>
          <w:tcPr>
            <w:tcW w:type="dxa" w:w="2880"/>
            <w:shd w:val="clear" w:color="auto" w:fill="FFFFFF"/>
          </w:tcPr>
          <w:p>
            <w:r>
              <w:rPr>
                <w:sz w:val="20"/>
              </w:rPr>
              <w:t>netbios-ssn</w:t>
            </w:r>
          </w:p>
        </w:tc>
        <w:tc>
          <w:tcPr>
            <w:tcW w:type="dxa" w:w="4320"/>
            <w:shd w:val="clear" w:color="auto" w:fill="FFFFFF"/>
          </w:tcPr>
          <w:p>
            <w:r>
              <w:rPr>
                <w:sz w:val="20"/>
              </w:rPr>
              <w:t>Microsoft Windows netbios-ssn</w:t>
            </w:r>
          </w:p>
        </w:tc>
      </w:tr>
      <w:tr>
        <w:tc>
          <w:tcPr>
            <w:tcW w:type="dxa" w:w="2304"/>
            <w:shd w:val="clear" w:color="auto" w:fill="FFF2F2"/>
          </w:tcPr>
          <w:p>
            <w:r>
              <w:rPr>
                <w:sz w:val="20"/>
              </w:rPr>
              <w:t>445/tcp</w:t>
            </w:r>
          </w:p>
        </w:tc>
        <w:tc>
          <w:tcPr>
            <w:tcW w:type="dxa" w:w="2880"/>
            <w:shd w:val="clear" w:color="auto" w:fill="FFF2F2"/>
          </w:tcPr>
          <w:p>
            <w:r>
              <w:rPr>
                <w:sz w:val="20"/>
              </w:rPr>
              <w:t>microsoft-ds</w:t>
            </w:r>
          </w:p>
        </w:tc>
        <w:tc>
          <w:tcPr>
            <w:tcW w:type="dxa" w:w="4320"/>
            <w:shd w:val="clear" w:color="auto" w:fill="FFF2F2"/>
          </w:tcPr>
          <w:p>
            <w:r>
              <w:rPr>
                <w:color w:val="C00000"/>
                <w:sz w:val="20"/>
              </w:rPr>
              <w:t>SMB — targeted for brute-force</w:t>
            </w:r>
          </w:p>
        </w:tc>
      </w:tr>
      <w:tr>
        <w:tc>
          <w:tcPr>
            <w:tcW w:type="dxa" w:w="2304"/>
            <w:shd w:val="clear" w:color="auto" w:fill="F2F7FF"/>
          </w:tcPr>
          <w:p>
            <w:r>
              <w:rPr>
                <w:sz w:val="20"/>
              </w:rPr>
              <w:t>8000/tcp</w:t>
            </w:r>
          </w:p>
        </w:tc>
        <w:tc>
          <w:tcPr>
            <w:tcW w:type="dxa" w:w="2880"/>
            <w:shd w:val="clear" w:color="auto" w:fill="F2F7FF"/>
          </w:tcPr>
          <w:p>
            <w:r>
              <w:rPr>
                <w:sz w:val="20"/>
              </w:rPr>
              <w:t>http</w:t>
            </w:r>
          </w:p>
        </w:tc>
        <w:tc>
          <w:tcPr>
            <w:tcW w:type="dxa" w:w="4320"/>
            <w:shd w:val="clear" w:color="auto" w:fill="F2F7FF"/>
          </w:tcPr>
          <w:p>
            <w:r>
              <w:rPr>
                <w:sz w:val="20"/>
              </w:rPr>
              <w:t>Splunkd httpd</w:t>
            </w:r>
          </w:p>
        </w:tc>
      </w:tr>
      <w:tr>
        <w:tc>
          <w:tcPr>
            <w:tcW w:type="dxa" w:w="2304"/>
            <w:shd w:val="clear" w:color="auto" w:fill="FFFFFF"/>
          </w:tcPr>
          <w:p>
            <w:r>
              <w:rPr>
                <w:sz w:val="20"/>
              </w:rPr>
              <w:t>8089/tcp</w:t>
            </w:r>
          </w:p>
        </w:tc>
        <w:tc>
          <w:tcPr>
            <w:tcW w:type="dxa" w:w="2880"/>
            <w:shd w:val="clear" w:color="auto" w:fill="FFFFFF"/>
          </w:tcPr>
          <w:p>
            <w:r>
              <w:rPr>
                <w:sz w:val="20"/>
              </w:rPr>
              <w:t>ssl/http</w:t>
            </w:r>
          </w:p>
        </w:tc>
        <w:tc>
          <w:tcPr>
            <w:tcW w:type="dxa" w:w="4320"/>
            <w:shd w:val="clear" w:color="auto" w:fill="FFFFFF"/>
          </w:tcPr>
          <w:p>
            <w:r>
              <w:rPr>
                <w:sz w:val="20"/>
              </w:rPr>
              <w:t>Splunkd httpd (SSL)</w:t>
            </w:r>
          </w:p>
        </w:tc>
      </w:tr>
    </w:tbl>
    <w:p/>
    <w:p>
      <w:pPr>
        <w:spacing w:after="120"/>
      </w:pPr>
      <w:r>
        <w:rPr>
          <w:b w:val="0"/>
          <w:i/>
          <w:sz w:val="22"/>
        </w:rPr>
        <w:t>The scan completed in approximately 25 seconds. The target was identified as a Windows machine (CPE: cpe:/o:microsoft:windows) with both Splunk HTTP and HTTPS management ports exposed alongside standard Windows network services.</w:t>
      </w:r>
    </w:p>
    <w:p>
      <w:pPr>
        <w:pStyle w:val="Heading2"/>
        <w:jc w:val="left"/>
      </w:pPr>
      <w:r>
        <w:rPr>
          <w:b/>
          <w:color w:val="1F3864"/>
          <w:sz w:val="28"/>
        </w:rPr>
        <w:t>3.2 Brute-Force Attack — Hydra SMB</w:t>
      </w:r>
    </w:p>
    <w:p>
      <w:pPr>
        <w:spacing w:after="120"/>
      </w:pPr>
      <w:r>
        <w:rPr>
          <w:b w:val="0"/>
          <w:i w:val="0"/>
          <w:sz w:val="22"/>
        </w:rPr>
        <w:t>After identifying the open SMB port (445/tcp), a dictionary-based password brute-force attack was launched using Hydra targeting the Administrator account over SMB2.</w:t>
      </w:r>
    </w:p>
    <w:p>
      <w:pPr>
        <w:shd w:val="clear" w:color="auto" w:fill="EEF2F7"/>
        <w:spacing w:after="120" w:before="80"/>
        <w:ind w:left="432"/>
      </w:pPr>
      <w:r>
        <w:rPr>
          <w:rFonts w:ascii="Courier New" w:hAnsi="Courier New"/>
          <w:color w:val="0070C0"/>
          <w:sz w:val="20"/>
        </w:rPr>
        <w:t>hydra -l administrator -P passwords.txt 192.168.56.50 smb2 -t -v</w:t>
      </w:r>
    </w:p>
    <w:p>
      <w:pPr>
        <w:spacing w:after="120"/>
      </w:pPr>
      <w:r>
        <w:rPr>
          <w:b w:val="0"/>
          <w:i w:val="0"/>
          <w:sz w:val="22"/>
        </w:rPr>
        <w:t>Hydra attempted up to 10 login combinations per task against the target:</w:t>
      </w:r>
    </w:p>
    <w:p>
      <w:pPr>
        <w:pStyle w:val="ListBullet"/>
        <w:spacing w:after="80"/>
      </w:pPr>
      <w:r>
        <w:rPr>
          <w:sz w:val="22"/>
        </w:rPr>
        <w:t>[ATTEMPT] target 192.168.56.50 — login 'administrator' — pass "password"</w:t>
      </w:r>
    </w:p>
    <w:p>
      <w:pPr>
        <w:pStyle w:val="ListBullet"/>
        <w:spacing w:after="80"/>
      </w:pPr>
      <w:r>
        <w:rPr>
          <w:sz w:val="22"/>
        </w:rPr>
        <w:t>[ATTEMPT] target 192.168.56.50 — login 'administrator' — pass "12356"</w:t>
      </w:r>
    </w:p>
    <w:p>
      <w:pPr>
        <w:pStyle w:val="ListBullet"/>
        <w:spacing w:after="80"/>
      </w:pPr>
      <w:r>
        <w:rPr>
          <w:sz w:val="22"/>
        </w:rPr>
        <w:t>[ATTEMPT] target 192.168.56.50 — login 'administrator' — pass "adm n"</w:t>
      </w:r>
    </w:p>
    <w:p>
      <w:pPr>
        <w:pStyle w:val="ListBullet"/>
        <w:spacing w:after="80"/>
      </w:pPr>
      <w:r>
        <w:rPr>
          <w:sz w:val="22"/>
        </w:rPr>
        <w:t>[ATTEMPT] target 192.168.56.50 — login 'administrator' — pass "administrator"</w:t>
      </w:r>
    </w:p>
    <w:p>
      <w:pPr>
        <w:pStyle w:val="ListBullet"/>
        <w:spacing w:after="80"/>
      </w:pPr>
      <w:r>
        <w:rPr>
          <w:sz w:val="22"/>
        </w:rPr>
        <w:t>[ATTEMPT] target 192.168.56.50 — login 'administrator' — pass "Password1"</w:t>
      </w:r>
    </w:p>
    <w:p>
      <w:pPr>
        <w:pStyle w:val="ListBullet"/>
        <w:spacing w:after="80"/>
      </w:pPr>
      <w:r>
        <w:rPr>
          <w:sz w:val="22"/>
        </w:rPr>
        <w:t>[ATTEMPT] target 192.168.56.50 — login 'administrator' — pass "Adm n123"</w:t>
      </w:r>
    </w:p>
    <w:p>
      <w:pPr>
        <w:pStyle w:val="ListBullet"/>
        <w:spacing w:after="80"/>
      </w:pPr>
      <w:r>
        <w:rPr>
          <w:sz w:val="22"/>
        </w:rPr>
        <w:t>[ATTEMPT] target 192.168.56.50 — login 'administrator' — pass "Welcome1"</w:t>
      </w:r>
    </w:p>
    <w:p>
      <w:pPr>
        <w:pBdr>
          <w:bottom w:val="single" w:sz="6" w:space="1" w:color="1F3864"/>
        </w:pBdr>
      </w:pPr>
    </w:p>
    <w:p/>
    <w:p>
      <w:pPr>
        <w:pStyle w:val="Heading1"/>
        <w:jc w:val="left"/>
      </w:pPr>
      <w:r>
        <w:rPr>
          <w:b/>
          <w:color w:val="1F3864"/>
          <w:sz w:val="36"/>
        </w:rPr>
        <w:t>4. Splunk Detection &amp; Analysis</w:t>
      </w:r>
    </w:p>
    <w:p>
      <w:pPr>
        <w:pStyle w:val="Heading2"/>
        <w:jc w:val="left"/>
      </w:pPr>
      <w:r>
        <w:rPr>
          <w:b/>
          <w:color w:val="1F3864"/>
          <w:sz w:val="28"/>
        </w:rPr>
        <w:t>4.1 Windows Event Codes Reference</w:t>
      </w:r>
    </w:p>
    <w:tbl>
      <w:tblPr>
        <w:tblStyle w:val="TableGrid"/>
        <w:tblW w:type="auto" w:w="0"/>
        <w:jc w:val="left"/>
        <w:tblLook w:firstColumn="1" w:firstRow="1" w:lastColumn="0" w:lastRow="0" w:noHBand="0" w:noVBand="1" w:val="04A0"/>
      </w:tblPr>
      <w:tblGrid>
        <w:gridCol w:w="2928"/>
        <w:gridCol w:w="2928"/>
        <w:gridCol w:w="2928"/>
      </w:tblGrid>
      <w:tr>
        <w:tc>
          <w:tcPr>
            <w:tcW w:type="dxa" w:w="1728"/>
            <w:shd w:val="clear" w:color="auto" w:fill="1F3864"/>
          </w:tcPr>
          <w:p>
            <w:r>
              <w:rPr>
                <w:b/>
                <w:color w:val="FFFFFF"/>
                <w:sz w:val="22"/>
              </w:rPr>
              <w:t>Event Code</w:t>
            </w:r>
          </w:p>
        </w:tc>
        <w:tc>
          <w:tcPr>
            <w:tcW w:type="dxa" w:w="3168"/>
            <w:shd w:val="clear" w:color="auto" w:fill="1F3864"/>
          </w:tcPr>
          <w:p>
            <w:r>
              <w:rPr>
                <w:b/>
                <w:color w:val="FFFFFF"/>
                <w:sz w:val="22"/>
              </w:rPr>
              <w:t>Event Name</w:t>
            </w:r>
          </w:p>
        </w:tc>
        <w:tc>
          <w:tcPr>
            <w:tcW w:type="dxa" w:w="4608"/>
            <w:shd w:val="clear" w:color="auto" w:fill="1F3864"/>
          </w:tcPr>
          <w:p>
            <w:r>
              <w:rPr>
                <w:b/>
                <w:color w:val="FFFFFF"/>
                <w:sz w:val="22"/>
              </w:rPr>
              <w:t>Security Relevance</w:t>
            </w:r>
          </w:p>
        </w:tc>
      </w:tr>
      <w:tr>
        <w:tc>
          <w:tcPr>
            <w:tcW w:type="dxa" w:w="1728"/>
            <w:shd w:val="clear" w:color="auto" w:fill="FFF2F2"/>
          </w:tcPr>
          <w:p>
            <w:r>
              <w:rPr>
                <w:b/>
                <w:color w:val="C00000"/>
                <w:sz w:val="20"/>
              </w:rPr>
              <w:t>4625</w:t>
            </w:r>
          </w:p>
        </w:tc>
        <w:tc>
          <w:tcPr>
            <w:tcW w:type="dxa" w:w="3168"/>
            <w:shd w:val="clear" w:color="auto" w:fill="FFF2F2"/>
          </w:tcPr>
          <w:p>
            <w:r>
              <w:rPr>
                <w:sz w:val="20"/>
              </w:rPr>
              <w:t>An account failed to log on</w:t>
            </w:r>
          </w:p>
        </w:tc>
        <w:tc>
          <w:tcPr>
            <w:tcW w:type="dxa" w:w="4608"/>
            <w:shd w:val="clear" w:color="auto" w:fill="FFF2F2"/>
          </w:tcPr>
          <w:p>
            <w:r>
              <w:rPr>
                <w:sz w:val="20"/>
              </w:rPr>
              <w:t>Indicates failed authentication — key indicator of brute-force attacks</w:t>
            </w:r>
          </w:p>
        </w:tc>
      </w:tr>
      <w:tr>
        <w:tc>
          <w:tcPr>
            <w:tcW w:type="dxa" w:w="1728"/>
            <w:shd w:val="clear" w:color="auto" w:fill="F2F7FF"/>
          </w:tcPr>
          <w:p>
            <w:r>
              <w:rPr>
                <w:b/>
                <w:color w:val="C00000"/>
                <w:sz w:val="20"/>
              </w:rPr>
              <w:t>4688</w:t>
            </w:r>
          </w:p>
        </w:tc>
        <w:tc>
          <w:tcPr>
            <w:tcW w:type="dxa" w:w="3168"/>
            <w:shd w:val="clear" w:color="auto" w:fill="F2F7FF"/>
          </w:tcPr>
          <w:p>
            <w:r>
              <w:rPr>
                <w:sz w:val="20"/>
              </w:rPr>
              <w:t>A new process was created</w:t>
            </w:r>
          </w:p>
        </w:tc>
        <w:tc>
          <w:tcPr>
            <w:tcW w:type="dxa" w:w="4608"/>
            <w:shd w:val="clear" w:color="auto" w:fill="F2F7FF"/>
          </w:tcPr>
          <w:p>
            <w:r>
              <w:rPr>
                <w:sz w:val="20"/>
              </w:rPr>
              <w:t>Tracks process execution — useful for detecting malicious process launches</w:t>
            </w:r>
          </w:p>
        </w:tc>
      </w:tr>
    </w:tbl>
    <w:p/>
    <w:p>
      <w:pPr>
        <w:pStyle w:val="Heading2"/>
        <w:jc w:val="left"/>
      </w:pPr>
      <w:r>
        <w:rPr>
          <w:b/>
          <w:color w:val="1F3864"/>
          <w:sz w:val="28"/>
        </w:rPr>
        <w:t>4.2 Splunk Search Queries</w:t>
      </w:r>
    </w:p>
    <w:p>
      <w:pPr>
        <w:spacing w:after="120"/>
      </w:pPr>
      <w:r>
        <w:rPr>
          <w:b/>
          <w:i w:val="0"/>
          <w:sz w:val="22"/>
        </w:rPr>
        <w:t>Query 1 — Failed Logon Events (EventCode 4625)</w:t>
      </w:r>
    </w:p>
    <w:p>
      <w:pPr>
        <w:shd w:val="clear" w:color="auto" w:fill="EEF2F7"/>
        <w:spacing w:after="120" w:before="80"/>
        <w:ind w:left="432"/>
      </w:pPr>
      <w:r>
        <w:rPr>
          <w:rFonts w:ascii="Courier New" w:hAnsi="Courier New"/>
          <w:color w:val="0070C0"/>
          <w:sz w:val="20"/>
        </w:rPr>
        <w:t>index=main EventCode=4625</w:t>
      </w:r>
    </w:p>
    <w:p>
      <w:pPr>
        <w:spacing w:after="120"/>
      </w:pPr>
      <w:r>
        <w:rPr>
          <w:b w:val="0"/>
          <w:i w:val="0"/>
          <w:sz w:val="22"/>
        </w:rPr>
        <w:t>This query returns all failed login attempts recorded in the Windows Security log. The search returned 25 events at 12:26 PM and 45 events by 4:10 PM on 24 March 2026, confirming an active brute-force campaign against DESKTOP-2VE1QV7.</w:t>
      </w:r>
    </w:p>
    <w:p>
      <w:pPr>
        <w:spacing w:after="120"/>
      </w:pPr>
      <w:r>
        <w:rPr>
          <w:b w:val="0"/>
          <w:i/>
          <w:sz w:val="22"/>
        </w:rPr>
        <w:t>Key fields extracted:</w:t>
      </w:r>
    </w:p>
    <w:p>
      <w:pPr>
        <w:pStyle w:val="ListBullet"/>
        <w:spacing w:after="80"/>
      </w:pPr>
      <w:r>
        <w:rPr>
          <w:b/>
          <w:sz w:val="22"/>
        </w:rPr>
        <w:t xml:space="preserve">LogName: </w:t>
      </w:r>
      <w:r>
        <w:rPr>
          <w:sz w:val="22"/>
        </w:rPr>
        <w:t>Security</w:t>
      </w:r>
    </w:p>
    <w:p>
      <w:pPr>
        <w:pStyle w:val="ListBullet"/>
        <w:spacing w:after="80"/>
      </w:pPr>
      <w:r>
        <w:rPr>
          <w:b/>
          <w:sz w:val="22"/>
        </w:rPr>
        <w:t xml:space="preserve">EventCode: </w:t>
      </w:r>
      <w:r>
        <w:rPr>
          <w:sz w:val="22"/>
        </w:rPr>
        <w:t>4625</w:t>
      </w:r>
    </w:p>
    <w:p>
      <w:pPr>
        <w:pStyle w:val="ListBullet"/>
        <w:spacing w:after="80"/>
      </w:pPr>
      <w:r>
        <w:rPr>
          <w:b/>
          <w:sz w:val="22"/>
        </w:rPr>
        <w:t xml:space="preserve">EventType: </w:t>
      </w:r>
      <w:r>
        <w:rPr>
          <w:sz w:val="22"/>
        </w:rPr>
        <w:t>0</w:t>
      </w:r>
    </w:p>
    <w:p>
      <w:pPr>
        <w:pStyle w:val="ListBullet"/>
        <w:spacing w:after="80"/>
      </w:pPr>
      <w:r>
        <w:rPr>
          <w:b/>
          <w:sz w:val="22"/>
        </w:rPr>
        <w:t xml:space="preserve">ComputerName: </w:t>
      </w:r>
      <w:r>
        <w:rPr>
          <w:sz w:val="22"/>
        </w:rPr>
        <w:t>DESKTOP-2VE1QV7</w:t>
      </w:r>
    </w:p>
    <w:p>
      <w:pPr>
        <w:pStyle w:val="ListBullet"/>
        <w:spacing w:after="80"/>
      </w:pPr>
      <w:r>
        <w:rPr>
          <w:b/>
          <w:sz w:val="22"/>
        </w:rPr>
        <w:t xml:space="preserve">source: </w:t>
      </w:r>
      <w:r>
        <w:rPr>
          <w:sz w:val="22"/>
        </w:rPr>
        <w:t>WinEventLog:Security</w:t>
      </w:r>
    </w:p>
    <w:p>
      <w:pPr>
        <w:pStyle w:val="ListBullet"/>
        <w:spacing w:after="80"/>
      </w:pPr>
      <w:r>
        <w:rPr>
          <w:b/>
          <w:sz w:val="22"/>
        </w:rPr>
        <w:t xml:space="preserve">sourcetype: </w:t>
      </w:r>
      <w:r>
        <w:rPr>
          <w:sz w:val="22"/>
        </w:rPr>
        <w:t>WinEventLog:Security</w:t>
      </w:r>
    </w:p>
    <w:p/>
    <w:p>
      <w:pPr>
        <w:spacing w:after="120"/>
      </w:pPr>
      <w:r>
        <w:rPr>
          <w:b/>
          <w:i w:val="0"/>
          <w:sz w:val="22"/>
        </w:rPr>
        <w:t>Query 2 — Process Creation Events (EventCode 4688)</w:t>
      </w:r>
    </w:p>
    <w:p>
      <w:pPr>
        <w:shd w:val="clear" w:color="auto" w:fill="EEF2F7"/>
        <w:spacing w:after="120" w:before="80"/>
        <w:ind w:left="432"/>
      </w:pPr>
      <w:r>
        <w:rPr>
          <w:rFonts w:ascii="Courier New" w:hAnsi="Courier New"/>
          <w:color w:val="0070C0"/>
          <w:sz w:val="20"/>
        </w:rPr>
        <w:t>index=main EventCode=4688</w:t>
      </w:r>
    </w:p>
    <w:p>
      <w:pPr>
        <w:spacing w:after="120"/>
      </w:pPr>
      <w:r>
        <w:rPr>
          <w:b w:val="0"/>
          <w:i w:val="0"/>
          <w:sz w:val="22"/>
        </w:rPr>
        <w:t>This query returns process creation events. The search returned 26 events captured starting 23 March 2026 at 12:27 PM. These events are used to track which processes were launched on the host, helping correlate attacker tools or malware execution with the timeline of the Hydra and Nmap attacks.</w:t>
      </w:r>
    </w:p>
    <w:p>
      <w:pPr>
        <w:pStyle w:val="Heading2"/>
        <w:jc w:val="left"/>
      </w:pPr>
      <w:r>
        <w:rPr>
          <w:b/>
          <w:color w:val="1F3864"/>
          <w:sz w:val="28"/>
        </w:rPr>
        <w:t>4.3 Interesting Fields — EventCode 4625</w:t>
      </w:r>
    </w:p>
    <w:p>
      <w:pPr>
        <w:pStyle w:val="ListBullet"/>
        <w:spacing w:after="80"/>
      </w:pPr>
      <w:r>
        <w:rPr>
          <w:b/>
          <w:sz w:val="22"/>
        </w:rPr>
        <w:t xml:space="preserve">Account_Domain: </w:t>
      </w:r>
      <w:r>
        <w:rPr>
          <w:sz w:val="22"/>
        </w:rPr>
        <w:t>Domain of the account used in the login attempt</w:t>
      </w:r>
    </w:p>
    <w:p>
      <w:pPr>
        <w:pStyle w:val="ListBullet"/>
        <w:spacing w:after="80"/>
      </w:pPr>
      <w:r>
        <w:rPr>
          <w:b/>
          <w:sz w:val="22"/>
        </w:rPr>
        <w:t xml:space="preserve">Account_Name: </w:t>
      </w:r>
      <w:r>
        <w:rPr>
          <w:sz w:val="22"/>
        </w:rPr>
        <w:t>Username targeted (e.g., administrator)</w:t>
      </w:r>
    </w:p>
    <w:p>
      <w:pPr>
        <w:pStyle w:val="ListBullet"/>
        <w:spacing w:after="80"/>
      </w:pPr>
      <w:r>
        <w:rPr>
          <w:b/>
          <w:sz w:val="22"/>
        </w:rPr>
        <w:t xml:space="preserve">Authentication_Package: </w:t>
      </w:r>
      <w:r>
        <w:rPr>
          <w:sz w:val="22"/>
        </w:rPr>
        <w:t>Auth package used (e.g., NTLM)</w:t>
      </w:r>
    </w:p>
    <w:p>
      <w:pPr>
        <w:pStyle w:val="ListBullet"/>
        <w:spacing w:after="80"/>
      </w:pPr>
      <w:r>
        <w:rPr>
          <w:b/>
          <w:sz w:val="22"/>
        </w:rPr>
        <w:t xml:space="preserve">Caller_Process_ID: </w:t>
      </w:r>
      <w:r>
        <w:rPr>
          <w:sz w:val="22"/>
        </w:rPr>
        <w:t>PID of the calling process</w:t>
      </w:r>
    </w:p>
    <w:p>
      <w:pPr>
        <w:pStyle w:val="ListBullet"/>
        <w:spacing w:after="80"/>
      </w:pPr>
      <w:r>
        <w:rPr>
          <w:b/>
          <w:sz w:val="22"/>
        </w:rPr>
        <w:t xml:space="preserve">Caller_Process_Name: </w:t>
      </w:r>
      <w:r>
        <w:rPr>
          <w:sz w:val="22"/>
        </w:rPr>
        <w:t>Name of the calling process</w:t>
      </w:r>
    </w:p>
    <w:p>
      <w:pPr>
        <w:pStyle w:val="ListBullet"/>
        <w:spacing w:after="80"/>
      </w:pPr>
      <w:r>
        <w:rPr>
          <w:b/>
          <w:sz w:val="22"/>
        </w:rPr>
        <w:t xml:space="preserve">ComputerName: </w:t>
      </w:r>
      <w:r>
        <w:rPr>
          <w:sz w:val="22"/>
        </w:rPr>
        <w:t>Hostname of the affected machine</w:t>
      </w:r>
    </w:p>
    <w:p>
      <w:pPr>
        <w:pBdr>
          <w:bottom w:val="single" w:sz="6" w:space="1" w:color="1F3864"/>
        </w:pBdr>
      </w:pPr>
    </w:p>
    <w:p/>
    <w:p>
      <w:pPr>
        <w:pStyle w:val="Heading1"/>
        <w:jc w:val="left"/>
      </w:pPr>
      <w:r>
        <w:rPr>
          <w:b/>
          <w:color w:val="1F3864"/>
          <w:sz w:val="36"/>
        </w:rPr>
        <w:t>5. Findings &amp; Observations</w:t>
      </w:r>
    </w:p>
    <w:p>
      <w:pPr>
        <w:spacing w:after="120"/>
      </w:pPr>
      <w:r>
        <w:rPr>
          <w:b/>
          <w:i w:val="0"/>
          <w:sz w:val="22"/>
        </w:rPr>
        <w:t>Brute-Force Confirmed</w:t>
      </w:r>
    </w:p>
    <w:p>
      <w:pPr>
        <w:spacing w:after="120"/>
      </w:pPr>
      <w:r>
        <w:rPr>
          <w:b w:val="0"/>
          <w:i w:val="0"/>
          <w:sz w:val="22"/>
        </w:rPr>
        <w:t>Hydra generated a rapid burst of failed SMB authentication events (EventCode 4625) against the Administrator account. The event count grew from 25 to 45 within the monitoring window, clearly indicating an ongoing attack.</w:t>
      </w:r>
    </w:p>
    <w:p/>
    <w:p>
      <w:pPr>
        <w:spacing w:after="120"/>
      </w:pPr>
      <w:r>
        <w:rPr>
          <w:b/>
          <w:i w:val="0"/>
          <w:sz w:val="22"/>
        </w:rPr>
        <w:t>Process Activity Correlated</w:t>
      </w:r>
    </w:p>
    <w:p>
      <w:pPr>
        <w:spacing w:after="120"/>
      </w:pPr>
      <w:r>
        <w:rPr>
          <w:b w:val="0"/>
          <w:i w:val="0"/>
          <w:sz w:val="22"/>
        </w:rPr>
        <w:t>EventCode 4688 (26 events) logged process creation activity timed with the attack window, allowing correlation between tool execution on the attacker machine and host-side process spawning.</w:t>
      </w:r>
    </w:p>
    <w:p/>
    <w:p>
      <w:pPr>
        <w:spacing w:after="120"/>
      </w:pPr>
      <w:r>
        <w:rPr>
          <w:b/>
          <w:i w:val="0"/>
          <w:sz w:val="22"/>
        </w:rPr>
        <w:t>Nmap Fingerprinting Detected</w:t>
      </w:r>
    </w:p>
    <w:p>
      <w:pPr>
        <w:spacing w:after="120"/>
      </w:pPr>
      <w:r>
        <w:rPr>
          <w:b w:val="0"/>
          <w:i w:val="0"/>
          <w:sz w:val="22"/>
        </w:rPr>
        <w:t>Port 445/tcp (SMB) and management ports 8000/8089 (Splunk) were exposed and identified. Nmap aggressive scanning (referenced in browser tabs) generated additional noise visible in Splunk logs.</w:t>
      </w:r>
    </w:p>
    <w:p/>
    <w:p>
      <w:pPr>
        <w:spacing w:after="120"/>
      </w:pPr>
      <w:r>
        <w:rPr>
          <w:b/>
          <w:i w:val="0"/>
          <w:sz w:val="22"/>
        </w:rPr>
        <w:t>Splunk Fields Enable Deep Drill-Down</w:t>
      </w:r>
    </w:p>
    <w:p>
      <w:pPr>
        <w:spacing w:after="120"/>
      </w:pPr>
      <w:r>
        <w:rPr>
          <w:b w:val="0"/>
          <w:i w:val="0"/>
          <w:sz w:val="22"/>
        </w:rPr>
        <w:t>Fields such as Account_Name, Caller_Process_ID, Authentication_Package, and Account_Domain allow precise filtering and pivot analysis to identify the targeted account and the source process responsible for the failed logins.</w:t>
      </w:r>
    </w:p>
    <w:p/>
    <w:p>
      <w:pPr>
        <w:spacing w:after="120"/>
      </w:pPr>
      <w:r>
        <w:rPr>
          <w:b/>
          <w:i w:val="0"/>
          <w:sz w:val="22"/>
        </w:rPr>
        <w:t>Timeline Accuracy</w:t>
      </w:r>
    </w:p>
    <w:p>
      <w:pPr>
        <w:spacing w:after="120"/>
      </w:pPr>
      <w:r>
        <w:rPr>
          <w:b w:val="0"/>
          <w:i w:val="0"/>
          <w:sz w:val="22"/>
        </w:rPr>
        <w:t>All events were timestamped with millisecond precision and correctly attributed to host DESKTOP-2VE1QV7, confirming reliable log forwarding with no gaps.</w:t>
      </w:r>
    </w:p>
    <w:p/>
    <w:p>
      <w:pPr>
        <w:pBdr>
          <w:bottom w:val="single" w:sz="6" w:space="1" w:color="1F3864"/>
        </w:pBdr>
      </w:pPr>
    </w:p>
    <w:p/>
    <w:p>
      <w:pPr>
        <w:pStyle w:val="Heading1"/>
        <w:jc w:val="left"/>
      </w:pPr>
      <w:r>
        <w:rPr>
          <w:b/>
          <w:color w:val="1F3864"/>
          <w:sz w:val="36"/>
        </w:rPr>
        <w:t>6. Recommendations</w:t>
      </w:r>
    </w:p>
    <w:p>
      <w:pPr>
        <w:pStyle w:val="ListBullet"/>
        <w:spacing w:after="80"/>
      </w:pPr>
      <w:r>
        <w:rPr>
          <w:b/>
          <w:sz w:val="22"/>
        </w:rPr>
        <w:t xml:space="preserve">Create Splunk Alerts: </w:t>
      </w:r>
      <w:r>
        <w:rPr>
          <w:sz w:val="22"/>
        </w:rPr>
        <w:t>Set a threshold alert for &gt;5 EventCode 4625 events within 60 seconds from the same source to automatically notify the SOC team of brute-force attempts.</w:t>
      </w:r>
    </w:p>
    <w:p>
      <w:pPr>
        <w:pStyle w:val="ListBullet"/>
        <w:spacing w:after="80"/>
      </w:pPr>
      <w:r>
        <w:rPr>
          <w:b/>
          <w:sz w:val="22"/>
        </w:rPr>
        <w:t xml:space="preserve">Enable Account Lockout Policy: </w:t>
      </w:r>
      <w:r>
        <w:rPr>
          <w:sz w:val="22"/>
        </w:rPr>
        <w:t>Configure Windows Group Policy to lock accounts after 5 failed login attempts, limiting Hydra-style dictionary attacks.</w:t>
      </w:r>
    </w:p>
    <w:p>
      <w:pPr>
        <w:pStyle w:val="ListBullet"/>
        <w:spacing w:after="80"/>
      </w:pPr>
      <w:r>
        <w:rPr>
          <w:b/>
          <w:sz w:val="22"/>
        </w:rPr>
        <w:t xml:space="preserve">Restrict SMB Exposure: </w:t>
      </w:r>
      <w:r>
        <w:rPr>
          <w:sz w:val="22"/>
        </w:rPr>
        <w:t>Apply firewall rules to block SMB (port 445) from untrusted network segments to reduce the attack surface.</w:t>
      </w:r>
    </w:p>
    <w:p>
      <w:pPr>
        <w:pStyle w:val="ListBullet"/>
        <w:spacing w:after="80"/>
      </w:pPr>
      <w:r>
        <w:rPr>
          <w:b/>
          <w:sz w:val="22"/>
        </w:rPr>
        <w:t xml:space="preserve">Monitor Process Creation: </w:t>
      </w:r>
      <w:r>
        <w:rPr>
          <w:sz w:val="22"/>
        </w:rPr>
        <w:t>Build a Splunk dashboard correlating EventCode 4688 with known attacker tool names (nmap.exe, hydra.exe) to detect tool usage on the host.</w:t>
      </w:r>
    </w:p>
    <w:p>
      <w:pPr>
        <w:pStyle w:val="ListBullet"/>
        <w:spacing w:after="80"/>
      </w:pPr>
      <w:r>
        <w:rPr>
          <w:b/>
          <w:sz w:val="22"/>
        </w:rPr>
        <w:t xml:space="preserve">Rotate Credentials: </w:t>
      </w:r>
      <w:r>
        <w:rPr>
          <w:sz w:val="22"/>
        </w:rPr>
        <w:t>Rotate the Administrator account password and enforce a strong password policy to resist dictionary-based attacks.</w:t>
      </w:r>
    </w:p>
    <w:p>
      <w:pPr>
        <w:pStyle w:val="ListBullet"/>
        <w:spacing w:after="80"/>
      </w:pPr>
      <w:r>
        <w:rPr>
          <w:b/>
          <w:sz w:val="22"/>
        </w:rPr>
        <w:t xml:space="preserve">Restrict Splunk Ports: </w:t>
      </w:r>
      <w:r>
        <w:rPr>
          <w:sz w:val="22"/>
        </w:rPr>
        <w:t>Bind Splunk management ports (8000/8089) to localhost or a management VLAN only, preventing exposure to attacker machines.</w:t>
      </w:r>
    </w:p>
    <w:p>
      <w:pPr>
        <w:pBdr>
          <w:bottom w:val="single" w:sz="6" w:space="1" w:color="1F3864"/>
        </w:pBdr>
      </w:pPr>
    </w:p>
    <w:p/>
    <w:p>
      <w:pPr>
        <w:pStyle w:val="Heading1"/>
        <w:jc w:val="left"/>
      </w:pPr>
      <w:r>
        <w:rPr>
          <w:b/>
          <w:color w:val="1F3864"/>
          <w:sz w:val="36"/>
        </w:rPr>
        <w:t>7. Conclusion</w:t>
      </w:r>
    </w:p>
    <w:p>
      <w:pPr>
        <w:spacing w:after="120"/>
      </w:pPr>
      <w:r>
        <w:rPr>
          <w:b w:val="0"/>
          <w:i w:val="0"/>
          <w:sz w:val="22"/>
        </w:rPr>
        <w:t>This project successfully demonstrated the use of Splunk Enterprise as a SIEM platform to monitor and detect real attack scenarios in a controlled lab environment. By simulating network reconnaissance with Nmap and credential brute-forcing with Hydra from a Kali Linux machine, meaningful security events were generated on the Windows host and captured in Splunk's index. The analysis of Windows Security Event Codes 4625 and 4688 confirmed the attacks and provided actionable forensic data. This workflow validates the effectiveness of centralised log management and event correlation for early threat detection.</w:t>
      </w:r>
    </w:p>
    <w:p/>
    <w:p>
      <w:pPr>
        <w:spacing w:after="120"/>
      </w:pPr>
      <w:r>
        <w:rPr>
          <w:b w:val="0"/>
          <w:i/>
          <w:sz w:val="20"/>
        </w:rPr>
        <w:t>Platform: Splunk Enterprise 10.2.1  |  Host: DESKTOP-2VE1QV7  |  Date: 24 March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