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37"/>
      </w:tblGrid>
      <w:tr>
        <w:tc>
          <w:tcPr>
            <w:tcW w:type="dxa" w:w="10037"/>
            <w:shd w:fill="0F6674"/>
            <w:tcBorders>
              <w:top w:sz="12" w:val="single" w:color="0F6674"/>
              <w:left w:sz="12" w:val="single" w:color="0F6674"/>
              <w:bottom w:sz="12" w:val="single" w:color="0F6674"/>
              <w:right w:sz="12" w:val="single" w:color="0F6674"/>
            </w:tcBorders>
          </w:tcPr>
          <w:p>
            <w:pPr>
              <w:jc w:val="center"/>
            </w:pPr>
            <w:r>
              <w:rPr>
                <w:rFonts w:ascii="Aptos" w:hAnsi="Aptos"/>
                <w:b/>
                <w:i w:val="0"/>
                <w:color w:val="FFFFFF"/>
                <w:sz w:val="48"/>
              </w:rPr>
              <w:t>Feed Sales Incentive POC PRD</w:t>
            </w:r>
          </w:p>
          <w:p>
            <w:pPr>
              <w:jc w:val="center"/>
            </w:pPr>
            <w:r>
              <w:rPr>
                <w:rFonts w:ascii="Aptos" w:hAnsi="Aptos"/>
                <w:b w:val="0"/>
                <w:i w:val="0"/>
                <w:color w:val="FFFFFF"/>
                <w:sz w:val="30"/>
              </w:rPr>
              <w:t>Sales Attribution &amp; Credit Assignment Foundation</w:t>
            </w:r>
          </w:p>
        </w:tc>
      </w:tr>
    </w:tbl>
    <w:p/>
    <w:p/>
    <w:p>
      <w:pPr>
        <w:jc w:val="center"/>
      </w:pPr>
      <w:r>
        <w:rPr>
          <w:rFonts w:ascii="Aptos" w:hAnsi="Aptos"/>
          <w:b/>
          <w:i w:val="0"/>
          <w:color w:val="1F2937"/>
          <w:sz w:val="22"/>
        </w:rPr>
        <w:t>Version 2.0 | POC-first, future-ready | Prepared for client discussion</w:t>
      </w:r>
    </w:p>
    <w:tbl>
      <w:tblPr>
        <w:tblW w:type="auto" w:w="0"/>
        <w:jc w:val="center"/>
        <w:tblLayout w:type="autofit"/>
        <w:tblLook w:firstColumn="1" w:firstRow="1" w:lastColumn="0" w:lastRow="0" w:noHBand="0" w:noVBand="1" w:val="04A0"/>
      </w:tblPr>
      <w:tblGrid>
        <w:gridCol w:w="10037"/>
      </w:tblGrid>
      <w:tr>
        <w:tc>
          <w:tcPr>
            <w:tcW w:type="dxa" w:w="10037"/>
            <w:shd w:fill="FFF3CD"/>
            <w:tcBorders>
              <w:top w:sz="8" w:val="single" w:color="D6A800"/>
              <w:left w:sz="8" w:val="single" w:color="D6A800"/>
              <w:bottom w:sz="8" w:val="single" w:color="D6A800"/>
              <w:right w:sz="8" w:val="single" w:color="D6A800"/>
            </w:tcBorders>
            <w:vAlign w:val="center"/>
          </w:tcPr>
          <w:p>
            <w:pPr>
              <w:spacing w:after="40"/>
            </w:pPr>
            <w:r>
              <w:rPr>
                <w:rFonts w:ascii="Aptos" w:hAnsi="Aptos"/>
                <w:b/>
                <w:i w:val="0"/>
                <w:color w:val="0A4F5A"/>
                <w:sz w:val="23"/>
              </w:rPr>
              <w:t>Plain-language purpose</w:t>
            </w:r>
          </w:p>
          <w:p>
            <w:pPr>
              <w:spacing w:after="0"/>
            </w:pPr>
            <w:r>
              <w:rPr>
                <w:rFonts w:ascii="Aptos" w:hAnsi="Aptos"/>
                <w:b w:val="0"/>
                <w:i w:val="0"/>
                <w:color w:val="1F2937"/>
                <w:sz w:val="20"/>
              </w:rPr>
              <w:t>Build a simple working POC that proves the core assignment process now, while keeping the foundation ready for real client data sources later. The POC should not connect to Workday, SAP, Salesforce, Power BI, or payroll yet. It should be built so those connections can be added later without rebuilding the product from scratch.</w:t>
            </w:r>
          </w:p>
        </w:tc>
      </w:tr>
    </w:tbl>
    <w:p>
      <w:pPr>
        <w:spacing w:after="40"/>
      </w:pPr>
    </w:p>
    <w:p>
      <w:pPr>
        <w:pStyle w:val="Heading1"/>
      </w:pPr>
      <w:r>
        <w:t>Executive Summary</w:t>
      </w:r>
    </w:p>
    <w:p>
      <w:pPr>
        <w:spacing w:after="120" w:line="259" w:lineRule="auto"/>
      </w:pPr>
      <w:r>
        <w:rPr>
          <w:rFonts w:ascii="Aptos" w:hAnsi="Aptos"/>
          <w:b w:val="0"/>
          <w:i w:val="0"/>
          <w:color w:val="1F2937"/>
          <w:sz w:val="21"/>
        </w:rPr>
        <w:t>This PRD defines the POC product for the Feed Sales Incentive Sales Attribution &amp; Credit Assignment foundation. The first goal is to show the client a clear, usable application for assigning sales credit at the customer + product group level. The second goal is to design the POC in a way that can grow into the real application once the client approves the engagement.</w:t>
      </w:r>
    </w:p>
    <w:p>
      <w:pPr>
        <w:spacing w:after="120" w:line="259" w:lineRule="auto"/>
      </w:pPr>
      <w:r>
        <w:rPr>
          <w:rFonts w:ascii="Aptos" w:hAnsi="Aptos"/>
          <w:b w:val="0"/>
          <w:i w:val="0"/>
          <w:color w:val="1F2937"/>
          <w:sz w:val="21"/>
        </w:rPr>
        <w:t>The POC will use mock data, manual entry, and simple CSV-style imports. It will not connect to live systems. However, the data model, screen structure, and backend logic should follow the same shape that future integrations will need.</w:t>
      </w:r>
    </w:p>
    <w:tbl>
      <w:tblPr>
        <w:tblStyle w:val="TableGrid"/>
        <w:tblW w:type="auto" w:w="0"/>
        <w:jc w:val="center"/>
        <w:tblLook w:firstColumn="1" w:firstRow="1" w:lastColumn="0" w:lastRow="0" w:noHBand="0" w:noVBand="1" w:val="04A0"/>
      </w:tblPr>
      <w:tblGrid>
        <w:gridCol w:w="4608"/>
        <w:gridCol w:w="5184"/>
      </w:tblGrid>
      <w:tr>
        <w:trPr>
          <w:tblHeader w:val="true"/>
        </w:trPr>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POC Now</w:t>
            </w:r>
          </w:p>
        </w:tc>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Future After Client Approval</w:t>
            </w:r>
          </w:p>
        </w:tc>
      </w:tr>
      <w:tr>
        <w:tc>
          <w:tcPr>
            <w:tcW w:type="dxa" w:w="460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Use mock sellers, customers, products, assignments, and invoices.</w:t>
            </w:r>
          </w:p>
        </w:tc>
        <w:tc>
          <w:tcPr>
            <w:tcW w:type="dxa" w:w="518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Replace mock inputs with integrations from Workday, SAP/JDE/SAC, Salesforce, Power BI, and payroll systems.</w:t>
            </w:r>
          </w:p>
        </w:tc>
      </w:tr>
      <w:tr>
        <w:tc>
          <w:tcPr>
            <w:tcW w:type="dxa" w:w="460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Create, validate, approve, and history-track sales assignments.</w:t>
            </w:r>
          </w:p>
        </w:tc>
        <w:tc>
          <w:tcPr>
            <w:tcW w:type="dxa" w:w="518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Use approved assignments to drive real incentive calculations, payroll approvals, dashboards, adjustments, and reporting.</w:t>
            </w:r>
          </w:p>
        </w:tc>
      </w:tr>
      <w:tr>
        <w:tc>
          <w:tcPr>
            <w:tcW w:type="dxa" w:w="460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Show calculation preview only.</w:t>
            </w:r>
          </w:p>
        </w:tc>
        <w:tc>
          <w:tcPr>
            <w:tcW w:type="dxa" w:w="518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Run full invoice-level calculations, true-ups, adjustment processing, and payment outputs.</w:t>
            </w:r>
          </w:p>
        </w:tc>
      </w:tr>
      <w:tr>
        <w:tc>
          <w:tcPr>
            <w:tcW w:type="dxa" w:w="460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Keep the UI simple and easy to explain.</w:t>
            </w:r>
          </w:p>
        </w:tc>
        <w:tc>
          <w:tcPr>
            <w:tcW w:type="dxa" w:w="518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Extend the same foundation into production modules without rebuilding the assignment layer.</w:t>
            </w:r>
          </w:p>
        </w:tc>
      </w:tr>
    </w:tbl>
    <w:p>
      <w:pPr>
        <w:spacing w:after="40"/>
      </w:pPr>
    </w:p>
    <w:p>
      <w:pPr>
        <w:pStyle w:val="Heading1"/>
      </w:pPr>
      <w:r>
        <w:t>1. Product Vision</w:t>
      </w:r>
    </w:p>
    <w:p>
      <w:pPr>
        <w:spacing w:after="120" w:line="259" w:lineRule="auto"/>
      </w:pPr>
      <w:r>
        <w:rPr>
          <w:rFonts w:ascii="Aptos" w:hAnsi="Aptos"/>
          <w:b w:val="0"/>
          <w:i w:val="0"/>
          <w:color w:val="1F2937"/>
          <w:sz w:val="21"/>
        </w:rPr>
        <w:t>The product should feel simple to the business user, but be structured correctly behind the scenes. The assignment module is the foundation of the future incentive system because every calculation depends on knowing who should receive credit for each customer and product group.</w:t>
      </w:r>
    </w:p>
    <w:tbl>
      <w:tblPr>
        <w:tblW w:type="auto" w:w="0"/>
        <w:jc w:val="center"/>
        <w:tblLayout w:type="autofit"/>
        <w:tblLook w:firstColumn="1" w:firstRow="1" w:lastColumn="0" w:lastRow="0" w:noHBand="0" w:noVBand="1" w:val="04A0"/>
      </w:tblPr>
      <w:tblGrid>
        <w:gridCol w:w="10037"/>
      </w:tblGrid>
      <w:tr>
        <w:tc>
          <w:tcPr>
            <w:tcW w:type="dxa" w:w="10037"/>
            <w:shd w:fill="E7F3F5"/>
            <w:tcBorders>
              <w:top w:sz="8" w:val="single" w:color="0F6674"/>
              <w:left w:sz="8" w:val="single" w:color="0F6674"/>
              <w:bottom w:sz="8" w:val="single" w:color="0F6674"/>
              <w:right w:sz="8" w:val="single" w:color="0F6674"/>
            </w:tcBorders>
            <w:vAlign w:val="center"/>
          </w:tcPr>
          <w:p>
            <w:pPr>
              <w:spacing w:after="40"/>
            </w:pPr>
            <w:r>
              <w:rPr>
                <w:rFonts w:ascii="Aptos" w:hAnsi="Aptos"/>
                <w:b/>
                <w:i w:val="0"/>
                <w:color w:val="0A4F5A"/>
                <w:sz w:val="23"/>
              </w:rPr>
              <w:t>Guiding idea</w:t>
            </w:r>
          </w:p>
          <w:p>
            <w:pPr>
              <w:spacing w:after="0"/>
            </w:pPr>
            <w:r>
              <w:rPr>
                <w:rFonts w:ascii="Aptos" w:hAnsi="Aptos"/>
                <w:b w:val="0"/>
                <w:i w:val="0"/>
                <w:color w:val="1F2937"/>
                <w:sz w:val="20"/>
              </w:rPr>
              <w:t>If we get the assignment foundation right, later modules such as calculation, payroll, dashboards, adjustments, Salesforce visibility, accruals, and LPS billing can be added on top of it cleanly.</w:t>
            </w:r>
          </w:p>
        </w:tc>
      </w:tr>
    </w:tbl>
    <w:p>
      <w:pPr>
        <w:spacing w:after="40"/>
      </w:pPr>
    </w:p>
    <w:p>
      <w:pPr>
        <w:pStyle w:val="Heading1"/>
      </w:pPr>
      <w:r>
        <w:t>2. Main Business Problem</w:t>
      </w:r>
    </w:p>
    <w:p>
      <w:pPr>
        <w:spacing w:after="120" w:line="259" w:lineRule="auto"/>
      </w:pPr>
      <w:r>
        <w:rPr>
          <w:rFonts w:ascii="Aptos" w:hAnsi="Aptos"/>
          <w:b w:val="0"/>
          <w:i w:val="0"/>
          <w:color w:val="1F2937"/>
          <w:sz w:val="21"/>
        </w:rPr>
        <w:t>Today, important parts of the process are handled across multiple tools and manual steps. The client uses FSI, JDE/XE, Power BI, Workday, SharePoint, spreadsheets, and email. This creates effort, risk, and confusion when sellers change roles, customers are reassigned, or payment calculations need review.</w:t>
      </w:r>
    </w:p>
    <w:p>
      <w:pPr>
        <w:pStyle w:val="ListBullet"/>
        <w:spacing w:after="60"/>
      </w:pPr>
      <w:r>
        <w:rPr>
          <w:rFonts w:ascii="Aptos" w:hAnsi="Aptos"/>
          <w:b w:val="0"/>
          <w:i w:val="0"/>
          <w:color w:val="1F2937"/>
          <w:sz w:val="21"/>
        </w:rPr>
        <w:t>Assignments are split across current systems and spreadsheets.</w:t>
      </w:r>
    </w:p>
    <w:p>
      <w:pPr>
        <w:pStyle w:val="ListBullet"/>
        <w:spacing w:after="60"/>
      </w:pPr>
      <w:r>
        <w:rPr>
          <w:rFonts w:ascii="Aptos" w:hAnsi="Aptos"/>
          <w:b w:val="0"/>
          <w:i w:val="0"/>
          <w:color w:val="1F2937"/>
          <w:sz w:val="21"/>
        </w:rPr>
        <w:t>Approvals and corrections are often handled through email.</w:t>
      </w:r>
    </w:p>
    <w:p>
      <w:pPr>
        <w:pStyle w:val="ListBullet"/>
        <w:spacing w:after="60"/>
      </w:pPr>
      <w:r>
        <w:rPr>
          <w:rFonts w:ascii="Aptos" w:hAnsi="Aptos"/>
          <w:b w:val="0"/>
          <w:i w:val="0"/>
          <w:color w:val="1F2937"/>
          <w:sz w:val="21"/>
        </w:rPr>
        <w:t>There is limited workflow and limited audit visibility.</w:t>
      </w:r>
    </w:p>
    <w:p>
      <w:pPr>
        <w:pStyle w:val="ListBullet"/>
        <w:spacing w:after="60"/>
      </w:pPr>
      <w:r>
        <w:rPr>
          <w:rFonts w:ascii="Aptos" w:hAnsi="Aptos"/>
          <w:b w:val="0"/>
          <w:i w:val="0"/>
          <w:color w:val="1F2937"/>
          <w:sz w:val="21"/>
        </w:rPr>
        <w:t>Monthly payments and year-end true-ups depend on clean assignment and calculation data.</w:t>
      </w:r>
    </w:p>
    <w:p>
      <w:pPr>
        <w:pStyle w:val="ListBullet"/>
        <w:spacing w:after="60"/>
      </w:pPr>
      <w:r>
        <w:rPr>
          <w:rFonts w:ascii="Aptos" w:hAnsi="Aptos"/>
          <w:b w:val="0"/>
          <w:i w:val="0"/>
          <w:color w:val="1F2937"/>
          <w:sz w:val="21"/>
        </w:rPr>
        <w:t>The client wants a future-ready solution, not another one-off spreadsheet replacement.</w:t>
      </w:r>
    </w:p>
    <w:p>
      <w:pPr>
        <w:pStyle w:val="Heading1"/>
      </w:pPr>
      <w:r>
        <w:t>3. POC Scope</w:t>
      </w:r>
    </w:p>
    <w:p>
      <w:pPr>
        <w:spacing w:after="120" w:line="259" w:lineRule="auto"/>
      </w:pPr>
      <w:r>
        <w:rPr>
          <w:rFonts w:ascii="Aptos" w:hAnsi="Aptos"/>
          <w:b w:val="0"/>
          <w:i w:val="0"/>
          <w:color w:val="1F2937"/>
          <w:sz w:val="21"/>
        </w:rPr>
        <w:t>The POC should prove the core process without live integrations. It should demonstrate that the product can manage sales attribution rules in a controlled, easy-to-use way.</w:t>
      </w:r>
    </w:p>
    <w:tbl>
      <w:tblPr>
        <w:tblStyle w:val="TableGrid"/>
        <w:tblW w:type="auto" w:w="0"/>
        <w:jc w:val="center"/>
        <w:tblLook w:firstColumn="1" w:firstRow="1" w:lastColumn="0" w:lastRow="0" w:noHBand="0" w:noVBand="1" w:val="04A0"/>
      </w:tblPr>
      <w:tblGrid>
        <w:gridCol w:w="4608"/>
        <w:gridCol w:w="5040"/>
      </w:tblGrid>
      <w:tr>
        <w:trPr>
          <w:tblHeader w:val="true"/>
        </w:trPr>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In Scope for POC</w:t>
            </w:r>
          </w:p>
        </w:tc>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Not in Scope for POC</w:t>
            </w:r>
          </w:p>
        </w:tc>
      </w:tr>
      <w:tr>
        <w:tc>
          <w:tcPr>
            <w:tcW w:type="dxa" w:w="460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Seller profile setup using mock or manually entered data.</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Live Workday employee integration.</w:t>
            </w:r>
          </w:p>
        </w:tc>
      </w:tr>
      <w:tr>
        <w:tc>
          <w:tcPr>
            <w:tcW w:type="dxa" w:w="460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Customer and product group setup using mock data.</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Live SAP/JDE/SAC transaction integration.</w:t>
            </w:r>
          </w:p>
        </w:tc>
      </w:tr>
      <w:tr>
        <w:tc>
          <w:tcPr>
            <w:tcW w:type="dxa" w:w="460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Configurable role setup: Direct, Overlay, LPS, Manager Roll-up, and future roles.</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Full production compensation engine.</w:t>
            </w:r>
          </w:p>
        </w:tc>
      </w:tr>
      <w:tr>
        <w:tc>
          <w:tcPr>
            <w:tcW w:type="dxa" w:w="460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Customer + product group assignment creation.</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Actual payroll submission to Workday.</w:t>
            </w:r>
          </w:p>
        </w:tc>
      </w:tr>
      <w:tr>
        <w:tc>
          <w:tcPr>
            <w:tcW w:type="dxa" w:w="460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Split allocation validation.</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Production Power BI or Salesforce integration.</w:t>
            </w:r>
          </w:p>
        </w:tc>
      </w:tr>
      <w:tr>
        <w:tc>
          <w:tcPr>
            <w:tcW w:type="dxa" w:w="460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Effective-dated assignment history.</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LPS billing automation in the POC.</w:t>
            </w:r>
          </w:p>
        </w:tc>
      </w:tr>
      <w:tr>
        <w:tc>
          <w:tcPr>
            <w:tcW w:type="dxa" w:w="460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Simple approval status and audit trail.</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Full year-end true-up and accrual processing.</w:t>
            </w:r>
          </w:p>
        </w:tc>
      </w:tr>
      <w:tr>
        <w:tc>
          <w:tcPr>
            <w:tcW w:type="dxa" w:w="460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Credit calculation preview using sample invoice data.</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Real payment execution or production accounting entries.</w:t>
            </w:r>
          </w:p>
        </w:tc>
      </w:tr>
    </w:tbl>
    <w:p>
      <w:pPr>
        <w:spacing w:after="40"/>
      </w:pPr>
    </w:p>
    <w:p>
      <w:pPr>
        <w:pStyle w:val="Heading1"/>
      </w:pPr>
      <w:r>
        <w:t>4. Primary P1 Requirements</w:t>
      </w:r>
    </w:p>
    <w:p>
      <w:pPr>
        <w:spacing w:after="120" w:line="259" w:lineRule="auto"/>
      </w:pPr>
      <w:r>
        <w:rPr>
          <w:rFonts w:ascii="Aptos" w:hAnsi="Aptos"/>
          <w:b w:val="0"/>
          <w:i w:val="0"/>
          <w:color w:val="1F2937"/>
          <w:sz w:val="21"/>
        </w:rPr>
        <w:t>These four P1 requirements are the core of the POC. Each one must be visible in the product and easy to explain to the client.</w:t>
      </w:r>
    </w:p>
    <w:tbl>
      <w:tblPr>
        <w:tblStyle w:val="TableGrid"/>
        <w:tblW w:type="auto" w:w="0"/>
        <w:jc w:val="center"/>
        <w:tblLook w:firstColumn="1" w:firstRow="1" w:lastColumn="0" w:lastRow="0" w:noHBand="0" w:noVBand="1" w:val="04A0"/>
      </w:tblPr>
      <w:tblGrid>
        <w:gridCol w:w="1152"/>
        <w:gridCol w:w="3312"/>
        <w:gridCol w:w="5472"/>
      </w:tblGrid>
      <w:tr>
        <w:trPr>
          <w:tblHeader w:val="true"/>
        </w:trPr>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ID</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Requirement</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Simple Meaning</w:t>
            </w:r>
          </w:p>
        </w:tc>
      </w:tr>
      <w:tr>
        <w:tc>
          <w:tcPr>
            <w:tcW w:type="dxa" w:w="115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SACA-01</w:t>
            </w:r>
          </w:p>
        </w:tc>
        <w:tc>
          <w:tcPr>
            <w:tcW w:type="dxa" w:w="331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 credit at customer + product group level</w:t>
            </w:r>
          </w:p>
        </w:tc>
        <w:tc>
          <w:tcPr>
            <w:tcW w:type="dxa" w:w="547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Admin can assign a seller to a customer and product group so the system knows which seller should receive credit for that selling relationship.</w:t>
            </w:r>
          </w:p>
        </w:tc>
      </w:tr>
      <w:tr>
        <w:tc>
          <w:tcPr>
            <w:tcW w:type="dxa" w:w="115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SACA-02</w:t>
            </w:r>
          </w:p>
        </w:tc>
        <w:tc>
          <w:tcPr>
            <w:tcW w:type="dxa" w:w="331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Support split allocations across multiple sellers</w:t>
            </w:r>
          </w:p>
        </w:tc>
        <w:tc>
          <w:tcPr>
            <w:tcW w:type="dxa" w:w="547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Multiple sellers can share the same customer + product group. The system validates whether the split is allowed based on role type.</w:t>
            </w:r>
          </w:p>
        </w:tc>
      </w:tr>
      <w:tr>
        <w:tc>
          <w:tcPr>
            <w:tcW w:type="dxa" w:w="115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SACA-03</w:t>
            </w:r>
          </w:p>
        </w:tc>
        <w:tc>
          <w:tcPr>
            <w:tcW w:type="dxa" w:w="331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Support multiple role types</w:t>
            </w:r>
          </w:p>
        </w:tc>
        <w:tc>
          <w:tcPr>
            <w:tcW w:type="dxa" w:w="547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The system supports Direct Seller, Overlay Seller, LPS/Farm Gate Seller, and Manager Roll-up. Roles should be configurable, not hardcoded.</w:t>
            </w:r>
          </w:p>
        </w:tc>
      </w:tr>
      <w:tr>
        <w:tc>
          <w:tcPr>
            <w:tcW w:type="dxa" w:w="115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SACA-04</w:t>
            </w:r>
          </w:p>
        </w:tc>
        <w:tc>
          <w:tcPr>
            <w:tcW w:type="dxa" w:w="331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Support effective-dated assignments</w:t>
            </w:r>
          </w:p>
        </w:tc>
        <w:tc>
          <w:tcPr>
            <w:tcW w:type="dxa" w:w="547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Assignments must have start and end dates so historical accuracy is preserved when sellers join, leave, change role, or customers are reassigned.</w:t>
            </w:r>
          </w:p>
        </w:tc>
      </w:tr>
    </w:tbl>
    <w:p>
      <w:pPr>
        <w:spacing w:after="40"/>
      </w:pPr>
    </w:p>
    <w:p>
      <w:pPr>
        <w:pStyle w:val="Heading1"/>
      </w:pPr>
      <w:r>
        <w:t>5. POC User Roles</w:t>
      </w:r>
    </w:p>
    <w:p>
      <w:pPr>
        <w:spacing w:after="120" w:line="259" w:lineRule="auto"/>
      </w:pPr>
      <w:r>
        <w:rPr>
          <w:rFonts w:ascii="Aptos" w:hAnsi="Aptos"/>
          <w:b w:val="0"/>
          <w:i w:val="0"/>
          <w:color w:val="1F2937"/>
          <w:sz w:val="21"/>
        </w:rPr>
        <w:t>The POC should focus mainly on the admin and manager experience, but the data should be structured so seller and leadership views can be added later.</w:t>
      </w:r>
    </w:p>
    <w:tbl>
      <w:tblPr>
        <w:tblStyle w:val="TableGrid"/>
        <w:tblW w:type="auto" w:w="0"/>
        <w:jc w:val="center"/>
        <w:tblLook w:firstColumn="1" w:firstRow="1" w:lastColumn="0" w:lastRow="0" w:noHBand="0" w:noVBand="1" w:val="04A0"/>
      </w:tblPr>
      <w:tblGrid>
        <w:gridCol w:w="2592"/>
        <w:gridCol w:w="3888"/>
        <w:gridCol w:w="3744"/>
      </w:tblGrid>
      <w:tr>
        <w:trPr>
          <w:tblHeader w:val="true"/>
        </w:trPr>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7"/>
              </w:rPr>
              <w:t>Role</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7"/>
              </w:rPr>
              <w:t>What They Do in POC</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7"/>
              </w:rPr>
              <w:t>Future Use</w:t>
            </w:r>
          </w:p>
        </w:tc>
      </w:tr>
      <w:tr>
        <w:tc>
          <w:tcPr>
            <w:tcW w:type="dxa" w:w="25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Sales Compensation Admin</w:t>
            </w:r>
          </w:p>
        </w:tc>
        <w:tc>
          <w:tcPr>
            <w:tcW w:type="dxa" w:w="388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Creates sellers, roles, customers, product groups, assignments, and reviews validation errors.</w:t>
            </w:r>
          </w:p>
        </w:tc>
        <w:tc>
          <w:tcPr>
            <w:tcW w:type="dxa" w:w="374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Manages full incentive setup, calculations, adjustments, and payment processes.</w:t>
            </w:r>
          </w:p>
        </w:tc>
      </w:tr>
      <w:tr>
        <w:tc>
          <w:tcPr>
            <w:tcW w:type="dxa" w:w="259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Sales Manager / Supervisor</w:t>
            </w:r>
          </w:p>
        </w:tc>
        <w:tc>
          <w:tcPr>
            <w:tcW w:type="dxa" w:w="388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Reviews or approves assignments for their team.</w:t>
            </w:r>
          </w:p>
        </w:tc>
        <w:tc>
          <w:tcPr>
            <w:tcW w:type="dxa" w:w="374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Approves goals, adjustments, payments, and views team performance.</w:t>
            </w:r>
          </w:p>
        </w:tc>
      </w:tr>
      <w:tr>
        <w:tc>
          <w:tcPr>
            <w:tcW w:type="dxa" w:w="25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Seller / Salesperson</w:t>
            </w:r>
          </w:p>
        </w:tc>
        <w:tc>
          <w:tcPr>
            <w:tcW w:type="dxa" w:w="388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Optional read-only view of assigned customers/products.</w:t>
            </w:r>
          </w:p>
        </w:tc>
        <w:tc>
          <w:tcPr>
            <w:tcW w:type="dxa" w:w="374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Views goals, performance, payout estimates, statements, and inquiries.</w:t>
            </w:r>
          </w:p>
        </w:tc>
      </w:tr>
      <w:tr>
        <w:tc>
          <w:tcPr>
            <w:tcW w:type="dxa" w:w="259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Finance / Accounting</w:t>
            </w:r>
          </w:p>
        </w:tc>
        <w:tc>
          <w:tcPr>
            <w:tcW w:type="dxa" w:w="388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Optional read-only view of approved assignment outputs.</w:t>
            </w:r>
          </w:p>
        </w:tc>
        <w:tc>
          <w:tcPr>
            <w:tcW w:type="dxa" w:w="374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Reviews accruals, payout totals, and audit support reports.</w:t>
            </w:r>
          </w:p>
        </w:tc>
      </w:tr>
      <w:tr>
        <w:tc>
          <w:tcPr>
            <w:tcW w:type="dxa" w:w="25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IT / System Admin</w:t>
            </w:r>
          </w:p>
        </w:tc>
        <w:tc>
          <w:tcPr>
            <w:tcW w:type="dxa" w:w="388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No live integration in POC; confirms future data contract needs.</w:t>
            </w:r>
          </w:p>
        </w:tc>
        <w:tc>
          <w:tcPr>
            <w:tcW w:type="dxa" w:w="374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Manages connectors, data loads, security, and system configuration.</w:t>
            </w:r>
          </w:p>
        </w:tc>
      </w:tr>
    </w:tbl>
    <w:p>
      <w:pPr>
        <w:spacing w:after="40"/>
      </w:pPr>
    </w:p>
    <w:p>
      <w:pPr>
        <w:pStyle w:val="Heading1"/>
      </w:pPr>
      <w:r>
        <w:t>6. POC Workflow</w:t>
      </w:r>
    </w:p>
    <w:p>
      <w:pPr>
        <w:spacing w:after="120" w:line="259" w:lineRule="auto"/>
      </w:pPr>
      <w:r>
        <w:rPr>
          <w:rFonts w:ascii="Aptos" w:hAnsi="Aptos"/>
          <w:b w:val="0"/>
          <w:i w:val="0"/>
          <w:color w:val="1F2937"/>
          <w:sz w:val="21"/>
        </w:rPr>
        <w:t>The workflow should be shown in a simple sequence. The client should immediately understand how a business user would use the product.</w:t>
      </w:r>
    </w:p>
    <w:tbl>
      <w:tblPr>
        <w:tblStyle w:val="TableGrid"/>
        <w:tblW w:type="auto" w:w="0"/>
        <w:jc w:val="center"/>
        <w:tblLook w:firstColumn="1" w:firstRow="1" w:lastColumn="0" w:lastRow="0" w:noHBand="0" w:noVBand="1" w:val="04A0"/>
      </w:tblPr>
      <w:tblGrid>
        <w:gridCol w:w="3346"/>
        <w:gridCol w:w="3346"/>
        <w:gridCol w:w="3346"/>
      </w:tblGrid>
      <w:tr>
        <w:tc>
          <w:tcPr>
            <w:tcW w:type="dxa" w:w="3346"/>
            <w:shd w:fill="EEF5FF"/>
            <w:tcBorders>
              <w:top w:sz="8" w:val="single" w:color="B9CAD2"/>
              <w:left w:sz="8" w:val="single" w:color="B9CAD2"/>
              <w:bottom w:sz="8" w:val="single" w:color="B9CAD2"/>
              <w:right w:sz="8" w:val="single" w:color="B9CAD2"/>
            </w:tcBorders>
          </w:tcPr>
          <w:p>
            <w:pPr>
              <w:jc w:val="center"/>
            </w:pPr>
            <w:r>
              <w:rPr>
                <w:rFonts w:ascii="Aptos" w:hAnsi="Aptos"/>
                <w:b/>
                <w:i w:val="0"/>
                <w:color w:val="0A4F5A"/>
                <w:sz w:val="20"/>
              </w:rPr>
              <w:t>1. Set Up Seller</w:t>
            </w:r>
          </w:p>
          <w:p>
            <w:pPr>
              <w:jc w:val="center"/>
            </w:pPr>
            <w:r>
              <w:rPr>
                <w:rFonts w:ascii="Aptos" w:hAnsi="Aptos"/>
                <w:b w:val="0"/>
                <w:i w:val="0"/>
                <w:color w:val="1F2937"/>
                <w:sz w:val="17"/>
              </w:rPr>
              <w:t>Create or load seller profile using mock data.</w:t>
            </w:r>
          </w:p>
        </w:tc>
        <w:tc>
          <w:tcPr>
            <w:tcW w:type="dxa" w:w="3346"/>
            <w:shd w:fill="EAF7EF"/>
            <w:tcBorders>
              <w:top w:sz="8" w:val="single" w:color="B9CAD2"/>
              <w:left w:sz="8" w:val="single" w:color="B9CAD2"/>
              <w:bottom w:sz="8" w:val="single" w:color="B9CAD2"/>
              <w:right w:sz="8" w:val="single" w:color="B9CAD2"/>
            </w:tcBorders>
          </w:tcPr>
          <w:p>
            <w:pPr>
              <w:jc w:val="center"/>
            </w:pPr>
            <w:r>
              <w:rPr>
                <w:rFonts w:ascii="Aptos" w:hAnsi="Aptos"/>
                <w:b/>
                <w:i w:val="0"/>
                <w:color w:val="0A4F5A"/>
                <w:sz w:val="20"/>
              </w:rPr>
              <w:t>2. Set Up Role</w:t>
            </w:r>
          </w:p>
          <w:p>
            <w:pPr>
              <w:jc w:val="center"/>
            </w:pPr>
            <w:r>
              <w:rPr>
                <w:rFonts w:ascii="Aptos" w:hAnsi="Aptos"/>
                <w:b w:val="0"/>
                <w:i w:val="0"/>
                <w:color w:val="1F2937"/>
                <w:sz w:val="17"/>
              </w:rPr>
              <w:t>Assign role behavior such as split, additive, or roll-up.</w:t>
            </w:r>
          </w:p>
        </w:tc>
        <w:tc>
          <w:tcPr>
            <w:tcW w:type="dxa" w:w="3346"/>
            <w:shd w:fill="EEF5FF"/>
            <w:tcBorders>
              <w:top w:sz="8" w:val="single" w:color="B9CAD2"/>
              <w:left w:sz="8" w:val="single" w:color="B9CAD2"/>
              <w:bottom w:sz="8" w:val="single" w:color="B9CAD2"/>
              <w:right w:sz="8" w:val="single" w:color="B9CAD2"/>
            </w:tcBorders>
          </w:tcPr>
          <w:p>
            <w:pPr>
              <w:jc w:val="center"/>
            </w:pPr>
            <w:r>
              <w:rPr>
                <w:rFonts w:ascii="Aptos" w:hAnsi="Aptos"/>
                <w:b/>
                <w:i w:val="0"/>
                <w:color w:val="0A4F5A"/>
                <w:sz w:val="20"/>
              </w:rPr>
              <w:t>3. Create Assignment</w:t>
            </w:r>
          </w:p>
          <w:p>
            <w:pPr>
              <w:jc w:val="center"/>
            </w:pPr>
            <w:r>
              <w:rPr>
                <w:rFonts w:ascii="Aptos" w:hAnsi="Aptos"/>
                <w:b w:val="0"/>
                <w:i w:val="0"/>
                <w:color w:val="1F2937"/>
                <w:sz w:val="17"/>
              </w:rPr>
              <w:t>Pick customer, product group, seller, percent, and dates.</w:t>
            </w:r>
          </w:p>
        </w:tc>
      </w:tr>
      <w:tr>
        <w:tc>
          <w:tcPr>
            <w:tcW w:type="dxa" w:w="3346"/>
            <w:shd w:fill="EAF7EF"/>
            <w:tcBorders>
              <w:top w:sz="8" w:val="single" w:color="B9CAD2"/>
              <w:left w:sz="8" w:val="single" w:color="B9CAD2"/>
              <w:bottom w:sz="8" w:val="single" w:color="B9CAD2"/>
              <w:right w:sz="8" w:val="single" w:color="B9CAD2"/>
            </w:tcBorders>
          </w:tcPr>
          <w:p>
            <w:pPr>
              <w:jc w:val="center"/>
            </w:pPr>
            <w:r>
              <w:rPr>
                <w:rFonts w:ascii="Aptos" w:hAnsi="Aptos"/>
                <w:b/>
                <w:i w:val="0"/>
                <w:color w:val="0A4F5A"/>
                <w:sz w:val="20"/>
              </w:rPr>
              <w:t>4. Validate Split</w:t>
            </w:r>
          </w:p>
          <w:p>
            <w:pPr>
              <w:jc w:val="center"/>
            </w:pPr>
            <w:r>
              <w:rPr>
                <w:rFonts w:ascii="Aptos" w:hAnsi="Aptos"/>
                <w:b w:val="0"/>
                <w:i w:val="0"/>
                <w:color w:val="1F2937"/>
                <w:sz w:val="17"/>
              </w:rPr>
              <w:t>Check 100% direct split, LPS limit, overlap, and missing data.</w:t>
            </w:r>
          </w:p>
        </w:tc>
        <w:tc>
          <w:tcPr>
            <w:tcW w:type="dxa" w:w="3346"/>
            <w:shd w:fill="EEF5FF"/>
            <w:tcBorders>
              <w:top w:sz="8" w:val="single" w:color="B9CAD2"/>
              <w:left w:sz="8" w:val="single" w:color="B9CAD2"/>
              <w:bottom w:sz="8" w:val="single" w:color="B9CAD2"/>
              <w:right w:sz="8" w:val="single" w:color="B9CAD2"/>
            </w:tcBorders>
          </w:tcPr>
          <w:p>
            <w:pPr>
              <w:jc w:val="center"/>
            </w:pPr>
            <w:r>
              <w:rPr>
                <w:rFonts w:ascii="Aptos" w:hAnsi="Aptos"/>
                <w:b/>
                <w:i w:val="0"/>
                <w:color w:val="0A4F5A"/>
                <w:sz w:val="20"/>
              </w:rPr>
              <w:t>5. Submit &amp; Approve</w:t>
            </w:r>
          </w:p>
          <w:p>
            <w:pPr>
              <w:jc w:val="center"/>
            </w:pPr>
            <w:r>
              <w:rPr>
                <w:rFonts w:ascii="Aptos" w:hAnsi="Aptos"/>
                <w:b w:val="0"/>
                <w:i w:val="0"/>
                <w:color w:val="1F2937"/>
                <w:sz w:val="17"/>
              </w:rPr>
              <w:t>Move assignment from draft to approved or rejected.</w:t>
            </w:r>
          </w:p>
        </w:tc>
        <w:tc>
          <w:tcPr>
            <w:tcW w:type="dxa" w:w="3346"/>
            <w:shd w:fill="EAF7EF"/>
            <w:tcBorders>
              <w:top w:sz="8" w:val="single" w:color="B9CAD2"/>
              <w:left w:sz="8" w:val="single" w:color="B9CAD2"/>
              <w:bottom w:sz="8" w:val="single" w:color="B9CAD2"/>
              <w:right w:sz="8" w:val="single" w:color="B9CAD2"/>
            </w:tcBorders>
          </w:tcPr>
          <w:p>
            <w:pPr>
              <w:jc w:val="center"/>
            </w:pPr>
            <w:r>
              <w:rPr>
                <w:rFonts w:ascii="Aptos" w:hAnsi="Aptos"/>
                <w:b/>
                <w:i w:val="0"/>
                <w:color w:val="0A4F5A"/>
                <w:sz w:val="20"/>
              </w:rPr>
              <w:t>6. Preview Credit</w:t>
            </w:r>
          </w:p>
          <w:p>
            <w:pPr>
              <w:jc w:val="center"/>
            </w:pPr>
            <w:r>
              <w:rPr>
                <w:rFonts w:ascii="Aptos" w:hAnsi="Aptos"/>
                <w:b w:val="0"/>
                <w:i w:val="0"/>
                <w:color w:val="1F2937"/>
                <w:sz w:val="17"/>
              </w:rPr>
              <w:t>Show how a sample invoice would be credited to sellers.</w:t>
            </w:r>
          </w:p>
        </w:tc>
      </w:tr>
      <w:tr>
        <w:tc>
          <w:tcPr>
            <w:tcW w:type="dxa" w:w="3346"/>
            <w:shd w:fill="EEF5FF"/>
            <w:tcBorders>
              <w:top w:sz="8" w:val="single" w:color="B9CAD2"/>
              <w:left w:sz="8" w:val="single" w:color="B9CAD2"/>
              <w:bottom w:sz="8" w:val="single" w:color="B9CAD2"/>
              <w:right w:sz="8" w:val="single" w:color="B9CAD2"/>
            </w:tcBorders>
          </w:tcPr>
          <w:p>
            <w:pPr>
              <w:jc w:val="center"/>
            </w:pPr>
            <w:r>
              <w:rPr>
                <w:rFonts w:ascii="Aptos" w:hAnsi="Aptos"/>
                <w:b/>
                <w:i w:val="0"/>
                <w:color w:val="0A4F5A"/>
                <w:sz w:val="20"/>
              </w:rPr>
              <w:t>7. Track History</w:t>
            </w:r>
          </w:p>
          <w:p>
            <w:pPr>
              <w:jc w:val="center"/>
            </w:pPr>
            <w:r>
              <w:rPr>
                <w:rFonts w:ascii="Aptos" w:hAnsi="Aptos"/>
                <w:b w:val="0"/>
                <w:i w:val="0"/>
                <w:color w:val="1F2937"/>
                <w:sz w:val="17"/>
              </w:rPr>
              <w:t>Keep who changed what, when, and why.</w:t>
            </w:r>
          </w:p>
        </w:tc>
        <w:tc>
          <w:tcPr>
            <w:tcW w:type="dxa" w:w="3346"/>
            <w:shd w:fill="FFFFFF"/>
            <w:tcBorders>
              <w:top w:sz="8" w:val="single" w:color="B9CAD2"/>
              <w:left w:sz="8" w:val="single" w:color="B9CAD2"/>
              <w:bottom w:sz="8" w:val="single" w:color="B9CAD2"/>
              <w:right w:sz="8" w:val="single" w:color="B9CAD2"/>
            </w:tcBorders>
          </w:tcPr>
          <w:p>
            <w:r/>
          </w:p>
        </w:tc>
        <w:tc>
          <w:tcPr>
            <w:tcW w:type="dxa" w:w="3346"/>
            <w:shd w:fill="FFFFFF"/>
            <w:tcBorders>
              <w:top w:sz="8" w:val="single" w:color="B9CAD2"/>
              <w:left w:sz="8" w:val="single" w:color="B9CAD2"/>
              <w:bottom w:sz="8" w:val="single" w:color="B9CAD2"/>
              <w:right w:sz="8" w:val="single" w:color="B9CAD2"/>
            </w:tcBorders>
          </w:tcPr>
          <w:p>
            <w:r/>
          </w:p>
        </w:tc>
      </w:tr>
    </w:tbl>
    <w:p>
      <w:pPr>
        <w:spacing w:after="80"/>
      </w:pPr>
    </w:p>
    <w:p>
      <w:pPr>
        <w:pStyle w:val="Heading1"/>
      </w:pPr>
      <w:r>
        <w:t>7. Detailed Requirements</w:t>
      </w:r>
    </w:p>
    <w:p>
      <w:pPr>
        <w:pStyle w:val="Heading2"/>
      </w:pPr>
      <w:r>
        <w:t>7.1 Seller Profile</w:t>
      </w:r>
    </w:p>
    <w:p>
      <w:pPr>
        <w:spacing w:after="120" w:line="259" w:lineRule="auto"/>
      </w:pPr>
      <w:r>
        <w:rPr>
          <w:rFonts w:ascii="Aptos" w:hAnsi="Aptos"/>
          <w:b w:val="0"/>
          <w:i w:val="0"/>
          <w:color w:val="1F2937"/>
          <w:sz w:val="21"/>
        </w:rPr>
        <w:t>The seller profile gives the assignment module a clean list of people who can receive credit. In the POC, seller records are created manually or loaded from sample data.</w:t>
      </w:r>
    </w:p>
    <w:tbl>
      <w:tblPr>
        <w:tblStyle w:val="TableGrid"/>
        <w:tblW w:type="auto" w:w="0"/>
        <w:jc w:val="center"/>
        <w:tblLook w:firstColumn="1" w:firstRow="1" w:lastColumn="0" w:lastRow="0" w:noHBand="0" w:noVBand="1" w:val="04A0"/>
      </w:tblPr>
      <w:tblGrid>
        <w:gridCol w:w="3744"/>
        <w:gridCol w:w="6048"/>
      </w:tblGrid>
      <w:tr>
        <w:trPr>
          <w:tblHeader w:val="true"/>
        </w:trPr>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Requirement</w:t>
            </w:r>
          </w:p>
        </w:tc>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POC Behavior</w:t>
            </w:r>
          </w:p>
        </w:tc>
      </w:tr>
      <w:tr>
        <w:tc>
          <w:tcPr>
            <w:tcW w:type="dxa" w:w="374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Workday Employee / Local Hire indicator</w:t>
            </w:r>
          </w:p>
        </w:tc>
        <w:tc>
          <w:tcPr>
            <w:tcW w:type="dxa" w:w="604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Admin can mark a seller as Workday Employee or Local Hire / Non-Employee.</w:t>
            </w:r>
          </w:p>
        </w:tc>
      </w:tr>
      <w:tr>
        <w:tc>
          <w:tcPr>
            <w:tcW w:type="dxa" w:w="374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Full-time employee checkbox</w:t>
            </w:r>
          </w:p>
        </w:tc>
        <w:tc>
          <w:tcPr>
            <w:tcW w:type="dxa" w:w="604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Admin can mark whether the seller is full-time. This is stored for future eligibility and proration logic.</w:t>
            </w:r>
          </w:p>
        </w:tc>
      </w:tr>
      <w:tr>
        <w:tc>
          <w:tcPr>
            <w:tcW w:type="dxa" w:w="374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Manager relationship</w:t>
            </w:r>
          </w:p>
        </w:tc>
        <w:tc>
          <w:tcPr>
            <w:tcW w:type="dxa" w:w="604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Each seller can be linked to a manager for approval and roll-up views.</w:t>
            </w:r>
          </w:p>
        </w:tc>
      </w:tr>
      <w:tr>
        <w:tc>
          <w:tcPr>
            <w:tcW w:type="dxa" w:w="374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Effective start/end dates</w:t>
            </w:r>
          </w:p>
        </w:tc>
        <w:tc>
          <w:tcPr>
            <w:tcW w:type="dxa" w:w="604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Seller profile should support dates so future eligibility logic is possible.</w:t>
            </w:r>
          </w:p>
        </w:tc>
      </w:tr>
      <w:tr>
        <w:tc>
          <w:tcPr>
            <w:tcW w:type="dxa" w:w="374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Active/inactive status</w:t>
            </w:r>
          </w:p>
        </w:tc>
        <w:tc>
          <w:tcPr>
            <w:tcW w:type="dxa" w:w="604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Inactive sellers cannot receive new active assignments unless allowed by admin override.</w:t>
            </w:r>
          </w:p>
        </w:tc>
      </w:tr>
    </w:tbl>
    <w:p>
      <w:pPr>
        <w:spacing w:after="40"/>
      </w:pPr>
    </w:p>
    <w:p>
      <w:pPr>
        <w:pStyle w:val="Heading2"/>
      </w:pPr>
      <w:r>
        <w:t>7.2 Role Configuration</w:t>
      </w:r>
    </w:p>
    <w:p>
      <w:pPr>
        <w:spacing w:after="120" w:line="259" w:lineRule="auto"/>
      </w:pPr>
      <w:r>
        <w:rPr>
          <w:rFonts w:ascii="Aptos" w:hAnsi="Aptos"/>
          <w:b w:val="0"/>
          <w:i w:val="0"/>
          <w:color w:val="1F2937"/>
          <w:sz w:val="21"/>
        </w:rPr>
        <w:t>Roles should be configurable. This avoids hardcoding and allows the business to add or update role types later.</w:t>
      </w:r>
    </w:p>
    <w:tbl>
      <w:tblPr>
        <w:tblStyle w:val="TableGrid"/>
        <w:tblW w:type="auto" w:w="0"/>
        <w:jc w:val="center"/>
        <w:tblLook w:firstColumn="1" w:firstRow="1" w:lastColumn="0" w:lastRow="0" w:noHBand="0" w:noVBand="1" w:val="04A0"/>
      </w:tblPr>
      <w:tblGrid>
        <w:gridCol w:w="2592"/>
        <w:gridCol w:w="2592"/>
        <w:gridCol w:w="4896"/>
      </w:tblGrid>
      <w:tr>
        <w:trPr>
          <w:tblHeader w:val="true"/>
        </w:trPr>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Role Category</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Assignment Behavior</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Simple Rule</w:t>
            </w:r>
          </w:p>
        </w:tc>
      </w:tr>
      <w:tr>
        <w:tc>
          <w:tcPr>
            <w:tcW w:type="dxa" w:w="25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Direct Seller</w:t>
            </w:r>
          </w:p>
        </w:tc>
        <w:tc>
          <w:tcPr>
            <w:tcW w:type="dxa" w:w="25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Split</w:t>
            </w:r>
          </w:p>
        </w:tc>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Direct seller splits for the same customer + product group should total 100%.</w:t>
            </w:r>
          </w:p>
        </w:tc>
      </w:tr>
      <w:tr>
        <w:tc>
          <w:tcPr>
            <w:tcW w:type="dxa" w:w="259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LPS / Farm Gate Seller</w:t>
            </w:r>
          </w:p>
        </w:tc>
        <w:tc>
          <w:tcPr>
            <w:tcW w:type="dxa" w:w="259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Split with limit</w:t>
            </w:r>
          </w:p>
        </w:tc>
        <w:tc>
          <w:tcPr>
            <w:tcW w:type="dxa" w:w="489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LPS splits should not exceed 100%, but may be less than 100%.</w:t>
            </w:r>
          </w:p>
        </w:tc>
      </w:tr>
      <w:tr>
        <w:tc>
          <w:tcPr>
            <w:tcW w:type="dxa" w:w="25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Overlay Seller</w:t>
            </w:r>
          </w:p>
        </w:tc>
        <w:tc>
          <w:tcPr>
            <w:tcW w:type="dxa" w:w="25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Additive</w:t>
            </w:r>
          </w:p>
        </w:tc>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Overlay credit can be added on top of direct seller credit.</w:t>
            </w:r>
          </w:p>
        </w:tc>
      </w:tr>
      <w:tr>
        <w:tc>
          <w:tcPr>
            <w:tcW w:type="dxa" w:w="259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Manager Roll-up</w:t>
            </w:r>
          </w:p>
        </w:tc>
        <w:tc>
          <w:tcPr>
            <w:tcW w:type="dxa" w:w="259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Roll-up</w:t>
            </w:r>
          </w:p>
        </w:tc>
        <w:tc>
          <w:tcPr>
            <w:tcW w:type="dxa" w:w="489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Manager receives visibility or roll-up credit based on team assignments.</w:t>
            </w:r>
          </w:p>
        </w:tc>
      </w:tr>
      <w:tr>
        <w:tc>
          <w:tcPr>
            <w:tcW w:type="dxa" w:w="25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Future Role</w:t>
            </w:r>
          </w:p>
        </w:tc>
        <w:tc>
          <w:tcPr>
            <w:tcW w:type="dxa" w:w="25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Configurable</w:t>
            </w:r>
          </w:p>
        </w:tc>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Admin can add a future role without rebuilding the application.</w:t>
            </w:r>
          </w:p>
        </w:tc>
      </w:tr>
    </w:tbl>
    <w:p>
      <w:pPr>
        <w:spacing w:after="40"/>
      </w:pPr>
    </w:p>
    <w:p>
      <w:pPr>
        <w:pStyle w:val="Heading2"/>
      </w:pPr>
      <w:r>
        <w:t>7.3 Assignment Creation</w:t>
      </w:r>
    </w:p>
    <w:p>
      <w:pPr>
        <w:spacing w:after="120" w:line="259" w:lineRule="auto"/>
      </w:pPr>
      <w:r>
        <w:rPr>
          <w:rFonts w:ascii="Aptos" w:hAnsi="Aptos"/>
          <w:b w:val="0"/>
          <w:i w:val="0"/>
          <w:color w:val="1F2937"/>
          <w:sz w:val="21"/>
        </w:rPr>
        <w:t>The assignment screen is the most important POC screen. It should clearly show who gets credit, for what customer, for what product group, at what percentage, and during which date range.</w:t>
      </w:r>
    </w:p>
    <w:tbl>
      <w:tblPr>
        <w:tblStyle w:val="TableGrid"/>
        <w:tblW w:type="auto" w:w="0"/>
        <w:jc w:val="center"/>
        <w:tblLook w:firstColumn="1" w:firstRow="1" w:lastColumn="0" w:lastRow="0" w:noHBand="0" w:noVBand="1" w:val="04A0"/>
      </w:tblPr>
      <w:tblGrid>
        <w:gridCol w:w="2304"/>
        <w:gridCol w:w="1440"/>
        <w:gridCol w:w="6336"/>
      </w:tblGrid>
      <w:tr>
        <w:trPr>
          <w:tblHeader w:val="true"/>
        </w:trPr>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7"/>
              </w:rPr>
              <w:t>Field</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7"/>
              </w:rPr>
              <w:t>Required?</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7"/>
              </w:rPr>
              <w:t>Description</w:t>
            </w:r>
          </w:p>
        </w:tc>
      </w:tr>
      <w:tr>
        <w:tc>
          <w:tcPr>
            <w:tcW w:type="dxa" w:w="230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Assignment ID</w:t>
            </w:r>
          </w:p>
        </w:tc>
        <w:tc>
          <w:tcPr>
            <w:tcW w:type="dxa" w:w="14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Auto</w:t>
            </w:r>
          </w:p>
        </w:tc>
        <w:tc>
          <w:tcPr>
            <w:tcW w:type="dxa" w:w="633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Unique record ID generated by the system.</w:t>
            </w:r>
          </w:p>
        </w:tc>
      </w:tr>
      <w:tr>
        <w:tc>
          <w:tcPr>
            <w:tcW w:type="dxa" w:w="230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Customer / Sales Parent</w:t>
            </w:r>
          </w:p>
        </w:tc>
        <w:tc>
          <w:tcPr>
            <w:tcW w:type="dxa" w:w="14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Yes</w:t>
            </w:r>
          </w:p>
        </w:tc>
        <w:tc>
          <w:tcPr>
            <w:tcW w:type="dxa" w:w="633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Customer or sales parent receiving the sale.</w:t>
            </w:r>
          </w:p>
        </w:tc>
      </w:tr>
      <w:tr>
        <w:tc>
          <w:tcPr>
            <w:tcW w:type="dxa" w:w="230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Product Group / Industry Group</w:t>
            </w:r>
          </w:p>
        </w:tc>
        <w:tc>
          <w:tcPr>
            <w:tcW w:type="dxa" w:w="14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Yes</w:t>
            </w:r>
          </w:p>
        </w:tc>
        <w:tc>
          <w:tcPr>
            <w:tcW w:type="dxa" w:w="633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Product grouping used for assignment and future calculation.</w:t>
            </w:r>
          </w:p>
        </w:tc>
      </w:tr>
      <w:tr>
        <w:tc>
          <w:tcPr>
            <w:tcW w:type="dxa" w:w="230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Seller</w:t>
            </w:r>
          </w:p>
        </w:tc>
        <w:tc>
          <w:tcPr>
            <w:tcW w:type="dxa" w:w="14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Yes</w:t>
            </w:r>
          </w:p>
        </w:tc>
        <w:tc>
          <w:tcPr>
            <w:tcW w:type="dxa" w:w="633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Person receiving credit.</w:t>
            </w:r>
          </w:p>
        </w:tc>
      </w:tr>
      <w:tr>
        <w:tc>
          <w:tcPr>
            <w:tcW w:type="dxa" w:w="230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Role</w:t>
            </w:r>
          </w:p>
        </w:tc>
        <w:tc>
          <w:tcPr>
            <w:tcW w:type="dxa" w:w="14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Yes</w:t>
            </w:r>
          </w:p>
        </w:tc>
        <w:tc>
          <w:tcPr>
            <w:tcW w:type="dxa" w:w="633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Seller role for this assignment.</w:t>
            </w:r>
          </w:p>
        </w:tc>
      </w:tr>
      <w:tr>
        <w:tc>
          <w:tcPr>
            <w:tcW w:type="dxa" w:w="230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Allocation %</w:t>
            </w:r>
          </w:p>
        </w:tc>
        <w:tc>
          <w:tcPr>
            <w:tcW w:type="dxa" w:w="14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Yes</w:t>
            </w:r>
          </w:p>
        </w:tc>
        <w:tc>
          <w:tcPr>
            <w:tcW w:type="dxa" w:w="633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Percentage of credit allocated to this seller.</w:t>
            </w:r>
          </w:p>
        </w:tc>
      </w:tr>
      <w:tr>
        <w:tc>
          <w:tcPr>
            <w:tcW w:type="dxa" w:w="230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Start Date</w:t>
            </w:r>
          </w:p>
        </w:tc>
        <w:tc>
          <w:tcPr>
            <w:tcW w:type="dxa" w:w="14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Yes</w:t>
            </w:r>
          </w:p>
        </w:tc>
        <w:tc>
          <w:tcPr>
            <w:tcW w:type="dxa" w:w="633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Date assignment becomes active.</w:t>
            </w:r>
          </w:p>
        </w:tc>
      </w:tr>
      <w:tr>
        <w:tc>
          <w:tcPr>
            <w:tcW w:type="dxa" w:w="230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End Date</w:t>
            </w:r>
          </w:p>
        </w:tc>
        <w:tc>
          <w:tcPr>
            <w:tcW w:type="dxa" w:w="14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Optional</w:t>
            </w:r>
          </w:p>
        </w:tc>
        <w:tc>
          <w:tcPr>
            <w:tcW w:type="dxa" w:w="633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Date assignment expires. Blank can mean active until replaced.</w:t>
            </w:r>
          </w:p>
        </w:tc>
      </w:tr>
      <w:tr>
        <w:tc>
          <w:tcPr>
            <w:tcW w:type="dxa" w:w="230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Status</w:t>
            </w:r>
          </w:p>
        </w:tc>
        <w:tc>
          <w:tcPr>
            <w:tcW w:type="dxa" w:w="14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Auto/User</w:t>
            </w:r>
          </w:p>
        </w:tc>
        <w:tc>
          <w:tcPr>
            <w:tcW w:type="dxa" w:w="633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Draft, Submitted, Approved, Rejected, Active, Expired.</w:t>
            </w:r>
          </w:p>
        </w:tc>
      </w:tr>
      <w:tr>
        <w:tc>
          <w:tcPr>
            <w:tcW w:type="dxa" w:w="230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Reason / Notes</w:t>
            </w:r>
          </w:p>
        </w:tc>
        <w:tc>
          <w:tcPr>
            <w:tcW w:type="dxa" w:w="14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Optional</w:t>
            </w:r>
          </w:p>
        </w:tc>
        <w:tc>
          <w:tcPr>
            <w:tcW w:type="dxa" w:w="633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Reason for change or business context.</w:t>
            </w:r>
          </w:p>
        </w:tc>
      </w:tr>
    </w:tbl>
    <w:p>
      <w:pPr>
        <w:spacing w:after="40"/>
      </w:pPr>
    </w:p>
    <w:p>
      <w:pPr>
        <w:pStyle w:val="Heading2"/>
      </w:pPr>
      <w:r>
        <w:t>7.4 Split Allocation Validation</w:t>
      </w:r>
    </w:p>
    <w:p>
      <w:pPr>
        <w:spacing w:after="120" w:line="259" w:lineRule="auto"/>
      </w:pPr>
      <w:r>
        <w:rPr>
          <w:rFonts w:ascii="Aptos" w:hAnsi="Aptos"/>
          <w:b w:val="0"/>
          <w:i w:val="0"/>
          <w:color w:val="1F2937"/>
          <w:sz w:val="21"/>
        </w:rPr>
        <w:t>The system should check the assignment before approval. This helps avoid payment issues later.</w:t>
      </w:r>
    </w:p>
    <w:tbl>
      <w:tblPr>
        <w:tblStyle w:val="TableGrid"/>
        <w:tblW w:type="auto" w:w="0"/>
        <w:jc w:val="center"/>
        <w:tblLook w:firstColumn="1" w:firstRow="1" w:lastColumn="0" w:lastRow="0" w:noHBand="0" w:noVBand="1" w:val="04A0"/>
      </w:tblPr>
      <w:tblGrid>
        <w:gridCol w:w="4896"/>
        <w:gridCol w:w="5040"/>
      </w:tblGrid>
      <w:tr>
        <w:trPr>
          <w:tblHeader w:val="true"/>
        </w:trPr>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Validation Rule</w:t>
            </w:r>
          </w:p>
        </w:tc>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Error / Warning Message Example</w:t>
            </w:r>
          </w:p>
        </w:tc>
      </w:tr>
      <w:tr>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Direct seller split must equal 100% for the same customer + product group + date range.</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Direct seller split is 80%. Please adjust to 100% before approval.</w:t>
            </w:r>
          </w:p>
        </w:tc>
      </w:tr>
      <w:tr>
        <w:tc>
          <w:tcPr>
            <w:tcW w:type="dxa" w:w="489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LPS split cannot exceed 100%.</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LPS allocation is 120%. Please reduce to 100% or less.</w:t>
            </w:r>
          </w:p>
        </w:tc>
      </w:tr>
      <w:tr>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Overlay sellers can be additive.</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Overlay role is additive and will not reduce direct seller split.</w:t>
            </w:r>
          </w:p>
        </w:tc>
      </w:tr>
      <w:tr>
        <w:tc>
          <w:tcPr>
            <w:tcW w:type="dxa" w:w="489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Assignment dates cannot overlap incorrectly for the same seller/role unless allowed.</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This assignment overlaps an existing approved assignment.</w:t>
            </w:r>
          </w:p>
        </w:tc>
      </w:tr>
      <w:tr>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Inactive sellers cannot receive active assignments.</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Seller is inactive for the selected date range.</w:t>
            </w:r>
          </w:p>
        </w:tc>
      </w:tr>
      <w:tr>
        <w:tc>
          <w:tcPr>
            <w:tcW w:type="dxa" w:w="489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Start date must be before end date.</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End date must be after start date.</w:t>
            </w:r>
          </w:p>
        </w:tc>
      </w:tr>
    </w:tbl>
    <w:p>
      <w:pPr>
        <w:spacing w:after="40"/>
      </w:pPr>
    </w:p>
    <w:p>
      <w:pPr>
        <w:pStyle w:val="Heading2"/>
      </w:pPr>
      <w:r>
        <w:t>7.5 Effective-Dated History</w:t>
      </w:r>
    </w:p>
    <w:p>
      <w:pPr>
        <w:spacing w:after="120" w:line="259" w:lineRule="auto"/>
      </w:pPr>
      <w:r>
        <w:rPr>
          <w:rFonts w:ascii="Aptos" w:hAnsi="Aptos"/>
          <w:b w:val="0"/>
          <w:i w:val="0"/>
          <w:color w:val="1F2937"/>
          <w:sz w:val="21"/>
        </w:rPr>
        <w:t>The product should not overwrite history. If an assignment changes, the old assignment should be closed with an end date and a new assignment should start on the new effective date.</w:t>
      </w:r>
    </w:p>
    <w:tbl>
      <w:tblPr>
        <w:tblW w:type="auto" w:w="0"/>
        <w:jc w:val="center"/>
        <w:tblLayout w:type="autofit"/>
        <w:tblLook w:firstColumn="1" w:firstRow="1" w:lastColumn="0" w:lastRow="0" w:noHBand="0" w:noVBand="1" w:val="04A0"/>
      </w:tblPr>
      <w:tblGrid>
        <w:gridCol w:w="10037"/>
      </w:tblGrid>
      <w:tr>
        <w:tc>
          <w:tcPr>
            <w:tcW w:type="dxa" w:w="10037"/>
            <w:shd w:fill="EAF7EF"/>
            <w:tcBorders>
              <w:top w:sz="8" w:val="single" w:color="66A56F"/>
              <w:left w:sz="8" w:val="single" w:color="66A56F"/>
              <w:bottom w:sz="8" w:val="single" w:color="66A56F"/>
              <w:right w:sz="8" w:val="single" w:color="66A56F"/>
            </w:tcBorders>
            <w:vAlign w:val="center"/>
          </w:tcPr>
          <w:p>
            <w:pPr>
              <w:spacing w:after="40"/>
            </w:pPr>
            <w:r>
              <w:rPr>
                <w:rFonts w:ascii="Aptos" w:hAnsi="Aptos"/>
                <w:b/>
                <w:i w:val="0"/>
                <w:color w:val="0A4F5A"/>
                <w:sz w:val="23"/>
              </w:rPr>
              <w:t>Example</w:t>
            </w:r>
          </w:p>
          <w:p>
            <w:pPr>
              <w:spacing w:after="0"/>
            </w:pPr>
            <w:r>
              <w:rPr>
                <w:rFonts w:ascii="Aptos" w:hAnsi="Aptos"/>
                <w:b w:val="0"/>
                <w:i w:val="0"/>
                <w:color w:val="1F2937"/>
                <w:sz w:val="20"/>
              </w:rPr>
              <w:t>If Seller A owned Customer X + Product Group Y from Jan 1 to Jun 30, and Seller B takes over on Jul 1, both records should remain visible. This protects historical calculations and audit review.</w:t>
            </w:r>
          </w:p>
        </w:tc>
      </w:tr>
    </w:tbl>
    <w:p>
      <w:pPr>
        <w:spacing w:after="40"/>
      </w:pPr>
    </w:p>
    <w:p>
      <w:pPr>
        <w:pStyle w:val="Heading2"/>
      </w:pPr>
      <w:r>
        <w:t>7.6 Assignment Approval Workflow</w:t>
      </w:r>
    </w:p>
    <w:p>
      <w:pPr>
        <w:spacing w:after="120" w:line="259" w:lineRule="auto"/>
      </w:pPr>
      <w:r>
        <w:rPr>
          <w:rFonts w:ascii="Aptos" w:hAnsi="Aptos"/>
          <w:b w:val="0"/>
          <w:i w:val="0"/>
          <w:color w:val="1F2937"/>
          <w:sz w:val="21"/>
        </w:rPr>
        <w:t>The POC should include a simple approval status. It does not need full enterprise workflow, but it should prove the future workflow direction.</w:t>
      </w:r>
    </w:p>
    <w:tbl>
      <w:tblPr>
        <w:tblStyle w:val="TableGrid"/>
        <w:tblW w:type="auto" w:w="0"/>
        <w:jc w:val="center"/>
        <w:tblLook w:firstColumn="1" w:firstRow="1" w:lastColumn="0" w:lastRow="0" w:noHBand="0" w:noVBand="1" w:val="04A0"/>
      </w:tblPr>
      <w:tblGrid>
        <w:gridCol w:w="2448"/>
        <w:gridCol w:w="7488"/>
      </w:tblGrid>
      <w:tr>
        <w:trPr>
          <w:tblHeader w:val="true"/>
        </w:trPr>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Status</w:t>
            </w:r>
          </w:p>
        </w:tc>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Meaning</w:t>
            </w:r>
          </w:p>
        </w:tc>
      </w:tr>
      <w:tr>
        <w:tc>
          <w:tcPr>
            <w:tcW w:type="dxa" w:w="244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Draft</w:t>
            </w:r>
          </w:p>
        </w:tc>
        <w:tc>
          <w:tcPr>
            <w:tcW w:type="dxa" w:w="748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Assignment is being created and is not used for calculation preview.</w:t>
            </w:r>
          </w:p>
        </w:tc>
      </w:tr>
      <w:tr>
        <w:tc>
          <w:tcPr>
            <w:tcW w:type="dxa" w:w="244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Submitted</w:t>
            </w:r>
          </w:p>
        </w:tc>
        <w:tc>
          <w:tcPr>
            <w:tcW w:type="dxa" w:w="748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Assignment is ready for review.</w:t>
            </w:r>
          </w:p>
        </w:tc>
      </w:tr>
      <w:tr>
        <w:tc>
          <w:tcPr>
            <w:tcW w:type="dxa" w:w="244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Approved</w:t>
            </w:r>
          </w:p>
        </w:tc>
        <w:tc>
          <w:tcPr>
            <w:tcW w:type="dxa" w:w="748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Assignment is approved and can become active.</w:t>
            </w:r>
          </w:p>
        </w:tc>
      </w:tr>
      <w:tr>
        <w:tc>
          <w:tcPr>
            <w:tcW w:type="dxa" w:w="244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Rejected</w:t>
            </w:r>
          </w:p>
        </w:tc>
        <w:tc>
          <w:tcPr>
            <w:tcW w:type="dxa" w:w="748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Assignment was reviewed and declined with reason.</w:t>
            </w:r>
          </w:p>
        </w:tc>
      </w:tr>
      <w:tr>
        <w:tc>
          <w:tcPr>
            <w:tcW w:type="dxa" w:w="244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Active</w:t>
            </w:r>
          </w:p>
        </w:tc>
        <w:tc>
          <w:tcPr>
            <w:tcW w:type="dxa" w:w="748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Assignment is approved and valid for the current date.</w:t>
            </w:r>
          </w:p>
        </w:tc>
      </w:tr>
      <w:tr>
        <w:tc>
          <w:tcPr>
            <w:tcW w:type="dxa" w:w="244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Expired</w:t>
            </w:r>
          </w:p>
        </w:tc>
        <w:tc>
          <w:tcPr>
            <w:tcW w:type="dxa" w:w="748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Assignment end date has passed or has been replaced.</w:t>
            </w:r>
          </w:p>
        </w:tc>
      </w:tr>
    </w:tbl>
    <w:p>
      <w:pPr>
        <w:spacing w:after="40"/>
      </w:pPr>
    </w:p>
    <w:p>
      <w:pPr>
        <w:pStyle w:val="Heading2"/>
      </w:pPr>
      <w:r>
        <w:t>7.7 Credit Calculation Preview</w:t>
      </w:r>
    </w:p>
    <w:p>
      <w:pPr>
        <w:spacing w:after="120" w:line="259" w:lineRule="auto"/>
      </w:pPr>
      <w:r>
        <w:rPr>
          <w:rFonts w:ascii="Aptos" w:hAnsi="Aptos"/>
          <w:b w:val="0"/>
          <w:i w:val="0"/>
          <w:color w:val="1F2937"/>
          <w:sz w:val="21"/>
        </w:rPr>
        <w:t>The POC should show a simple preview of how an assignment will be used later. This is not the full compensation engine. It is a small proof that the assignment data can match invoice-like data.</w:t>
      </w:r>
    </w:p>
    <w:tbl>
      <w:tblPr>
        <w:tblStyle w:val="TableGrid"/>
        <w:tblW w:type="auto" w:w="0"/>
        <w:jc w:val="center"/>
        <w:tblLook w:firstColumn="1" w:firstRow="1" w:lastColumn="0" w:lastRow="0" w:noHBand="0" w:noVBand="1" w:val="04A0"/>
      </w:tblPr>
      <w:tblGrid>
        <w:gridCol w:w="3456"/>
        <w:gridCol w:w="6192"/>
      </w:tblGrid>
      <w:tr>
        <w:trPr>
          <w:tblHeader w:val="true"/>
        </w:trPr>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Sample Input</w:t>
            </w:r>
          </w:p>
        </w:tc>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Example</w:t>
            </w:r>
          </w:p>
        </w:tc>
      </w:tr>
      <w:tr>
        <w:tc>
          <w:tcPr>
            <w:tcW w:type="dxa" w:w="345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Invoice Customer</w:t>
            </w:r>
          </w:p>
        </w:tc>
        <w:tc>
          <w:tcPr>
            <w:tcW w:type="dxa" w:w="61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Customer A</w:t>
            </w:r>
          </w:p>
        </w:tc>
      </w:tr>
      <w:tr>
        <w:tc>
          <w:tcPr>
            <w:tcW w:type="dxa" w:w="345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Product Group</w:t>
            </w:r>
          </w:p>
        </w:tc>
        <w:tc>
          <w:tcPr>
            <w:tcW w:type="dxa" w:w="619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Milk Replacer</w:t>
            </w:r>
          </w:p>
        </w:tc>
      </w:tr>
      <w:tr>
        <w:tc>
          <w:tcPr>
            <w:tcW w:type="dxa" w:w="345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Invoice Quantity</w:t>
            </w:r>
          </w:p>
        </w:tc>
        <w:tc>
          <w:tcPr>
            <w:tcW w:type="dxa" w:w="61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100 tons</w:t>
            </w:r>
          </w:p>
        </w:tc>
      </w:tr>
      <w:tr>
        <w:tc>
          <w:tcPr>
            <w:tcW w:type="dxa" w:w="345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Seller Assignment</w:t>
            </w:r>
          </w:p>
        </w:tc>
        <w:tc>
          <w:tcPr>
            <w:tcW w:type="dxa" w:w="619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Seller B receives 20%</w:t>
            </w:r>
          </w:p>
        </w:tc>
      </w:tr>
      <w:tr>
        <w:tc>
          <w:tcPr>
            <w:tcW w:type="dxa" w:w="345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Preview Output</w:t>
            </w:r>
          </w:p>
        </w:tc>
        <w:tc>
          <w:tcPr>
            <w:tcW w:type="dxa" w:w="619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Seller B receives credit for 20 tons</w:t>
            </w:r>
          </w:p>
        </w:tc>
      </w:tr>
    </w:tbl>
    <w:p>
      <w:pPr>
        <w:spacing w:after="40"/>
      </w:pPr>
    </w:p>
    <w:p>
      <w:pPr>
        <w:spacing w:after="120" w:line="259" w:lineRule="auto"/>
      </w:pPr>
      <w:r>
        <w:rPr>
          <w:rFonts w:ascii="Aptos" w:hAnsi="Aptos"/>
          <w:b w:val="0"/>
          <w:i w:val="0"/>
          <w:color w:val="1F2937"/>
          <w:sz w:val="21"/>
        </w:rPr>
        <w:t>Future calculation logic should support quantity-based metrics such as tons and value-based metrics such as dollars. Unit conversion such as pounds to tons can be added later through a simple conversion table.</w:t>
      </w:r>
    </w:p>
    <w:p>
      <w:pPr>
        <w:pStyle w:val="Heading1"/>
      </w:pPr>
      <w:r>
        <w:t>8. Future-Ready Design Principles</w:t>
      </w:r>
    </w:p>
    <w:p>
      <w:pPr>
        <w:spacing w:after="120" w:line="259" w:lineRule="auto"/>
      </w:pPr>
      <w:r>
        <w:rPr>
          <w:rFonts w:ascii="Aptos" w:hAnsi="Aptos"/>
          <w:b w:val="0"/>
          <w:i w:val="0"/>
          <w:color w:val="1F2937"/>
          <w:sz w:val="21"/>
        </w:rPr>
        <w:t>The POC should be small, but it must be built with the future application in mind. The following principles prevent rework later.</w:t>
      </w:r>
    </w:p>
    <w:tbl>
      <w:tblPr>
        <w:tblStyle w:val="TableGrid"/>
        <w:tblW w:type="auto" w:w="0"/>
        <w:jc w:val="center"/>
        <w:tblLook w:firstColumn="1" w:firstRow="1" w:lastColumn="0" w:lastRow="0" w:noHBand="0" w:noVBand="1" w:val="04A0"/>
      </w:tblPr>
      <w:tblGrid>
        <w:gridCol w:w="3024"/>
        <w:gridCol w:w="6912"/>
      </w:tblGrid>
      <w:tr>
        <w:trPr>
          <w:tblHeader w:val="true"/>
        </w:trPr>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Principle</w:t>
            </w:r>
          </w:p>
        </w:tc>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What It Means for Build</w:t>
            </w:r>
          </w:p>
        </w:tc>
      </w:tr>
      <w:tr>
        <w:tc>
          <w:tcPr>
            <w:tcW w:type="dxa" w:w="302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No hardcoded business rules</w:t>
            </w:r>
          </w:p>
        </w:tc>
        <w:tc>
          <w:tcPr>
            <w:tcW w:type="dxa" w:w="691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Rules such as role behavior, thresholds, interim percentage, and split checks should live in setup tables wherever practical.</w:t>
            </w:r>
          </w:p>
        </w:tc>
      </w:tr>
      <w:tr>
        <w:tc>
          <w:tcPr>
            <w:tcW w:type="dxa" w:w="302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Mock adapters now, real adapters later</w:t>
            </w:r>
          </w:p>
        </w:tc>
        <w:tc>
          <w:tcPr>
            <w:tcW w:type="dxa" w:w="691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POC uses mock/CSV/manual data. Future development connects the same data contracts to Workday, SAP/JDE/SAC, Salesforce, Power BI, and payroll.</w:t>
            </w:r>
          </w:p>
        </w:tc>
      </w:tr>
      <w:tr>
        <w:tc>
          <w:tcPr>
            <w:tcW w:type="dxa" w:w="302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Stable external IDs</w:t>
            </w:r>
          </w:p>
        </w:tc>
        <w:tc>
          <w:tcPr>
            <w:tcW w:type="dxa" w:w="691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Keep fields such as Workday Employee ID, SAP Customer ID, Product Group ID, and Salesforce Account ID ready, even if mock values are used now.</w:t>
            </w:r>
          </w:p>
        </w:tc>
      </w:tr>
      <w:tr>
        <w:tc>
          <w:tcPr>
            <w:tcW w:type="dxa" w:w="302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Audit from day one</w:t>
            </w:r>
          </w:p>
        </w:tc>
        <w:tc>
          <w:tcPr>
            <w:tcW w:type="dxa" w:w="691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Track who created, changed, approved, or rejected an assignment.</w:t>
            </w:r>
          </w:p>
        </w:tc>
      </w:tr>
      <w:tr>
        <w:tc>
          <w:tcPr>
            <w:tcW w:type="dxa" w:w="302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Effective dates everywhere</w:t>
            </w:r>
          </w:p>
        </w:tc>
        <w:tc>
          <w:tcPr>
            <w:tcW w:type="dxa" w:w="691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Seller, role, customer, product group, and assignment data should all support date ranges.</w:t>
            </w:r>
          </w:p>
        </w:tc>
      </w:tr>
      <w:tr>
        <w:tc>
          <w:tcPr>
            <w:tcW w:type="dxa" w:w="302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Simple UI, structured backend</w:t>
            </w:r>
          </w:p>
        </w:tc>
        <w:tc>
          <w:tcPr>
            <w:tcW w:type="dxa" w:w="691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Users should see simple screens. The backend should be structured enough for calculation and integration growth.</w:t>
            </w:r>
          </w:p>
        </w:tc>
      </w:tr>
      <w:tr>
        <w:tc>
          <w:tcPr>
            <w:tcW w:type="dxa" w:w="302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Export-ready outputs</w:t>
            </w:r>
          </w:p>
        </w:tc>
        <w:tc>
          <w:tcPr>
            <w:tcW w:type="dxa" w:w="691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Approved assignments should be exportable as a clean dataset for future Salesforce, Power BI, and calculation use.</w:t>
            </w:r>
          </w:p>
        </w:tc>
      </w:tr>
    </w:tbl>
    <w:p>
      <w:pPr>
        <w:spacing w:after="40"/>
      </w:pPr>
    </w:p>
    <w:p>
      <w:pPr>
        <w:pStyle w:val="Heading1"/>
      </w:pPr>
      <w:r>
        <w:t>9. Integration-Ready Approach</w:t>
      </w:r>
    </w:p>
    <w:p>
      <w:pPr>
        <w:spacing w:after="120" w:line="259" w:lineRule="auto"/>
      </w:pPr>
      <w:r>
        <w:rPr>
          <w:rFonts w:ascii="Aptos" w:hAnsi="Aptos"/>
          <w:b w:val="0"/>
          <w:i w:val="0"/>
          <w:color w:val="1F2937"/>
          <w:sz w:val="21"/>
        </w:rPr>
        <w:t>The POC will not connect to live systems. However, it should be built as if these future connections will be added after client approval.</w:t>
      </w:r>
    </w:p>
    <w:tbl>
      <w:tblPr>
        <w:tblStyle w:val="TableGrid"/>
        <w:tblW w:type="auto" w:w="0"/>
        <w:jc w:val="center"/>
        <w:tblLook w:firstColumn="1" w:firstRow="1" w:lastColumn="0" w:lastRow="0" w:noHBand="0" w:noVBand="1" w:val="04A0"/>
      </w:tblPr>
      <w:tblGrid>
        <w:gridCol w:w="2304"/>
        <w:gridCol w:w="3600"/>
        <w:gridCol w:w="4032"/>
      </w:tblGrid>
      <w:tr>
        <w:trPr>
          <w:tblHeader w:val="true"/>
        </w:trPr>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7"/>
              </w:rPr>
              <w:t>Future System</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7"/>
              </w:rPr>
              <w:t>Future Purpose</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7"/>
              </w:rPr>
              <w:t>POC Preparation</w:t>
            </w:r>
          </w:p>
        </w:tc>
      </w:tr>
      <w:tr>
        <w:tc>
          <w:tcPr>
            <w:tcW w:type="dxa" w:w="230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Workday</w:t>
            </w:r>
          </w:p>
        </w:tc>
        <w:tc>
          <w:tcPr>
            <w:tcW w:type="dxa" w:w="360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Employee, role, manager, hire/termination, payroll output.</w:t>
            </w:r>
          </w:p>
        </w:tc>
        <w:tc>
          <w:tcPr>
            <w:tcW w:type="dxa" w:w="403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Include mock Workday Employee ID and employee type fields.</w:t>
            </w:r>
          </w:p>
        </w:tc>
      </w:tr>
      <w:tr>
        <w:tc>
          <w:tcPr>
            <w:tcW w:type="dxa" w:w="230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SAP / JDE / SAC / Datasphere</w:t>
            </w:r>
          </w:p>
        </w:tc>
        <w:tc>
          <w:tcPr>
            <w:tcW w:type="dxa" w:w="360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Customer, product, invoice transaction, quantity, revenue, credits.</w:t>
            </w:r>
          </w:p>
        </w:tc>
        <w:tc>
          <w:tcPr>
            <w:tcW w:type="dxa" w:w="403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Use sample customer/product/invoice tables with similar fields.</w:t>
            </w:r>
          </w:p>
        </w:tc>
      </w:tr>
      <w:tr>
        <w:tc>
          <w:tcPr>
            <w:tcW w:type="dxa" w:w="230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Salesforce</w:t>
            </w:r>
          </w:p>
        </w:tc>
        <w:tc>
          <w:tcPr>
            <w:tcW w:type="dxa" w:w="360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Account visibility and seller-to-customer ownership visibility.</w:t>
            </w:r>
          </w:p>
        </w:tc>
        <w:tc>
          <w:tcPr>
            <w:tcW w:type="dxa" w:w="403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Create assignment output dataset that can later be pushed or exposed.</w:t>
            </w:r>
          </w:p>
        </w:tc>
      </w:tr>
      <w:tr>
        <w:tc>
          <w:tcPr>
            <w:tcW w:type="dxa" w:w="230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Power BI</w:t>
            </w:r>
          </w:p>
        </w:tc>
        <w:tc>
          <w:tcPr>
            <w:tcW w:type="dxa" w:w="360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Reporting and dashboards.</w:t>
            </w:r>
          </w:p>
        </w:tc>
        <w:tc>
          <w:tcPr>
            <w:tcW w:type="dxa" w:w="403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Create clean reporting-ready tables and simple POC dashboard.</w:t>
            </w:r>
          </w:p>
        </w:tc>
      </w:tr>
      <w:tr>
        <w:tc>
          <w:tcPr>
            <w:tcW w:type="dxa" w:w="230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Workday Payroll</w:t>
            </w:r>
          </w:p>
        </w:tc>
        <w:tc>
          <w:tcPr>
            <w:tcW w:type="dxa" w:w="360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Payment execution after approval.</w:t>
            </w:r>
          </w:p>
        </w:tc>
        <w:tc>
          <w:tcPr>
            <w:tcW w:type="dxa" w:w="403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7"/>
              </w:rPr>
              <w:t>No payroll in POC; keep assignment and future payout output structure clean.</w:t>
            </w:r>
          </w:p>
        </w:tc>
      </w:tr>
    </w:tbl>
    <w:p>
      <w:pPr>
        <w:spacing w:after="40"/>
      </w:pPr>
    </w:p>
    <w:p>
      <w:pPr>
        <w:pStyle w:val="Heading1"/>
      </w:pPr>
      <w:r>
        <w:t>10. Simple Data Model</w:t>
      </w:r>
    </w:p>
    <w:p>
      <w:pPr>
        <w:spacing w:after="120" w:line="259" w:lineRule="auto"/>
      </w:pPr>
      <w:r>
        <w:rPr>
          <w:rFonts w:ascii="Aptos" w:hAnsi="Aptos"/>
          <w:b w:val="0"/>
          <w:i w:val="0"/>
          <w:color w:val="1F2937"/>
          <w:sz w:val="21"/>
        </w:rPr>
        <w:t>This is the minimum structure needed for the POC while still preparing for real integrations later.</w:t>
      </w:r>
    </w:p>
    <w:tbl>
      <w:tblPr>
        <w:tblStyle w:val="TableGrid"/>
        <w:tblW w:type="auto" w:w="0"/>
        <w:jc w:val="center"/>
        <w:tblLook w:firstColumn="1" w:firstRow="1" w:lastColumn="0" w:lastRow="0" w:noHBand="0" w:noVBand="1" w:val="04A0"/>
      </w:tblPr>
      <w:tblGrid>
        <w:gridCol w:w="2160"/>
        <w:gridCol w:w="3024"/>
        <w:gridCol w:w="4896"/>
      </w:tblGrid>
      <w:tr>
        <w:trPr>
          <w:tblHeader w:val="true"/>
        </w:trPr>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6"/>
              </w:rPr>
              <w:t>Table / Object</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6"/>
              </w:rPr>
              <w:t>Purpose</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6"/>
              </w:rPr>
              <w:t>Key Fields</w:t>
            </w:r>
          </w:p>
        </w:tc>
      </w:tr>
      <w:tr>
        <w:tc>
          <w:tcPr>
            <w:tcW w:type="dxa" w:w="216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Seller</w:t>
            </w:r>
          </w:p>
        </w:tc>
        <w:tc>
          <w:tcPr>
            <w:tcW w:type="dxa" w:w="302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People who can receive credit.</w:t>
            </w:r>
          </w:p>
        </w:tc>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Seller ID, name, employee type, full-time flag, manager, active status, effective dates.</w:t>
            </w:r>
          </w:p>
        </w:tc>
      </w:tr>
      <w:tr>
        <w:tc>
          <w:tcPr>
            <w:tcW w:type="dxa" w:w="216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Role</w:t>
            </w:r>
          </w:p>
        </w:tc>
        <w:tc>
          <w:tcPr>
            <w:tcW w:type="dxa" w:w="302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Defines how the seller participates in crediting.</w:t>
            </w:r>
          </w:p>
        </w:tc>
        <w:tc>
          <w:tcPr>
            <w:tcW w:type="dxa" w:w="489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Role ID, role name, role category, behavior, eligible flag, active flag.</w:t>
            </w:r>
          </w:p>
        </w:tc>
      </w:tr>
      <w:tr>
        <w:tc>
          <w:tcPr>
            <w:tcW w:type="dxa" w:w="216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Customer</w:t>
            </w:r>
          </w:p>
        </w:tc>
        <w:tc>
          <w:tcPr>
            <w:tcW w:type="dxa" w:w="302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Customer or sales parent used for assignment.</w:t>
            </w:r>
          </w:p>
        </w:tc>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Customer ID, customer name, sales parent, active status.</w:t>
            </w:r>
          </w:p>
        </w:tc>
      </w:tr>
      <w:tr>
        <w:tc>
          <w:tcPr>
            <w:tcW w:type="dxa" w:w="216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Product Group</w:t>
            </w:r>
          </w:p>
        </w:tc>
        <w:tc>
          <w:tcPr>
            <w:tcW w:type="dxa" w:w="302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Product / industry group used for assignment.</w:t>
            </w:r>
          </w:p>
        </w:tc>
        <w:tc>
          <w:tcPr>
            <w:tcW w:type="dxa" w:w="489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Product Group ID, name, metric type, active status.</w:t>
            </w:r>
          </w:p>
        </w:tc>
      </w:tr>
      <w:tr>
        <w:tc>
          <w:tcPr>
            <w:tcW w:type="dxa" w:w="216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Assignment</w:t>
            </w:r>
          </w:p>
        </w:tc>
        <w:tc>
          <w:tcPr>
            <w:tcW w:type="dxa" w:w="302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Core rule defining sales credit ownership.</w:t>
            </w:r>
          </w:p>
        </w:tc>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Customer, product group, seller, role, allocation %, start date, end date, status.</w:t>
            </w:r>
          </w:p>
        </w:tc>
      </w:tr>
      <w:tr>
        <w:tc>
          <w:tcPr>
            <w:tcW w:type="dxa" w:w="216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Validation Result</w:t>
            </w:r>
          </w:p>
        </w:tc>
        <w:tc>
          <w:tcPr>
            <w:tcW w:type="dxa" w:w="302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Stores split checks and assignment errors.</w:t>
            </w:r>
          </w:p>
        </w:tc>
        <w:tc>
          <w:tcPr>
            <w:tcW w:type="dxa" w:w="489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Assignment group, rule checked, severity, message.</w:t>
            </w:r>
          </w:p>
        </w:tc>
      </w:tr>
      <w:tr>
        <w:tc>
          <w:tcPr>
            <w:tcW w:type="dxa" w:w="216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Approval History</w:t>
            </w:r>
          </w:p>
        </w:tc>
        <w:tc>
          <w:tcPr>
            <w:tcW w:type="dxa" w:w="302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Tracks assignment review.</w:t>
            </w:r>
          </w:p>
        </w:tc>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Assignment ID, approver, decision, date/time, comments.</w:t>
            </w:r>
          </w:p>
        </w:tc>
      </w:tr>
      <w:tr>
        <w:tc>
          <w:tcPr>
            <w:tcW w:type="dxa" w:w="216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Audit Log</w:t>
            </w:r>
          </w:p>
        </w:tc>
        <w:tc>
          <w:tcPr>
            <w:tcW w:type="dxa" w:w="302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Tracks changes.</w:t>
            </w:r>
          </w:p>
        </w:tc>
        <w:tc>
          <w:tcPr>
            <w:tcW w:type="dxa" w:w="489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Object, old value, new value, user, timestamp.</w:t>
            </w:r>
          </w:p>
        </w:tc>
      </w:tr>
      <w:tr>
        <w:tc>
          <w:tcPr>
            <w:tcW w:type="dxa" w:w="216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Mock Invoice</w:t>
            </w:r>
          </w:p>
        </w:tc>
        <w:tc>
          <w:tcPr>
            <w:tcW w:type="dxa" w:w="3024"/>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Used only for POC calculation preview.</w:t>
            </w:r>
          </w:p>
        </w:tc>
        <w:tc>
          <w:tcPr>
            <w:tcW w:type="dxa" w:w="4896"/>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Invoice ID, customer, product group, quantity, amount, invoice date.</w:t>
            </w:r>
          </w:p>
        </w:tc>
      </w:tr>
      <w:tr>
        <w:tc>
          <w:tcPr>
            <w:tcW w:type="dxa" w:w="216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Credit Preview Result</w:t>
            </w:r>
          </w:p>
        </w:tc>
        <w:tc>
          <w:tcPr>
            <w:tcW w:type="dxa" w:w="3024"/>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Shows sample credited output.</w:t>
            </w:r>
          </w:p>
        </w:tc>
        <w:tc>
          <w:tcPr>
            <w:tcW w:type="dxa" w:w="4896"/>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6"/>
              </w:rPr>
              <w:t>Invoice ID, seller, allocation %, credited tons/dollars.</w:t>
            </w:r>
          </w:p>
        </w:tc>
      </w:tr>
    </w:tbl>
    <w:p>
      <w:pPr>
        <w:spacing w:after="40"/>
      </w:pPr>
    </w:p>
    <w:p>
      <w:pPr>
        <w:pStyle w:val="Heading1"/>
      </w:pPr>
      <w:r>
        <w:t>11. POC Screens</w:t>
      </w:r>
    </w:p>
    <w:p>
      <w:pPr>
        <w:spacing w:after="120" w:line="259" w:lineRule="auto"/>
      </w:pPr>
      <w:r>
        <w:rPr>
          <w:rFonts w:ascii="Aptos" w:hAnsi="Aptos"/>
          <w:b w:val="0"/>
          <w:i w:val="0"/>
          <w:color w:val="1F2937"/>
          <w:sz w:val="21"/>
        </w:rPr>
        <w:t>The screens should be simple and demo-friendly. Each screen should answer one clear business question.</w:t>
      </w:r>
    </w:p>
    <w:tbl>
      <w:tblPr>
        <w:tblStyle w:val="TableGrid"/>
        <w:tblW w:type="auto" w:w="0"/>
        <w:jc w:val="center"/>
        <w:tblLook w:firstColumn="1" w:firstRow="1" w:lastColumn="0" w:lastRow="0" w:noHBand="0" w:noVBand="1" w:val="04A0"/>
      </w:tblPr>
      <w:tblGrid>
        <w:gridCol w:w="3168"/>
        <w:gridCol w:w="6768"/>
      </w:tblGrid>
      <w:tr>
        <w:trPr>
          <w:tblHeader w:val="true"/>
        </w:trPr>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Screen</w:t>
            </w:r>
          </w:p>
        </w:tc>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Business Question It Answers</w:t>
            </w:r>
          </w:p>
        </w:tc>
      </w:tr>
      <w:tr>
        <w:tc>
          <w:tcPr>
            <w:tcW w:type="dxa" w:w="316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Dashboard</w:t>
            </w:r>
          </w:p>
        </w:tc>
        <w:tc>
          <w:tcPr>
            <w:tcW w:type="dxa" w:w="676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What assignments are active, pending approval, or failing validation?</w:t>
            </w:r>
          </w:p>
        </w:tc>
      </w:tr>
      <w:tr>
        <w:tc>
          <w:tcPr>
            <w:tcW w:type="dxa" w:w="316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Seller Management</w:t>
            </w:r>
          </w:p>
        </w:tc>
        <w:tc>
          <w:tcPr>
            <w:tcW w:type="dxa" w:w="676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Who can receive credit and what role/manager do they have?</w:t>
            </w:r>
          </w:p>
        </w:tc>
      </w:tr>
      <w:tr>
        <w:tc>
          <w:tcPr>
            <w:tcW w:type="dxa" w:w="316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Role Configuration</w:t>
            </w:r>
          </w:p>
        </w:tc>
        <w:tc>
          <w:tcPr>
            <w:tcW w:type="dxa" w:w="676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How does each seller role behave in the crediting process?</w:t>
            </w:r>
          </w:p>
        </w:tc>
      </w:tr>
      <w:tr>
        <w:tc>
          <w:tcPr>
            <w:tcW w:type="dxa" w:w="316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Customer &amp; Product Group Setup</w:t>
            </w:r>
          </w:p>
        </w:tc>
        <w:tc>
          <w:tcPr>
            <w:tcW w:type="dxa" w:w="676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What customer and product groups are available for assignment?</w:t>
            </w:r>
          </w:p>
        </w:tc>
      </w:tr>
      <w:tr>
        <w:tc>
          <w:tcPr>
            <w:tcW w:type="dxa" w:w="316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Assignment Workbench</w:t>
            </w:r>
          </w:p>
        </w:tc>
        <w:tc>
          <w:tcPr>
            <w:tcW w:type="dxa" w:w="676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Who is assigned to which customer + product group and at what percent?</w:t>
            </w:r>
          </w:p>
        </w:tc>
      </w:tr>
      <w:tr>
        <w:tc>
          <w:tcPr>
            <w:tcW w:type="dxa" w:w="316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Split Validator</w:t>
            </w:r>
          </w:p>
        </w:tc>
        <w:tc>
          <w:tcPr>
            <w:tcW w:type="dxa" w:w="676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Are the splits correct before approval?</w:t>
            </w:r>
          </w:p>
        </w:tc>
      </w:tr>
      <w:tr>
        <w:tc>
          <w:tcPr>
            <w:tcW w:type="dxa" w:w="316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Approval Queue</w:t>
            </w:r>
          </w:p>
        </w:tc>
        <w:tc>
          <w:tcPr>
            <w:tcW w:type="dxa" w:w="676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Which assignments need review or approval?</w:t>
            </w:r>
          </w:p>
        </w:tc>
      </w:tr>
      <w:tr>
        <w:tc>
          <w:tcPr>
            <w:tcW w:type="dxa" w:w="316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Credit Preview</w:t>
            </w:r>
          </w:p>
        </w:tc>
        <w:tc>
          <w:tcPr>
            <w:tcW w:type="dxa" w:w="676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How would a sample invoice be credited based on the assignment?</w:t>
            </w:r>
          </w:p>
        </w:tc>
      </w:tr>
      <w:tr>
        <w:tc>
          <w:tcPr>
            <w:tcW w:type="dxa" w:w="316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Assignment History / Audit</w:t>
            </w:r>
          </w:p>
        </w:tc>
        <w:tc>
          <w:tcPr>
            <w:tcW w:type="dxa" w:w="676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Who changed what and when?</w:t>
            </w:r>
          </w:p>
        </w:tc>
      </w:tr>
    </w:tbl>
    <w:p>
      <w:pPr>
        <w:spacing w:after="40"/>
      </w:pPr>
    </w:p>
    <w:p>
      <w:pPr>
        <w:pStyle w:val="Heading1"/>
      </w:pPr>
      <w:r>
        <w:t>12. Acceptance Criteria</w:t>
      </w:r>
    </w:p>
    <w:p>
      <w:pPr>
        <w:spacing w:after="120" w:line="259" w:lineRule="auto"/>
      </w:pPr>
      <w:r>
        <w:rPr>
          <w:rFonts w:ascii="Aptos" w:hAnsi="Aptos"/>
          <w:b w:val="0"/>
          <w:i w:val="0"/>
          <w:color w:val="1F2937"/>
          <w:sz w:val="21"/>
        </w:rPr>
        <w:t>The POC can be considered successful when the following are true.</w:t>
      </w:r>
    </w:p>
    <w:p>
      <w:pPr>
        <w:pStyle w:val="ListBullet"/>
        <w:spacing w:after="60"/>
      </w:pPr>
      <w:r>
        <w:rPr>
          <w:rFonts w:ascii="Aptos" w:hAnsi="Aptos"/>
          <w:b w:val="0"/>
          <w:i w:val="0"/>
          <w:color w:val="1F2937"/>
          <w:sz w:val="21"/>
        </w:rPr>
        <w:t>Admin can create and edit seller profiles using mock data.</w:t>
      </w:r>
    </w:p>
    <w:p>
      <w:pPr>
        <w:pStyle w:val="ListBullet"/>
        <w:spacing w:after="60"/>
      </w:pPr>
      <w:r>
        <w:rPr>
          <w:rFonts w:ascii="Aptos" w:hAnsi="Aptos"/>
          <w:b w:val="0"/>
          <w:i w:val="0"/>
          <w:color w:val="1F2937"/>
          <w:sz w:val="21"/>
        </w:rPr>
        <w:t>Admin can create configurable seller roles and assign behavior to those roles.</w:t>
      </w:r>
    </w:p>
    <w:p>
      <w:pPr>
        <w:pStyle w:val="ListBullet"/>
        <w:spacing w:after="60"/>
      </w:pPr>
      <w:r>
        <w:rPr>
          <w:rFonts w:ascii="Aptos" w:hAnsi="Aptos"/>
          <w:b w:val="0"/>
          <w:i w:val="0"/>
          <w:color w:val="1F2937"/>
          <w:sz w:val="21"/>
        </w:rPr>
        <w:t>Admin can create an assignment for customer + product group + seller + percentage + date range.</w:t>
      </w:r>
    </w:p>
    <w:p>
      <w:pPr>
        <w:pStyle w:val="ListBullet"/>
        <w:spacing w:after="60"/>
      </w:pPr>
      <w:r>
        <w:rPr>
          <w:rFonts w:ascii="Aptos" w:hAnsi="Aptos"/>
          <w:b w:val="0"/>
          <w:i w:val="0"/>
          <w:color w:val="1F2937"/>
          <w:sz w:val="21"/>
        </w:rPr>
        <w:t>System validates direct seller split equals 100% where applicable.</w:t>
      </w:r>
    </w:p>
    <w:p>
      <w:pPr>
        <w:pStyle w:val="ListBullet"/>
        <w:spacing w:after="60"/>
      </w:pPr>
      <w:r>
        <w:rPr>
          <w:rFonts w:ascii="Aptos" w:hAnsi="Aptos"/>
          <w:b w:val="0"/>
          <w:i w:val="0"/>
          <w:color w:val="1F2937"/>
          <w:sz w:val="21"/>
        </w:rPr>
        <w:t>System validates LPS split does not exceed 100% where applicable.</w:t>
      </w:r>
    </w:p>
    <w:p>
      <w:pPr>
        <w:pStyle w:val="ListBullet"/>
        <w:spacing w:after="60"/>
      </w:pPr>
      <w:r>
        <w:rPr>
          <w:rFonts w:ascii="Aptos" w:hAnsi="Aptos"/>
          <w:b w:val="0"/>
          <w:i w:val="0"/>
          <w:color w:val="1F2937"/>
          <w:sz w:val="21"/>
        </w:rPr>
        <w:t>System allows overlay roles to be additive without breaking direct seller splits.</w:t>
      </w:r>
    </w:p>
    <w:p>
      <w:pPr>
        <w:pStyle w:val="ListBullet"/>
        <w:spacing w:after="60"/>
      </w:pPr>
      <w:r>
        <w:rPr>
          <w:rFonts w:ascii="Aptos" w:hAnsi="Aptos"/>
          <w:b w:val="0"/>
          <w:i w:val="0"/>
          <w:color w:val="1F2937"/>
          <w:sz w:val="21"/>
        </w:rPr>
        <w:t>System prevents or warns about overlapping effective-dated assignments.</w:t>
      </w:r>
    </w:p>
    <w:p>
      <w:pPr>
        <w:pStyle w:val="ListBullet"/>
        <w:spacing w:after="60"/>
      </w:pPr>
      <w:r>
        <w:rPr>
          <w:rFonts w:ascii="Aptos" w:hAnsi="Aptos"/>
          <w:b w:val="0"/>
          <w:i w:val="0"/>
          <w:color w:val="1F2937"/>
          <w:sz w:val="21"/>
        </w:rPr>
        <w:t>System keeps assignment history instead of overwriting old records.</w:t>
      </w:r>
    </w:p>
    <w:p>
      <w:pPr>
        <w:pStyle w:val="ListBullet"/>
        <w:spacing w:after="60"/>
      </w:pPr>
      <w:r>
        <w:rPr>
          <w:rFonts w:ascii="Aptos" w:hAnsi="Aptos"/>
          <w:b w:val="0"/>
          <w:i w:val="0"/>
          <w:color w:val="1F2937"/>
          <w:sz w:val="21"/>
        </w:rPr>
        <w:t>Manager can approve or reject submitted assignments in a simple workflow.</w:t>
      </w:r>
    </w:p>
    <w:p>
      <w:pPr>
        <w:pStyle w:val="ListBullet"/>
        <w:spacing w:after="60"/>
      </w:pPr>
      <w:r>
        <w:rPr>
          <w:rFonts w:ascii="Aptos" w:hAnsi="Aptos"/>
          <w:b w:val="0"/>
          <w:i w:val="0"/>
          <w:color w:val="1F2937"/>
          <w:sz w:val="21"/>
        </w:rPr>
        <w:t>System records basic audit details for create, update, submit, approve, reject, and expire actions.</w:t>
      </w:r>
    </w:p>
    <w:p>
      <w:pPr>
        <w:pStyle w:val="ListBullet"/>
        <w:spacing w:after="60"/>
      </w:pPr>
      <w:r>
        <w:rPr>
          <w:rFonts w:ascii="Aptos" w:hAnsi="Aptos"/>
          <w:b w:val="0"/>
          <w:i w:val="0"/>
          <w:color w:val="1F2937"/>
          <w:sz w:val="21"/>
        </w:rPr>
        <w:t>System can preview credited quantity or amount using mock invoice data.</w:t>
      </w:r>
    </w:p>
    <w:p>
      <w:pPr>
        <w:pStyle w:val="ListBullet"/>
        <w:spacing w:after="60"/>
      </w:pPr>
      <w:r>
        <w:rPr>
          <w:rFonts w:ascii="Aptos" w:hAnsi="Aptos"/>
          <w:b w:val="0"/>
          <w:i w:val="0"/>
          <w:color w:val="1F2937"/>
          <w:sz w:val="21"/>
        </w:rPr>
        <w:t>Approved assignment data can be exported or exposed as a clean future-ready dataset.</w:t>
      </w:r>
    </w:p>
    <w:p>
      <w:pPr>
        <w:pStyle w:val="Heading1"/>
      </w:pPr>
      <w:r>
        <w:t>13. Future Roadmap After POC</w:t>
      </w:r>
    </w:p>
    <w:p>
      <w:pPr>
        <w:spacing w:after="120" w:line="259" w:lineRule="auto"/>
      </w:pPr>
      <w:r>
        <w:rPr>
          <w:rFonts w:ascii="Aptos" w:hAnsi="Aptos"/>
          <w:b w:val="0"/>
          <w:i w:val="0"/>
          <w:color w:val="1F2937"/>
          <w:sz w:val="21"/>
        </w:rPr>
        <w:t>The POC should be the starting point for the real application, not a throwaway demo. The roadmap below shows how the same foundation can grow.</w:t>
      </w:r>
    </w:p>
    <w:tbl>
      <w:tblPr>
        <w:tblStyle w:val="TableGrid"/>
        <w:tblW w:type="auto" w:w="0"/>
        <w:jc w:val="center"/>
        <w:tblLook w:firstColumn="1" w:firstRow="1" w:lastColumn="0" w:lastRow="0" w:noHBand="0" w:noVBand="1" w:val="04A0"/>
      </w:tblPr>
      <w:tblGrid>
        <w:gridCol w:w="1728"/>
        <w:gridCol w:w="2880"/>
        <w:gridCol w:w="5328"/>
      </w:tblGrid>
      <w:tr>
        <w:trPr>
          <w:tblHeader w:val="true"/>
        </w:trPr>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Phase</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Focus</w:t>
            </w:r>
          </w:p>
        </w:tc>
        <w:tc>
          <w:tcPr>
            <w:tcW w:type="dxa" w:w="3346"/>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What Gets Added</w:t>
            </w:r>
          </w:p>
        </w:tc>
      </w:tr>
      <w:tr>
        <w:tc>
          <w:tcPr>
            <w:tcW w:type="dxa" w:w="172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POC - Now</w:t>
            </w:r>
          </w:p>
        </w:tc>
        <w:tc>
          <w:tcPr>
            <w:tcW w:type="dxa" w:w="288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Sales attribution foundation</w:t>
            </w:r>
          </w:p>
        </w:tc>
        <w:tc>
          <w:tcPr>
            <w:tcW w:type="dxa" w:w="532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Mock data, seller roles, assignments, splits, dates, approval status, audit, preview.</w:t>
            </w:r>
          </w:p>
        </w:tc>
      </w:tr>
      <w:tr>
        <w:tc>
          <w:tcPr>
            <w:tcW w:type="dxa" w:w="172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Phase 1</w:t>
            </w:r>
          </w:p>
        </w:tc>
        <w:tc>
          <w:tcPr>
            <w:tcW w:type="dxa" w:w="288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Client data onboarding</w:t>
            </w:r>
          </w:p>
        </w:tc>
        <w:tc>
          <w:tcPr>
            <w:tcW w:type="dxa" w:w="532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Workday seller import, customer/product master import, initial Salesforce/Power BI-ready outputs.</w:t>
            </w:r>
          </w:p>
        </w:tc>
      </w:tr>
      <w:tr>
        <w:tc>
          <w:tcPr>
            <w:tcW w:type="dxa" w:w="172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Phase 2</w:t>
            </w:r>
          </w:p>
        </w:tc>
        <w:tc>
          <w:tcPr>
            <w:tcW w:type="dxa" w:w="288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Calculation and payment readiness</w:t>
            </w:r>
          </w:p>
        </w:tc>
        <w:tc>
          <w:tcPr>
            <w:tcW w:type="dxa" w:w="532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Invoice ingestion, unit conversion, metric rules, full credit calculation, approval workflows, payment file preparation.</w:t>
            </w:r>
          </w:p>
        </w:tc>
      </w:tr>
      <w:tr>
        <w:tc>
          <w:tcPr>
            <w:tcW w:type="dxa" w:w="172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Phase 3</w:t>
            </w:r>
          </w:p>
        </w:tc>
        <w:tc>
          <w:tcPr>
            <w:tcW w:type="dxa" w:w="288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Adjustments and reporting</w:t>
            </w:r>
          </w:p>
        </w:tc>
        <w:tc>
          <w:tcPr>
            <w:tcW w:type="dxa" w:w="5328"/>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Adjustment workflow, dispute tracking, transaction drill-down, manager/seller dashboards, audit reports.</w:t>
            </w:r>
          </w:p>
        </w:tc>
      </w:tr>
      <w:tr>
        <w:tc>
          <w:tcPr>
            <w:tcW w:type="dxa" w:w="172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Phase 4</w:t>
            </w:r>
          </w:p>
        </w:tc>
        <w:tc>
          <w:tcPr>
            <w:tcW w:type="dxa" w:w="288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LPS billing and advanced features</w:t>
            </w:r>
          </w:p>
        </w:tc>
        <w:tc>
          <w:tcPr>
            <w:tcW w:type="dxa" w:w="5328"/>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LPS customer billing relationship, incentive prepayment true-up, accruals, estimator/what-if planning.</w:t>
            </w:r>
          </w:p>
        </w:tc>
      </w:tr>
    </w:tbl>
    <w:p>
      <w:pPr>
        <w:spacing w:after="40"/>
      </w:pPr>
    </w:p>
    <w:p>
      <w:pPr>
        <w:pStyle w:val="Heading1"/>
      </w:pPr>
      <w:r>
        <w:t>14. Client Demo Storyline</w:t>
      </w:r>
    </w:p>
    <w:p>
      <w:pPr>
        <w:spacing w:after="120" w:line="259" w:lineRule="auto"/>
      </w:pPr>
      <w:r>
        <w:rPr>
          <w:rFonts w:ascii="Aptos" w:hAnsi="Aptos"/>
          <w:b w:val="0"/>
          <w:i w:val="0"/>
          <w:color w:val="1F2937"/>
          <w:sz w:val="21"/>
        </w:rPr>
        <w:t>The demo should stay simple. The goal is to make the client confident that the foundation is correct and future-ready.</w:t>
      </w:r>
    </w:p>
    <w:p>
      <w:pPr>
        <w:pStyle w:val="ListNumber"/>
        <w:spacing w:after="60"/>
      </w:pPr>
      <w:r>
        <w:rPr>
          <w:rFonts w:ascii="Aptos" w:hAnsi="Aptos"/>
          <w:b w:val="0"/>
          <w:i w:val="0"/>
          <w:color w:val="1F2937"/>
          <w:sz w:val="21"/>
        </w:rPr>
        <w:t>Start with the dashboard and show assignment status counts.</w:t>
      </w:r>
    </w:p>
    <w:p>
      <w:pPr>
        <w:pStyle w:val="ListNumber"/>
        <w:spacing w:after="60"/>
      </w:pPr>
      <w:r>
        <w:rPr>
          <w:rFonts w:ascii="Aptos" w:hAnsi="Aptos"/>
          <w:b w:val="0"/>
          <w:i w:val="0"/>
          <w:color w:val="1F2937"/>
          <w:sz w:val="21"/>
        </w:rPr>
        <w:t>Open Seller Management and show Workday Employee vs Local Hire and role selection.</w:t>
      </w:r>
    </w:p>
    <w:p>
      <w:pPr>
        <w:pStyle w:val="ListNumber"/>
        <w:spacing w:after="60"/>
      </w:pPr>
      <w:r>
        <w:rPr>
          <w:rFonts w:ascii="Aptos" w:hAnsi="Aptos"/>
          <w:b w:val="0"/>
          <w:i w:val="0"/>
          <w:color w:val="1F2937"/>
          <w:sz w:val="21"/>
        </w:rPr>
        <w:t>Open Role Configuration and show Direct, Overlay, LPS, and Manager Roll-up behaviors.</w:t>
      </w:r>
    </w:p>
    <w:p>
      <w:pPr>
        <w:pStyle w:val="ListNumber"/>
        <w:spacing w:after="60"/>
      </w:pPr>
      <w:r>
        <w:rPr>
          <w:rFonts w:ascii="Aptos" w:hAnsi="Aptos"/>
          <w:b w:val="0"/>
          <w:i w:val="0"/>
          <w:color w:val="1F2937"/>
          <w:sz w:val="21"/>
        </w:rPr>
        <w:t>Create a customer + product group assignment for one seller.</w:t>
      </w:r>
    </w:p>
    <w:p>
      <w:pPr>
        <w:pStyle w:val="ListNumber"/>
        <w:spacing w:after="60"/>
      </w:pPr>
      <w:r>
        <w:rPr>
          <w:rFonts w:ascii="Aptos" w:hAnsi="Aptos"/>
          <w:b w:val="0"/>
          <w:i w:val="0"/>
          <w:color w:val="1F2937"/>
          <w:sz w:val="21"/>
        </w:rPr>
        <w:t>Add another seller to show split allocation validation.</w:t>
      </w:r>
    </w:p>
    <w:p>
      <w:pPr>
        <w:pStyle w:val="ListNumber"/>
        <w:spacing w:after="60"/>
      </w:pPr>
      <w:r>
        <w:rPr>
          <w:rFonts w:ascii="Aptos" w:hAnsi="Aptos"/>
          <w:b w:val="0"/>
          <w:i w:val="0"/>
          <w:color w:val="1F2937"/>
          <w:sz w:val="21"/>
        </w:rPr>
        <w:t>Submit and approve the assignment.</w:t>
      </w:r>
    </w:p>
    <w:p>
      <w:pPr>
        <w:pStyle w:val="ListNumber"/>
        <w:spacing w:after="60"/>
      </w:pPr>
      <w:r>
        <w:rPr>
          <w:rFonts w:ascii="Aptos" w:hAnsi="Aptos"/>
          <w:b w:val="0"/>
          <w:i w:val="0"/>
          <w:color w:val="1F2937"/>
          <w:sz w:val="21"/>
        </w:rPr>
        <w:t>Open Credit Preview and show how a mock invoice is credited based on the approved assignment.</w:t>
      </w:r>
    </w:p>
    <w:p>
      <w:pPr>
        <w:pStyle w:val="ListNumber"/>
        <w:spacing w:after="60"/>
      </w:pPr>
      <w:r>
        <w:rPr>
          <w:rFonts w:ascii="Aptos" w:hAnsi="Aptos"/>
          <w:b w:val="0"/>
          <w:i w:val="0"/>
          <w:color w:val="1F2937"/>
          <w:sz w:val="21"/>
        </w:rPr>
        <w:t>Open Assignment History and show that changes are tracked instead of overwritten.</w:t>
      </w:r>
    </w:p>
    <w:p>
      <w:pPr>
        <w:pStyle w:val="ListNumber"/>
        <w:spacing w:after="60"/>
      </w:pPr>
      <w:r>
        <w:rPr>
          <w:rFonts w:ascii="Aptos" w:hAnsi="Aptos"/>
          <w:b w:val="0"/>
          <w:i w:val="0"/>
          <w:color w:val="1F2937"/>
          <w:sz w:val="21"/>
        </w:rPr>
        <w:t>Close by explaining how real Workday/SAP/Salesforce/Power BI integrations can be connected later using the same model.</w:t>
      </w:r>
    </w:p>
    <w:p>
      <w:pPr>
        <w:pStyle w:val="Heading1"/>
      </w:pPr>
      <w:r>
        <w:t>15. Open Questions for Client</w:t>
      </w:r>
    </w:p>
    <w:p>
      <w:pPr>
        <w:spacing w:after="120" w:line="259" w:lineRule="auto"/>
      </w:pPr>
      <w:r>
        <w:rPr>
          <w:rFonts w:ascii="Aptos" w:hAnsi="Aptos"/>
          <w:b w:val="0"/>
          <w:i w:val="0"/>
          <w:color w:val="1F2937"/>
          <w:sz w:val="21"/>
        </w:rPr>
        <w:t>These questions should be asked during or after the demo to confirm future build direction.</w:t>
      </w:r>
    </w:p>
    <w:tbl>
      <w:tblPr>
        <w:tblStyle w:val="TableGrid"/>
        <w:tblW w:type="auto" w:w="0"/>
        <w:jc w:val="center"/>
        <w:tblLook w:firstColumn="1" w:firstRow="1" w:lastColumn="0" w:lastRow="0" w:noHBand="0" w:noVBand="1" w:val="04A0"/>
      </w:tblPr>
      <w:tblGrid>
        <w:gridCol w:w="4752"/>
        <w:gridCol w:w="5040"/>
      </w:tblGrid>
      <w:tr>
        <w:trPr>
          <w:tblHeader w:val="true"/>
        </w:trPr>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Question</w:t>
            </w:r>
          </w:p>
        </w:tc>
        <w:tc>
          <w:tcPr>
            <w:tcW w:type="dxa" w:w="5018"/>
            <w:shd w:fill="0F6674"/>
            <w:tcBorders>
              <w:top w:sz="6" w:val="single" w:color="FFFFFF"/>
              <w:left w:sz="6" w:val="single" w:color="FFFFFF"/>
              <w:bottom w:sz="6" w:val="single" w:color="FFFFFF"/>
              <w:right w:sz="6" w:val="single" w:color="FFFFFF"/>
            </w:tcBorders>
          </w:tcPr>
          <w:p>
            <w:pPr>
              <w:jc w:val="left"/>
            </w:pPr>
            <w:r>
              <w:rPr>
                <w:rFonts w:ascii="Aptos" w:hAnsi="Aptos"/>
                <w:b/>
                <w:color w:val="FFFFFF"/>
                <w:sz w:val="18"/>
              </w:rPr>
              <w:t>Why It Matters</w:t>
            </w:r>
          </w:p>
        </w:tc>
      </w:tr>
      <w:tr>
        <w:tc>
          <w:tcPr>
            <w:tcW w:type="dxa" w:w="475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What exact assignment levels must Phase 1 support?</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Confirms customer-only, customer + product group, territory, and manager roll-up needs.</w:t>
            </w:r>
          </w:p>
        </w:tc>
      </w:tr>
      <w:tr>
        <w:tc>
          <w:tcPr>
            <w:tcW w:type="dxa" w:w="475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Should overlay sellers remain additive or become percentage-based later?</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Affects role behavior and calculation logic.</w:t>
            </w:r>
          </w:p>
        </w:tc>
      </w:tr>
      <w:tr>
        <w:tc>
          <w:tcPr>
            <w:tcW w:type="dxa" w:w="475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Which source will be final for sales transaction data?</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Affects future integration design.</w:t>
            </w:r>
          </w:p>
        </w:tc>
      </w:tr>
      <w:tr>
        <w:tc>
          <w:tcPr>
            <w:tcW w:type="dxa" w:w="475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Should Salesforce receive assignment outputs in future?</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Affects output data contract and integration roadmap.</w:t>
            </w:r>
          </w:p>
        </w:tc>
      </w:tr>
      <w:tr>
        <w:tc>
          <w:tcPr>
            <w:tcW w:type="dxa" w:w="475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How should local hires be governed and approved?</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Affects seller setup and security model.</w:t>
            </w:r>
          </w:p>
        </w:tc>
      </w:tr>
      <w:tr>
        <w:tc>
          <w:tcPr>
            <w:tcW w:type="dxa" w:w="475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Should LPS billing remain future phase or be included earlier?</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Affects roadmap and data model extension.</w:t>
            </w:r>
          </w:p>
        </w:tc>
      </w:tr>
      <w:tr>
        <w:tc>
          <w:tcPr>
            <w:tcW w:type="dxa" w:w="4752"/>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Who approves assignment changes?</w:t>
            </w:r>
          </w:p>
        </w:tc>
        <w:tc>
          <w:tcPr>
            <w:tcW w:type="dxa" w:w="5040"/>
            <w:shd w:fill="FAFBFC"/>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Affects workflow design.</w:t>
            </w:r>
          </w:p>
        </w:tc>
      </w:tr>
      <w:tr>
        <w:tc>
          <w:tcPr>
            <w:tcW w:type="dxa" w:w="4752"/>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What should happen when historical transactions change after a payment period is closed?</w:t>
            </w:r>
          </w:p>
        </w:tc>
        <w:tc>
          <w:tcPr>
            <w:tcW w:type="dxa" w:w="5040"/>
            <w:shd w:fill="FFFFFF"/>
            <w:vAlign w:val="top"/>
            <w:tcBorders>
              <w:top w:sz="4" w:val="single" w:color="D9E2E7"/>
              <w:left w:sz="4" w:val="single" w:color="D9E2E7"/>
              <w:bottom w:sz="4" w:val="single" w:color="D9E2E7"/>
              <w:right w:sz="4" w:val="single" w:color="D9E2E7"/>
            </w:tcBorders>
          </w:tcPr>
          <w:p>
            <w:pPr>
              <w:spacing w:after="0"/>
            </w:pPr>
            <w:r>
              <w:rPr>
                <w:rFonts w:ascii="Aptos" w:hAnsi="Aptos"/>
                <w:color w:val="1F2937"/>
                <w:sz w:val="18"/>
              </w:rPr>
              <w:t>Affects adjustment and period lock design.</w:t>
            </w:r>
          </w:p>
        </w:tc>
      </w:tr>
    </w:tbl>
    <w:p>
      <w:pPr>
        <w:spacing w:after="40"/>
      </w:pPr>
    </w:p>
    <w:p>
      <w:pPr>
        <w:pStyle w:val="Heading1"/>
      </w:pPr>
      <w:r>
        <w:t>16. Source Inputs Considered</w:t>
      </w:r>
    </w:p>
    <w:p>
      <w:pPr>
        <w:spacing w:after="120" w:line="259" w:lineRule="auto"/>
      </w:pPr>
      <w:r>
        <w:rPr>
          <w:rFonts w:ascii="Aptos" w:hAnsi="Aptos"/>
          <w:b w:val="0"/>
          <w:i w:val="0"/>
          <w:color w:val="1F2937"/>
          <w:sz w:val="21"/>
        </w:rPr>
        <w:t>This updated PRD is based on the client BRD, the top-level compensation system requirements, the product-screen meeting notes, the additional calculation discussion, and the competitor demo MOM. The competitor demo was used only to identify client expectations and useful design patterns; this PRD keeps the POC simple and focused on the client’s immediate assignment needs.</w:t>
      </w:r>
    </w:p>
    <w:tbl>
      <w:tblPr>
        <w:tblW w:type="auto" w:w="0"/>
        <w:jc w:val="center"/>
        <w:tblLayout w:type="autofit"/>
        <w:tblLook w:firstColumn="1" w:firstRow="1" w:lastColumn="0" w:lastRow="0" w:noHBand="0" w:noVBand="1" w:val="04A0"/>
      </w:tblPr>
      <w:tblGrid>
        <w:gridCol w:w="10037"/>
      </w:tblGrid>
      <w:tr>
        <w:tc>
          <w:tcPr>
            <w:tcW w:type="dxa" w:w="10037"/>
            <w:shd w:fill="FFF3CD"/>
            <w:tcBorders>
              <w:top w:sz="8" w:val="single" w:color="D6A800"/>
              <w:left w:sz="8" w:val="single" w:color="D6A800"/>
              <w:bottom w:sz="8" w:val="single" w:color="D6A800"/>
              <w:right w:sz="8" w:val="single" w:color="D6A800"/>
            </w:tcBorders>
            <w:vAlign w:val="center"/>
          </w:tcPr>
          <w:p>
            <w:pPr>
              <w:spacing w:after="40"/>
            </w:pPr>
            <w:r>
              <w:rPr>
                <w:rFonts w:ascii="Aptos" w:hAnsi="Aptos"/>
                <w:b/>
                <w:i w:val="0"/>
                <w:color w:val="0A4F5A"/>
                <w:sz w:val="23"/>
              </w:rPr>
              <w:t>Final build rule</w:t>
            </w:r>
          </w:p>
          <w:p>
            <w:pPr>
              <w:spacing w:after="0"/>
            </w:pPr>
            <w:r>
              <w:rPr>
                <w:rFonts w:ascii="Aptos" w:hAnsi="Aptos"/>
                <w:b w:val="0"/>
                <w:i w:val="0"/>
                <w:color w:val="1F2937"/>
                <w:sz w:val="20"/>
              </w:rPr>
              <w:t>Build the POC as a real foundation, not a disposable demo. Keep the UI simple, keep the data model clean, avoid hardcoded rules, and make every future integration replace a mock input rather than forcing a rebuild.</w:t>
            </w:r>
          </w:p>
        </w:tc>
      </w:tr>
    </w:tbl>
    <w:p>
      <w:pPr>
        <w:spacing w:after="40"/>
      </w:pP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280"/>
        <w:sz w:val="16"/>
      </w:rPr>
      <w:t>POC scope uses mock data only. Future integrations are designed through reusable data contracts and adapters.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0A4F5A"/>
        <w:sz w:val="17"/>
      </w:rPr>
      <w:t>FSI POC PRD | Sales Attribution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ptos Display" w:hAnsi="Aptos Display"/>
      <w:b/>
      <w:bCs/>
      <w:color w:val="0A4F5A"/>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0F6674"/>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