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rPr>
          <w:rFonts w:ascii="Times New Roman" w:cs="Times New Roman" w:eastAsia="Times New Roman" w:hAnsi="Times New Roman"/>
          <w:b w:val="false"/>
          <w:bCs w:val="false"/>
          <w:color w:val="000000"/>
          <w:sz w:val="36"/>
          <w:szCs w:val="36"/>
        </w:rPr>
        <w:t xml:space="preserve">DAIRS: A Dynamic Adaptive Index for Resilience Scoring of Supply Chain Business Plans</w:t>
      </w:r>
    </w:p>
    <w:p>
      <w:pPr>
        <w:spacing w:after="80" w:before="0"/>
        <w:jc w:val="center"/>
      </w:pPr>
      <w:r>
        <w:rPr>
          <w:rFonts w:ascii="Times New Roman" w:cs="Times New Roman" w:eastAsia="Times New Roman" w:hAnsi="Times New Roman"/>
          <w:color w:val="000000"/>
          <w:sz w:val="24"/>
          <w:szCs w:val="24"/>
        </w:rPr>
        <w:t xml:space="preserve">Author Name¹, Co-Author Name¹, Third Author²</w:t>
      </w:r>
    </w:p>
    <w:p>
      <w:pPr>
        <w:spacing w:after="40" w:before="0"/>
        <w:jc w:val="center"/>
      </w:pPr>
      <w:r>
        <w:rPr>
          <w:rFonts w:ascii="Times New Roman" w:cs="Times New Roman" w:eastAsia="Times New Roman" w:hAnsi="Times New Roman"/>
          <w:i/>
          <w:iCs/>
          <w:color w:val="333333"/>
          <w:sz w:val="18"/>
          <w:szCs w:val="18"/>
        </w:rPr>
        <w:t xml:space="preserve">¹Department of Operations Management, Institution Name, City, Country</w:t>
      </w:r>
    </w:p>
    <w:p>
      <w:pPr>
        <w:spacing w:after="40" w:before="0"/>
        <w:jc w:val="center"/>
      </w:pPr>
      <w:r>
        <w:rPr>
          <w:rFonts w:ascii="Times New Roman" w:cs="Times New Roman" w:eastAsia="Times New Roman" w:hAnsi="Times New Roman"/>
          <w:i/>
          <w:iCs/>
          <w:color w:val="333333"/>
          <w:sz w:val="18"/>
          <w:szCs w:val="18"/>
        </w:rPr>
        <w:t xml:space="preserve">²Supply Chain Research Group, Institution Name, City, Country</w:t>
      </w:r>
    </w:p>
    <w:p>
      <w:pPr>
        <w:spacing w:after="200" w:before="0"/>
        <w:jc w:val="center"/>
      </w:pPr>
      <w:r>
        <w:rPr>
          <w:rFonts w:ascii="Times New Roman" w:cs="Times New Roman" w:eastAsia="Times New Roman" w:hAnsi="Times New Roman"/>
          <w:color w:val="333333"/>
          <w:sz w:val="18"/>
          <w:szCs w:val="18"/>
        </w:rPr>
        <w:t xml:space="preserve">{email@institution.edu}</w:t>
      </w:r>
    </w:p>
    <w:p>
      <w:pPr>
        <w:pBdr>
          <w:bottom w:val="single" w:color="000000" w:sz="2"/>
        </w:pBdr>
        <w:spacing w:after="160" w:before="0"/>
      </w:pPr>
      <w:r>
        <w:rPr>
          <w:rFonts w:ascii="Times New Roman" w:cs="Times New Roman" w:eastAsia="Times New Roman" w:hAnsi="Times New Roman"/>
          <w:color w:val="000000"/>
          <w:sz w:val="20"/>
          <w:szCs w:val="20"/>
        </w:rPr>
        <w:t xml:space="preserve"/>
      </w:r>
    </w:p>
    <w:p>
      <w:pPr>
        <w:spacing w:after="80" w:before="0"/>
        <w:jc w:val="both"/>
      </w:pPr>
      <w:r>
        <w:rPr>
          <w:rFonts w:ascii="Times New Roman" w:cs="Times New Roman" w:eastAsia="Times New Roman" w:hAnsi="Times New Roman"/>
          <w:b/>
          <w:bCs/>
          <w:color w:val="000000"/>
          <w:sz w:val="18"/>
          <w:szCs w:val="18"/>
        </w:rPr>
        <w:t xml:space="preserve">Abstract—</w:t>
      </w:r>
      <w:r>
        <w:rPr>
          <w:rFonts w:ascii="Times New Roman" w:cs="Times New Roman" w:eastAsia="Times New Roman" w:hAnsi="Times New Roman"/>
          <w:color w:val="000000"/>
          <w:sz w:val="18"/>
          <w:szCs w:val="18"/>
        </w:rPr>
        <w:t xml:space="preserve">Evaluating supply chain resilience in prospective business plans has remained underserved by existing quantitative frameworks, all of which were designed for operational supply chains with historical data. This paper introduces the Dynamic Adaptive Index for Resilience Scoring (DAIRS), a novel composite formula that addresses four structural limitations of prior work: (1) static component weights that ignore disruption phase, (2) linear independence assumptions that miss dangerous component interactions, (3) absence of temporal trajectory, and (4) exclusive focus on ex-post operational evaluation. DAIRS incorporates a phase-dependent weight vector, a non-linear interaction penalty term derived from the Herfindahl-Hirschman Index and single-point-of-failure analysis, a trajectory multiplier for plan improvement velocity, and a geometric evidence-quality discount function specifically calibrated for business plan assessment. The formula is validated through a worked case study on NutriFlow Pvt Ltd, a pre-revenue nutraceutical startup, yielding a score of 21.4/100 (Fragile) and generating prioritised remediation recommendations. Comparison with eight foundational papers confirms DAIRS addresses gaps absent from the Pettit-Fiksel-Croxton framework, Barroso et al.’s resilience triangle index, and Ahn and Tan’s IMF trade diversification model. The framework is positioned as the first ex-ante supply chain resilience scoring instrument with interaction-aware, phase-dynamic, and evidence-weighted properties.</w:t>
      </w:r>
    </w:p>
    <w:p>
      <w:pPr>
        <w:spacing w:after="160" w:before="0"/>
        <w:jc w:val="both"/>
      </w:pPr>
      <w:r>
        <w:rPr>
          <w:rFonts w:ascii="Times New Roman" w:cs="Times New Roman" w:eastAsia="Times New Roman" w:hAnsi="Times New Roman"/>
          <w:b/>
          <w:bCs/>
          <w:color w:val="000000"/>
          <w:sz w:val="18"/>
          <w:szCs w:val="18"/>
        </w:rPr>
        <w:t xml:space="preserve">Index Terms—</w:t>
      </w:r>
      <w:r>
        <w:rPr>
          <w:rFonts w:ascii="Times New Roman" w:cs="Times New Roman" w:eastAsia="Times New Roman" w:hAnsi="Times New Roman"/>
          <w:color w:val="000000"/>
          <w:sz w:val="18"/>
          <w:szCs w:val="18"/>
        </w:rPr>
        <w:t xml:space="preserve">supply chain resilience, business plan evaluation, composite index, ex-ante assessment, Herfindahl-Hirschman Index, single point of failure, dynamic weighting, interaction effects, DAIRS.</w:t>
      </w:r>
    </w:p>
    <w:p>
      <w:pPr>
        <w:pBdr>
          <w:bottom w:val="single" w:color="000000" w:sz="2"/>
        </w:pBdr>
        <w:spacing w:after="0" w:before="0"/>
      </w:pPr>
      <w:r>
        <w:rPr>
          <w:rFonts w:ascii="Times New Roman" w:cs="Times New Roman" w:eastAsia="Times New Roman" w:hAnsi="Times New Roman"/>
          <w:color w:val="000000"/>
          <w:sz w:val="20"/>
          <w:szCs w:val="20"/>
        </w:rPr>
        <w:t xml:space="preserve"/>
      </w:r>
    </w:p>
    <w:p>
      <w:pPr>
        <w:sectPr>
          <w:headerReference w:type="default" r:id="rId7"/>
          <w:footerReference w:type="default" r:id="rId8"/>
          <w:type w:val="continuous"/>
          <w:pgSz w:w="12240" w:h="15840" w:orient="portrait"/>
          <w:pgMar w:top="1080" w:right="1080" w:bottom="1080" w:left="1080" w:header="708" w:footer="708" w:gutter="0"/>
          <w:pgNumType/>
          <w:docGrid w:linePitch="360"/>
        </w:sectPr>
      </w:pPr>
    </w:p>
    <w:p>
      <w:pPr>
        <w:spacing w:after="80" w:before="160"/>
        <w:jc w:val="center"/>
      </w:pPr>
      <w:r>
        <w:rPr>
          <w:rFonts w:ascii="Times New Roman" w:cs="Times New Roman" w:eastAsia="Times New Roman" w:hAnsi="Times New Roman"/>
          <w:b/>
          <w:bCs/>
          <w:color w:val="000000"/>
          <w:sz w:val="20"/>
          <w:szCs w:val="20"/>
        </w:rPr>
        <w:t xml:space="preserve">I. INTRODUCTION</w:t>
      </w:r>
    </w:p>
    <w:p>
      <w:pPr>
        <w:spacing w:after="60" w:before="0" w:line="240"/>
        <w:jc w:val="both"/>
      </w:pPr>
      <w:r>
        <w:rPr>
          <w:rFonts w:ascii="Times New Roman" w:cs="Times New Roman" w:eastAsia="Times New Roman" w:hAnsi="Times New Roman"/>
          <w:color w:val="000000"/>
          <w:sz w:val="20"/>
          <w:szCs w:val="20"/>
        </w:rPr>
        <w:t xml:space="preserve">Supply chain resilience (SCR) research has accelerated substantially since the early 2000s, catalysed by catastrophic disruptions including the 2011 Tōhoku earthquake, the COVID-19 pandemic, and persistent geopolitical tensions [1], [2]. Despite a rich body of measurement frameworks, a critical application gap persists: virtually no existing quantitative index is designed for ex-ante evaluation of supply chains that do not yet exist—those described only in prospective business plans.</w:t>
      </w:r>
    </w:p>
    <w:p>
      <w:pPr>
        <w:spacing w:after="60" w:before="0" w:line="240"/>
        <w:ind w:firstLine="360"/>
        <w:jc w:val="both"/>
      </w:pPr>
      <w:r>
        <w:rPr>
          <w:rFonts w:ascii="Times New Roman" w:cs="Times New Roman" w:eastAsia="Times New Roman" w:hAnsi="Times New Roman"/>
          <w:color w:val="000000"/>
          <w:sz w:val="20"/>
          <w:szCs w:val="20"/>
        </w:rPr>
        <w:t xml:space="preserve">Investors, development finance institutions, and accelerators increasingly require structured resilience assessments of early-stage businesses before committing capital. Yet practitioners are forced to apply operational frameworks—designed for firms with supplier performance histories, ERP data, and logistics records—to documents containing only stated intentions and projections. The result is either a qualitative assessment lacking rigour or a misapplication of operational indices to inherently prospective contexts.</w:t>
      </w:r>
    </w:p>
    <w:p>
      <w:pPr>
        <w:spacing w:after="60" w:before="0" w:line="240"/>
        <w:ind w:firstLine="360"/>
        <w:jc w:val="both"/>
      </w:pPr>
      <w:r>
        <w:rPr>
          <w:rFonts w:ascii="Times New Roman" w:cs="Times New Roman" w:eastAsia="Times New Roman" w:hAnsi="Times New Roman"/>
          <w:color w:val="000000"/>
          <w:sz w:val="20"/>
          <w:szCs w:val="20"/>
        </w:rPr>
        <w:t xml:space="preserve">Existing composite SCR indices share four structural limitations when applied to business plans. First, they use fixed component weights that do not adapt to the disruption phase lifecycle (readiness, response, recovery, growth) identified by Hohenstein et al. [3]. Second, they assume component independence in linear aggregation, ignoring documented synergistic amplification between concentration risk and structural fragility [4]. Third, they are purely static, capturing only a point-in-time state with no mechanism for rewarding improving trajectories. Fourth, and most critically, they contain no mechanism for discounting scores based on evidence quality—a business plan that merely mentions supplier diversification is treated identically to one that names signed contracts.</w:t>
      </w:r>
    </w:p>
    <w:p>
      <w:pPr>
        <w:spacing w:after="60" w:before="0" w:line="240"/>
        <w:ind w:firstLine="360"/>
        <w:jc w:val="both"/>
      </w:pPr>
      <w:r>
        <w:rPr>
          <w:rFonts w:ascii="Times New Roman" w:cs="Times New Roman" w:eastAsia="Times New Roman" w:hAnsi="Times New Roman"/>
          <w:color w:val="000000"/>
          <w:sz w:val="20"/>
          <w:szCs w:val="20"/>
        </w:rPr>
        <w:t xml:space="preserve">This paper proposes DAIRS (Dynamic Adaptive Index for Resilience Scoring), a novel five-term formula that resolves each limitation. The contributions of this paper are fourfold: (i) a phase-dynamic weight vector calibrated to the four-phase SCR lifecycle; (ii) a non-linear interaction penalty derived from documented component synergies; (iii) a trajectory multiplier incorporating plan improvement velocity; and (iv) a geometric evidence-quality discount function calibrated specifically for business plan evaluation.</w:t>
      </w:r>
    </w:p>
    <w:p>
      <w:pPr>
        <w:spacing w:after="60" w:before="0" w:line="240"/>
        <w:ind w:firstLine="360"/>
        <w:jc w:val="both"/>
      </w:pPr>
      <w:r>
        <w:rPr>
          <w:rFonts w:ascii="Times New Roman" w:cs="Times New Roman" w:eastAsia="Times New Roman" w:hAnsi="Times New Roman"/>
          <w:color w:val="000000"/>
          <w:sz w:val="20"/>
          <w:szCs w:val="20"/>
        </w:rPr>
        <w:t xml:space="preserve">The paper proceeds as follows. Section II reviews the SCR measurement literature and identifies the four gaps. Section III presents the DAIRS formula and its five terms. Section IV derives sub-indices from business plan signals. Section V validates the framework through a numerical case study. Section VI discusses theoretical contributions and limitations. Section VII concludes.</w:t>
      </w:r>
    </w:p>
    <w:p>
      <w:pPr>
        <w:spacing w:after="80" w:before="160"/>
        <w:jc w:val="center"/>
      </w:pPr>
      <w:r>
        <w:rPr>
          <w:rFonts w:ascii="Times New Roman" w:cs="Times New Roman" w:eastAsia="Times New Roman" w:hAnsi="Times New Roman"/>
          <w:b/>
          <w:bCs/>
          <w:color w:val="000000"/>
          <w:sz w:val="20"/>
          <w:szCs w:val="20"/>
        </w:rPr>
        <w:t xml:space="preserve">II. LITERATURE REVIEW AND GAP ANALYSIS</w:t>
      </w:r>
    </w:p>
    <w:p>
      <w:pPr>
        <w:spacing w:after="60" w:before="100"/>
      </w:pPr>
      <w:r>
        <w:rPr>
          <w:rFonts w:ascii="Times New Roman" w:cs="Times New Roman" w:eastAsia="Times New Roman" w:hAnsi="Times New Roman"/>
          <w:b/>
          <w:bCs/>
          <w:i/>
          <w:iCs/>
          <w:color w:val="000000"/>
          <w:sz w:val="22"/>
          <w:szCs w:val="22"/>
        </w:rPr>
        <w:t xml:space="preserve">A. Supply Chain Resilience: Definitions and Dimensions</w:t>
      </w:r>
    </w:p>
    <w:p>
      <w:pPr>
        <w:spacing w:after="60" w:before="0" w:line="240"/>
        <w:jc w:val="both"/>
      </w:pPr>
      <w:r>
        <w:rPr>
          <w:rFonts w:ascii="Times New Roman" w:cs="Times New Roman" w:eastAsia="Times New Roman" w:hAnsi="Times New Roman"/>
          <w:color w:val="000000"/>
          <w:sz w:val="20"/>
          <w:szCs w:val="20"/>
        </w:rPr>
        <w:t xml:space="preserve">Supply chain resilience is broadly defined as the adaptive capability of a supply chain to prepare for unexpected events, respond to disruptions, and recover from them while maintaining continuity of operations [1]. Pettit, Fiksel, and Croxton [5] established the dominant measurement paradigm, proposing a two-dimensional framework of vulnerabilities and capabilities with a Zone of Balanced Resilience. Their 2013 follow-up introduced SCRAM™, validated across seven global manufacturing firms [6]. Ponomarov and Holcomb [7] provide a logistics-theoretic grounding, while Yang and Li [8] decompose SCR into absorptive, adaptive, and restorative capacities.</w:t>
      </w:r>
    </w:p>
    <w:p>
      <w:pPr>
        <w:spacing w:after="60" w:before="0" w:line="240"/>
        <w:ind w:firstLine="360"/>
        <w:jc w:val="both"/>
      </w:pPr>
      <w:r>
        <w:rPr>
          <w:rFonts w:ascii="Times New Roman" w:cs="Times New Roman" w:eastAsia="Times New Roman" w:hAnsi="Times New Roman"/>
          <w:color w:val="000000"/>
          <w:sz w:val="20"/>
          <w:szCs w:val="20"/>
        </w:rPr>
        <w:t xml:space="preserve">Singh, Soni, and Badhotiya [9] identify seventeen performance indicators through systematic literature review. Barroso, Machado, Carvalho, and Cruz Machado [10] propose a hierarchical resilience index based on the resilience triangle, acknowledging aggregation methodology as a primary source of index controversy. Ahn and Tan [11] provide the most recent macroeconomic grounding, demonstrating through a multi-country general equilibrium model that geographic concentration—measured by the Herfindahl-Hirschman Index (HHI)—and substitutability are the primary drivers of trade shock resilience.</w:t>
      </w:r>
    </w:p>
    <w:p>
      <w:pPr>
        <w:spacing w:after="60" w:before="100"/>
      </w:pPr>
      <w:r>
        <w:rPr>
          <w:rFonts w:ascii="Times New Roman" w:cs="Times New Roman" w:eastAsia="Times New Roman" w:hAnsi="Times New Roman"/>
          <w:b/>
          <w:bCs/>
          <w:i/>
          <w:iCs/>
          <w:color w:val="000000"/>
          <w:sz w:val="22"/>
          <w:szCs w:val="22"/>
        </w:rPr>
        <w:t xml:space="preserve">B. Composite Index Construction Methods</w:t>
      </w:r>
    </w:p>
    <w:p>
      <w:pPr>
        <w:spacing w:after="60" w:before="0" w:line="240"/>
        <w:jc w:val="both"/>
      </w:pPr>
      <w:r>
        <w:rPr>
          <w:rFonts w:ascii="Times New Roman" w:cs="Times New Roman" w:eastAsia="Times New Roman" w:hAnsi="Times New Roman"/>
          <w:color w:val="000000"/>
          <w:sz w:val="20"/>
          <w:szCs w:val="20"/>
        </w:rPr>
        <w:t xml:space="preserve">Composite indicator construction involves four methodological choices: component selection, normalisation, weighting, and aggregation [10]. Linear additive aggregation is standard but assumes component independence and full compensability—poor performance on one index can be offset by strength on another. The multiplicative aggregation relaxes compensability but complicates interpretation. Geometric aggregation, used in the Human Development Index, penalises extreme low values non-linearly [12]. No existing SCR composite index employs geometric aggregation of evidence quality.</w:t>
      </w:r>
    </w:p>
    <w:p>
      <w:pPr>
        <w:spacing w:after="60" w:before="100"/>
      </w:pPr>
      <w:r>
        <w:rPr>
          <w:rFonts w:ascii="Times New Roman" w:cs="Times New Roman" w:eastAsia="Times New Roman" w:hAnsi="Times New Roman"/>
          <w:b/>
          <w:bCs/>
          <w:i/>
          <w:iCs/>
          <w:color w:val="000000"/>
          <w:sz w:val="22"/>
          <w:szCs w:val="22"/>
        </w:rPr>
        <w:t xml:space="preserve">C. Identified Gaps in Existing Frameworks</w:t>
      </w:r>
    </w:p>
    <w:p>
      <w:pPr>
        <w:spacing w:after="60" w:before="0" w:line="240"/>
        <w:jc w:val="both"/>
      </w:pPr>
      <w:r>
        <w:rPr>
          <w:rFonts w:ascii="Times New Roman" w:cs="Times New Roman" w:eastAsia="Times New Roman" w:hAnsi="Times New Roman"/>
          <w:color w:val="000000"/>
          <w:sz w:val="20"/>
          <w:szCs w:val="20"/>
        </w:rPr>
        <w:t xml:space="preserve">Four structural gaps are identified from the literature:</w:t>
      </w:r>
    </w:p>
    <w:p>
      <w:pPr>
        <w:pStyle w:val="ListParagraph"/>
        <w:numPr>
          <w:ilvl w:val="0"/>
          <w:numId w:val="2"/>
        </w:numPr>
        <w:spacing w:after="40" w:before="40" w:line="240"/>
        <w:jc w:val="both"/>
      </w:pPr>
      <w:r>
        <w:rPr>
          <w:rFonts w:ascii="Times New Roman" w:cs="Times New Roman" w:eastAsia="Times New Roman" w:hAnsi="Times New Roman"/>
          <w:b/>
          <w:bCs/>
          <w:color w:val="000000"/>
          <w:sz w:val="20"/>
          <w:szCs w:val="20"/>
        </w:rPr>
        <w:t xml:space="preserve">Gap 1—Fixed Weights: </w:t>
      </w:r>
      <w:r>
        <w:rPr>
          <w:rFonts w:ascii="Times New Roman" w:cs="Times New Roman" w:eastAsia="Times New Roman" w:hAnsi="Times New Roman"/>
          <w:color w:val="000000"/>
          <w:sz w:val="20"/>
          <w:szCs w:val="20"/>
        </w:rPr>
        <w:t xml:space="preserve">All reviewed frameworks use static weights irrespective of lifecycle phase. Hohenstein et al. [3] identify four SCR phases (readiness, response, recovery, growth) with substantively different strategic priorities, yet no index adapts its weights to phase context.</w:t>
      </w:r>
    </w:p>
    <w:p>
      <w:pPr>
        <w:pStyle w:val="ListParagraph"/>
        <w:numPr>
          <w:ilvl w:val="0"/>
          <w:numId w:val="3"/>
        </w:numPr>
        <w:spacing w:after="40" w:before="40" w:line="240"/>
        <w:jc w:val="both"/>
      </w:pPr>
      <w:r>
        <w:rPr>
          <w:rFonts w:ascii="Times New Roman" w:cs="Times New Roman" w:eastAsia="Times New Roman" w:hAnsi="Times New Roman"/>
          <w:b/>
          <w:bCs/>
          <w:color w:val="000000"/>
          <w:sz w:val="20"/>
          <w:szCs w:val="20"/>
        </w:rPr>
        <w:t xml:space="preserve">Gap 2—Linear Independence: </w:t>
      </w:r>
      <w:r>
        <w:rPr>
          <w:rFonts w:ascii="Times New Roman" w:cs="Times New Roman" w:eastAsia="Times New Roman" w:hAnsi="Times New Roman"/>
          <w:color w:val="000000"/>
          <w:sz w:val="20"/>
          <w:szCs w:val="20"/>
        </w:rPr>
        <w:t xml:space="preserve">Barroso et al. [10] explicitly acknowledge that linear additive aggregation requires component independence—an assumption documented to fail when supplier concentration (SCI) co-occurs with structural fragility (SPOF). No reviewed index includes interaction terms.</w:t>
      </w:r>
    </w:p>
    <w:p>
      <w:pPr>
        <w:pStyle w:val="ListParagraph"/>
        <w:numPr>
          <w:ilvl w:val="0"/>
          <w:numId w:val="4"/>
        </w:numPr>
        <w:spacing w:after="40" w:before="40" w:line="240"/>
        <w:jc w:val="both"/>
      </w:pPr>
      <w:r>
        <w:rPr>
          <w:rFonts w:ascii="Times New Roman" w:cs="Times New Roman" w:eastAsia="Times New Roman" w:hAnsi="Times New Roman"/>
          <w:b/>
          <w:bCs/>
          <w:color w:val="000000"/>
          <w:sz w:val="20"/>
          <w:szCs w:val="20"/>
        </w:rPr>
        <w:t xml:space="preserve">Gap 3—No Temporal Dimension: </w:t>
      </w:r>
      <w:r>
        <w:rPr>
          <w:rFonts w:ascii="Times New Roman" w:cs="Times New Roman" w:eastAsia="Times New Roman" w:hAnsi="Times New Roman"/>
          <w:color w:val="000000"/>
          <w:sz w:val="20"/>
          <w:szCs w:val="20"/>
        </w:rPr>
        <w:t xml:space="preserve">Resilience is a dynamic property [8], yet all composite indices produce point-in-time scores. Dynamic SCR literature shows chains follow a 'first decline, then rise' trajectory [13] with no mechanism for rewarding planned improvement velocity.</w:t>
      </w:r>
    </w:p>
    <w:p>
      <w:pPr>
        <w:pStyle w:val="ListParagraph"/>
        <w:numPr>
          <w:ilvl w:val="0"/>
          <w:numId w:val="5"/>
        </w:numPr>
        <w:spacing w:after="40" w:before="40" w:line="240"/>
        <w:jc w:val="both"/>
      </w:pPr>
      <w:r>
        <w:rPr>
          <w:rFonts w:ascii="Times New Roman" w:cs="Times New Roman" w:eastAsia="Times New Roman" w:hAnsi="Times New Roman"/>
          <w:b/>
          <w:bCs/>
          <w:color w:val="000000"/>
          <w:sz w:val="20"/>
          <w:szCs w:val="20"/>
        </w:rPr>
        <w:t xml:space="preserve">Gap 4—No Ex-Ante Instrument: </w:t>
      </w:r>
      <w:r>
        <w:rPr>
          <w:rFonts w:ascii="Times New Roman" w:cs="Times New Roman" w:eastAsia="Times New Roman" w:hAnsi="Times New Roman"/>
          <w:color w:val="000000"/>
          <w:sz w:val="20"/>
          <w:szCs w:val="20"/>
        </w:rPr>
        <w:t xml:space="preserve">All reviewed frameworks target operational supply chains with empirical data. No instrument exists for scoring a supply chain described only in a prospective business plan, where evidence quality varies from signed contracts to unsubstantiated assertions.</w:t>
      </w:r>
    </w:p>
    <w:p>
      <w:pPr>
        <w:spacing w:after="60" w:before="0"/>
      </w:pPr>
      <w:r>
        <w:rPr>
          <w:rFonts w:ascii="Times New Roman" w:cs="Times New Roman" w:eastAsia="Times New Roman" w:hAnsi="Times New Roman"/>
          <w:color w:val="000000"/>
          <w:sz w:val="20"/>
          <w:szCs w:val="20"/>
        </w:rPr>
        <w:t xml:space="preserve"/>
      </w:r>
    </w:p>
    <w:p>
      <w:pPr>
        <w:spacing w:after="80" w:before="160"/>
        <w:jc w:val="center"/>
      </w:pPr>
      <w:r>
        <w:rPr>
          <w:rFonts w:ascii="Times New Roman" w:cs="Times New Roman" w:eastAsia="Times New Roman" w:hAnsi="Times New Roman"/>
          <w:b/>
          <w:bCs/>
          <w:color w:val="000000"/>
          <w:sz w:val="20"/>
          <w:szCs w:val="20"/>
        </w:rPr>
        <w:t xml:space="preserve">III. THE DAIRS FRAMEWORK</w:t>
      </w:r>
    </w:p>
    <w:p>
      <w:pPr>
        <w:spacing w:after="60" w:before="100"/>
      </w:pPr>
      <w:r>
        <w:rPr>
          <w:rFonts w:ascii="Times New Roman" w:cs="Times New Roman" w:eastAsia="Times New Roman" w:hAnsi="Times New Roman"/>
          <w:b/>
          <w:bCs/>
          <w:i/>
          <w:iCs/>
          <w:color w:val="000000"/>
          <w:sz w:val="22"/>
          <w:szCs w:val="22"/>
        </w:rPr>
        <w:t xml:space="preserve">A. Formula Overview</w:t>
      </w:r>
    </w:p>
    <w:p>
      <w:pPr>
        <w:spacing w:after="60" w:before="0" w:line="240"/>
        <w:jc w:val="both"/>
      </w:pPr>
      <w:r>
        <w:rPr>
          <w:rFonts w:ascii="Times New Roman" w:cs="Times New Roman" w:eastAsia="Times New Roman" w:hAnsi="Times New Roman"/>
          <w:color w:val="000000"/>
          <w:sz w:val="20"/>
          <w:szCs w:val="20"/>
        </w:rPr>
        <w:t xml:space="preserve">The Dynamic Adaptive Index for Resilience Scoring (DAIRS) is defined as:</w:t>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DAIRS = 100 × Φ(τ) × [Σ wᵢ(τ) · Cᵢ] × [1 − λΩ(C)] × [1 + μΔD/Δt] × Ψ</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(1)</w:t>
      </w:r>
    </w:p>
    <w:p>
      <w:pPr>
        <w:spacing w:after="60" w:before="0" w:line="240"/>
        <w:ind w:firstLine="360"/>
        <w:jc w:val="both"/>
      </w:pPr>
      <w:r>
        <w:rPr>
          <w:rFonts w:ascii="Times New Roman" w:cs="Times New Roman" w:eastAsia="Times New Roman" w:hAnsi="Times New Roman"/>
          <w:color w:val="000000"/>
          <w:sz w:val="20"/>
          <w:szCs w:val="20"/>
        </w:rPr>
        <w:t xml:space="preserve">where Φ(τ) is the phase modulator, Σ wᵢ(τ)·Cᵢ is the phase-dynamic weighted component sum, [1−λΩ(C)] is the interaction penalty, [1+μΔD/Δt] is the trajectory multiplier, and Ψ is the evidence-quality discount. Each term addresses one identified gap.</w:t>
      </w:r>
    </w:p>
    <w:p>
      <w:pPr>
        <w:spacing w:after="60" w:before="100"/>
      </w:pPr>
      <w:r>
        <w:rPr>
          <w:rFonts w:ascii="Times New Roman" w:cs="Times New Roman" w:eastAsia="Times New Roman" w:hAnsi="Times New Roman"/>
          <w:b/>
          <w:bCs/>
          <w:i/>
          <w:iCs/>
          <w:color w:val="000000"/>
          <w:sz w:val="22"/>
          <w:szCs w:val="22"/>
        </w:rPr>
        <w:t xml:space="preserve">B. Term 1: Phase Modulator Φ(τ)</w:t>
      </w:r>
    </w:p>
    <w:p>
      <w:pPr>
        <w:spacing w:after="60" w:before="0" w:line="240"/>
        <w:jc w:val="both"/>
      </w:pPr>
      <w:r>
        <w:rPr>
          <w:rFonts w:ascii="Times New Roman" w:cs="Times New Roman" w:eastAsia="Times New Roman" w:hAnsi="Times New Roman"/>
          <w:color w:val="000000"/>
          <w:sz w:val="20"/>
          <w:szCs w:val="20"/>
        </w:rPr>
        <w:t xml:space="preserve">Following Hohenstein et al. [3], the DAIRS lifecycle comprises four phases. The phase modulator scales the composite score to reflect the strategic context of evaluation:</w:t>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Φ(τ) = {1.00 readiness; 0.85 response; 0.90 recovery; 1.10 growth}</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(2)</w:t>
      </w:r>
    </w:p>
    <w:p>
      <w:pPr>
        <w:spacing w:after="60" w:before="0" w:line="240"/>
        <w:ind w:firstLine="360"/>
        <w:jc w:val="both"/>
      </w:pPr>
      <w:r>
        <w:rPr>
          <w:rFonts w:ascii="Times New Roman" w:cs="Times New Roman" w:eastAsia="Times New Roman" w:hAnsi="Times New Roman"/>
          <w:color w:val="000000"/>
          <w:sz w:val="20"/>
          <w:szCs w:val="20"/>
        </w:rPr>
        <w:t xml:space="preserve">Business plan evaluation always occurs at τ = readiness, yielding Φ = 1.00. The response discount (0.85) reflects that any chain under active disruption is structurally compromised regardless of its design. The growth premium (1.10) rewards demonstrated post-disruption improvement, consistent with dynamic capability theory [14].</w:t>
      </w:r>
    </w:p>
    <w:p>
      <w:pPr>
        <w:spacing w:after="60" w:before="100"/>
      </w:pPr>
      <w:r>
        <w:rPr>
          <w:rFonts w:ascii="Times New Roman" w:cs="Times New Roman" w:eastAsia="Times New Roman" w:hAnsi="Times New Roman"/>
          <w:b/>
          <w:bCs/>
          <w:i/>
          <w:iCs/>
          <w:color w:val="000000"/>
          <w:sz w:val="22"/>
          <w:szCs w:val="22"/>
        </w:rPr>
        <w:t xml:space="preserve">C. Term 2: Phase-Dynamic Weighted Components</w:t>
      </w:r>
    </w:p>
    <w:p>
      <w:pPr>
        <w:spacing w:after="60" w:before="0" w:line="240"/>
        <w:jc w:val="both"/>
      </w:pPr>
      <w:r>
        <w:rPr>
          <w:rFonts w:ascii="Times New Roman" w:cs="Times New Roman" w:eastAsia="Times New Roman" w:hAnsi="Times New Roman"/>
          <w:color w:val="000000"/>
          <w:sz w:val="20"/>
          <w:szCs w:val="20"/>
        </w:rPr>
        <w:t xml:space="preserve">Eight sub-indices Cᵢ ∈ [0,1] are computed from business plan signals (Section IV). Component weights wᵢ(τ) shift across phases to reflect the relative importance of each dimension at that lifecycle stage. During response, SPOF and LDI receive maximum weights; during growth, FSI and LTBI dominate.</w:t>
      </w:r>
    </w:p>
    <w:p>
      <w:pPr>
        <w:spacing w:after="40" w:before="120"/>
        <w:jc w:val="center"/>
      </w:pPr>
      <w:r>
        <w:rPr>
          <w:rFonts w:ascii="Times New Roman" w:cs="Times New Roman" w:eastAsia="Times New Roman" w:hAnsi="Times New Roman"/>
          <w:b/>
          <w:bCs/>
          <w:color w:val="000000"/>
          <w:sz w:val="18"/>
          <w:szCs w:val="18"/>
        </w:rPr>
        <w:t xml:space="preserve">TABLE I
DAIRS COMPONENT WEIGHTS BY PHASE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400"/>
        <w:gridCol w:w="860"/>
        <w:gridCol w:w="860"/>
        <w:gridCol w:w="860"/>
        <w:gridCol w:w="880"/>
      </w:tblGrid>
      <w:tr>
        <w:tc>
          <w:tcPr>
            <w:tcW w:type="dxa" w:w="140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Component</w:t>
            </w:r>
          </w:p>
        </w:tc>
        <w:tc>
          <w:tcPr>
            <w:tcW w:type="dxa" w:w="86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Readiness</w:t>
            </w:r>
          </w:p>
        </w:tc>
        <w:tc>
          <w:tcPr>
            <w:tcW w:type="dxa" w:w="86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Response</w:t>
            </w:r>
          </w:p>
        </w:tc>
        <w:tc>
          <w:tcPr>
            <w:tcW w:type="dxa" w:w="86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Recovery</w:t>
            </w:r>
          </w:p>
        </w:tc>
        <w:tc>
          <w:tcPr>
            <w:tcW w:type="dxa" w:w="88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Growth</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(1−SCI)</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0.20</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0.15</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0.12</w:t>
            </w:r>
          </w:p>
        </w:tc>
        <w:tc>
          <w:tcPr>
            <w:tcW w:type="dxa" w:w="8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0.10</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(1−LDIₜᵡ)</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0.13</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0.20</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0.18</w:t>
            </w:r>
          </w:p>
        </w:tc>
        <w:tc>
          <w:tcPr>
            <w:tcW w:type="dxa" w:w="88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0.10</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(1−SPOF)</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0.22</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0.25</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0.20</w:t>
            </w:r>
          </w:p>
        </w:tc>
        <w:tc>
          <w:tcPr>
            <w:tcW w:type="dxa" w:w="8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0.15</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GDI</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0.13</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0.10</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0.12</w:t>
            </w:r>
          </w:p>
        </w:tc>
        <w:tc>
          <w:tcPr>
            <w:tcW w:type="dxa" w:w="88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0.13</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FSI</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0.12</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0.15</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0.18</w:t>
            </w:r>
          </w:p>
        </w:tc>
        <w:tc>
          <w:tcPr>
            <w:tcW w:type="dxa" w:w="8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0.20</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VI</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0.08</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0.10</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0.10</w:t>
            </w:r>
          </w:p>
        </w:tc>
        <w:tc>
          <w:tcPr>
            <w:tcW w:type="dxa" w:w="88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0.12</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LTBI</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0.07</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0.03</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0.06</w:t>
            </w:r>
          </w:p>
        </w:tc>
        <w:tc>
          <w:tcPr>
            <w:tcW w:type="dxa" w:w="88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0.12</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SI</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0.05</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0.02</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0.04</w:t>
            </w:r>
          </w:p>
        </w:tc>
        <w:tc>
          <w:tcPr>
            <w:tcW w:type="dxa" w:w="88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0.08</w:t>
            </w:r>
          </w:p>
        </w:tc>
      </w:tr>
    </w:tbl>
    <w:p>
      <w:pPr>
        <w:spacing w:after="80" w:before="0"/>
      </w:pPr>
      <w:r>
        <w:rPr>
          <w:rFonts w:ascii="Times New Roman" w:cs="Times New Roman" w:eastAsia="Times New Roman" w:hAnsi="Times New Roman"/>
          <w:color w:val="000000"/>
          <w:sz w:val="20"/>
          <w:szCs w:val="20"/>
        </w:rPr>
        <w:t xml:space="preserve"/>
      </w:r>
    </w:p>
    <w:p>
      <w:pPr>
        <w:spacing w:after="60" w:before="100"/>
      </w:pPr>
      <w:r>
        <w:rPr>
          <w:rFonts w:ascii="Times New Roman" w:cs="Times New Roman" w:eastAsia="Times New Roman" w:hAnsi="Times New Roman"/>
          <w:b/>
          <w:bCs/>
          <w:i/>
          <w:iCs/>
          <w:color w:val="000000"/>
          <w:sz w:val="22"/>
          <w:szCs w:val="22"/>
        </w:rPr>
        <w:t xml:space="preserve">D. Term 3: Interaction Penalty Ω(C)</w:t>
      </w:r>
    </w:p>
    <w:p>
      <w:pPr>
        <w:spacing w:after="60" w:before="0" w:line="240"/>
        <w:jc w:val="both"/>
      </w:pPr>
      <w:r>
        <w:rPr>
          <w:rFonts w:ascii="Times New Roman" w:cs="Times New Roman" w:eastAsia="Times New Roman" w:hAnsi="Times New Roman"/>
          <w:color w:val="000000"/>
          <w:sz w:val="20"/>
          <w:szCs w:val="20"/>
        </w:rPr>
        <w:t xml:space="preserve">The interaction penalty captures three documented synergistic amplification effects identified from the empirical literature:</w:t>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Ω(C) = α₁(SCI×SPOF) + β₁(SCI×(1−GDI)) + γ₁(SPOF×LDI)</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(3)</w:t>
      </w:r>
    </w:p>
    <w:p>
      <w:pPr>
        <w:spacing w:after="60" w:before="0" w:line="240"/>
        <w:ind w:firstLine="360"/>
        <w:jc w:val="both"/>
      </w:pPr>
      <w:r>
        <w:rPr>
          <w:rFonts w:ascii="Times New Roman" w:cs="Times New Roman" w:eastAsia="Times New Roman" w:hAnsi="Times New Roman"/>
          <w:color w:val="000000"/>
          <w:sz w:val="20"/>
          <w:szCs w:val="20"/>
        </w:rPr>
        <w:t xml:space="preserve">with α₁ = 0.15, β₁ = 0.10, γ₁ = 0.08 and λ = 0.20. The first term captures the catastrophic compounding of concentrated sourcing with structural single points of failure. The second captures geographic co-location of concentrated suppliers. The third captures the recovery-time amplification when variable lead times coincide with structural fragility. The maximum possible penalty is 20% score reduction, occurring when all three risk pairs are simultaneously at maximum.</w:t>
      </w:r>
    </w:p>
    <w:p>
      <w:pPr>
        <w:spacing w:after="60" w:before="100"/>
      </w:pPr>
      <w:r>
        <w:rPr>
          <w:rFonts w:ascii="Times New Roman" w:cs="Times New Roman" w:eastAsia="Times New Roman" w:hAnsi="Times New Roman"/>
          <w:b/>
          <w:bCs/>
          <w:i/>
          <w:iCs/>
          <w:color w:val="000000"/>
          <w:sz w:val="22"/>
          <w:szCs w:val="22"/>
        </w:rPr>
        <w:t xml:space="preserve">E. Term 4: Trajectory Multiplier</w:t>
      </w:r>
    </w:p>
    <w:p>
      <w:pPr>
        <w:spacing w:after="60" w:before="0" w:line="240"/>
        <w:jc w:val="both"/>
      </w:pPr>
      <w:r>
        <w:rPr>
          <w:rFonts w:ascii="Times New Roman" w:cs="Times New Roman" w:eastAsia="Times New Roman" w:hAnsi="Times New Roman"/>
          <w:color w:val="000000"/>
          <w:sz w:val="20"/>
          <w:szCs w:val="20"/>
        </w:rPr>
        <w:t xml:space="preserve">The trajectory multiplier rewards improving resilience trajectories, operationalising the dynamic property of SCR identified by Yang and Li [8]:</w:t>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[1 + μ · (ΔDAIRS / Δt)]</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(4)</w:t>
      </w:r>
    </w:p>
    <w:p>
      <w:pPr>
        <w:spacing w:after="60" w:before="0" w:line="240"/>
        <w:ind w:firstLine="360"/>
        <w:jc w:val="both"/>
      </w:pPr>
      <w:r>
        <w:rPr>
          <w:rFonts w:ascii="Times New Roman" w:cs="Times New Roman" w:eastAsia="Times New Roman" w:hAnsi="Times New Roman"/>
          <w:color w:val="000000"/>
          <w:sz w:val="20"/>
          <w:szCs w:val="20"/>
        </w:rPr>
        <w:t xml:space="preserve">where μ = 0.05 (dampening factor bounding the trajectory effect to ±5% per period). For business plan evaluation, ΔDAIRS/Δt is estimated from the plan's stated milestones—e.g., dual-sourcing by Q3 and ERP deployment by Q2 Year 2—converted to their projected DAIRS point impact.</w:t>
      </w:r>
    </w:p>
    <w:p>
      <w:pPr>
        <w:spacing w:after="60" w:before="100"/>
      </w:pPr>
      <w:r>
        <w:rPr>
          <w:rFonts w:ascii="Times New Roman" w:cs="Times New Roman" w:eastAsia="Times New Roman" w:hAnsi="Times New Roman"/>
          <w:b/>
          <w:bCs/>
          <w:i/>
          <w:iCs/>
          <w:color w:val="000000"/>
          <w:sz w:val="22"/>
          <w:szCs w:val="22"/>
        </w:rPr>
        <w:t xml:space="preserve">F. Term 5: Evidence-Quality Discount Ψ</w:t>
      </w:r>
    </w:p>
    <w:p>
      <w:pPr>
        <w:spacing w:after="60" w:before="0" w:line="240"/>
        <w:jc w:val="both"/>
      </w:pPr>
      <w:r>
        <w:rPr>
          <w:rFonts w:ascii="Times New Roman" w:cs="Times New Roman" w:eastAsia="Times New Roman" w:hAnsi="Times New Roman"/>
          <w:color w:val="000000"/>
          <w:sz w:val="20"/>
          <w:szCs w:val="20"/>
        </w:rPr>
        <w:t xml:space="preserve">The evidence-quality discount is the most novel term of DAIRS. Since business plans contain stated intentions rather than operational data, each component score Cᵢ carries an evidence quality rating eᵢ ∈ [0,1]:</w:t>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Ψ = exp(Σ wᵢ · ln(eᵢ) / Σwᵢ)</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(5)</w:t>
      </w:r>
    </w:p>
    <w:p>
      <w:pPr>
        <w:spacing w:after="60" w:before="0" w:line="240"/>
        <w:ind w:firstLine="360"/>
        <w:jc w:val="both"/>
      </w:pPr>
      <w:r>
        <w:rPr>
          <w:rFonts w:ascii="Times New Roman" w:cs="Times New Roman" w:eastAsia="Times New Roman" w:hAnsi="Times New Roman"/>
          <w:color w:val="000000"/>
          <w:sz w:val="20"/>
          <w:szCs w:val="20"/>
        </w:rPr>
        <w:t xml:space="preserve">This geometric weighted mean differs fundamentally from a simple average: a single component with near-zero evidence quality cannot be compensated by thoroughness elsewhere. Five evidence quality levels are defined: quantified with signed contracts (e = 1.00), quantified but unverified (0.80), qualitative strategy stated (0.60), mentioned as risk with no plan (0.35), and dimension absent from plan (0.10). The geometric structure reflects the epistemological position that an investor cannot safely ignore a blind spot, regardless of how well other dimensions are documented.</w:t>
      </w:r>
    </w:p>
    <w:p>
      <w:pPr>
        <w:spacing w:after="80" w:before="160"/>
        <w:jc w:val="center"/>
      </w:pPr>
      <w:r>
        <w:rPr>
          <w:rFonts w:ascii="Times New Roman" w:cs="Times New Roman" w:eastAsia="Times New Roman" w:hAnsi="Times New Roman"/>
          <w:b/>
          <w:bCs/>
          <w:color w:val="000000"/>
          <w:sz w:val="20"/>
          <w:szCs w:val="20"/>
        </w:rPr>
        <w:t xml:space="preserve">IV. SUB-INDEX DERIVATION FROM BUSINESS PLANS</w:t>
      </w:r>
    </w:p>
    <w:p>
      <w:pPr>
        <w:spacing w:after="60" w:before="100"/>
      </w:pPr>
      <w:r>
        <w:rPr>
          <w:rFonts w:ascii="Times New Roman" w:cs="Times New Roman" w:eastAsia="Times New Roman" w:hAnsi="Times New Roman"/>
          <w:b/>
          <w:bCs/>
          <w:i/>
          <w:iCs/>
          <w:color w:val="000000"/>
          <w:sz w:val="22"/>
          <w:szCs w:val="22"/>
        </w:rPr>
        <w:t xml:space="preserve">A. Risk Indices (Inverted)</w:t>
      </w:r>
    </w:p>
    <w:p>
      <w:pPr>
        <w:spacing w:after="60" w:before="0" w:line="240"/>
        <w:jc w:val="both"/>
      </w:pPr>
      <w:r>
        <w:rPr>
          <w:rFonts w:ascii="Times New Roman" w:cs="Times New Roman" w:eastAsia="Times New Roman" w:hAnsi="Times New Roman"/>
          <w:color w:val="000000"/>
          <w:sz w:val="20"/>
          <w:szCs w:val="20"/>
        </w:rPr>
        <w:t xml:space="preserve">The three risk indices use inversion [1−x] so that higher scores always indicate greater resilience. SCI is derived from the HHI of supplier spend shares [11]: SCI = Σ sᵢ² where sᵢ is the share of spend with supplier i. LDI is the coefficient of variation of lead times, tier-weighted: LDIₜᵡ = (0.5σₜ₁ + 0.3σₜ₂ + 0.2σₜ₃)/μ. Tier weighting reflects documented upstream propagation and bullwhip amplification [4]. SPOF is the ratio of critical nodes without backup to total critical nodes.</w:t>
      </w:r>
    </w:p>
    <w:p>
      <w:pPr>
        <w:spacing w:after="60" w:before="100"/>
      </w:pPr>
      <w:r>
        <w:rPr>
          <w:rFonts w:ascii="Times New Roman" w:cs="Times New Roman" w:eastAsia="Times New Roman" w:hAnsi="Times New Roman"/>
          <w:b/>
          <w:bCs/>
          <w:i/>
          <w:iCs/>
          <w:color w:val="000000"/>
          <w:sz w:val="22"/>
          <w:szCs w:val="22"/>
        </w:rPr>
        <w:t xml:space="preserve">B. Resilience Indices (Direct)</w:t>
      </w:r>
    </w:p>
    <w:p>
      <w:pPr>
        <w:spacing w:after="60" w:before="0" w:line="240"/>
        <w:jc w:val="both"/>
      </w:pPr>
      <w:r>
        <w:rPr>
          <w:rFonts w:ascii="Times New Roman" w:cs="Times New Roman" w:eastAsia="Times New Roman" w:hAnsi="Times New Roman"/>
          <w:color w:val="000000"/>
          <w:sz w:val="20"/>
          <w:szCs w:val="20"/>
        </w:rPr>
        <w:t xml:space="preserve">GDI (Geographic Diversification Index) is the inverse-HHI across geographies: GDI = 1−Σ gᵣ² [11]. FSI (Financial Strength Index) is a composite: FSI = 0.4(min(CR,2)/2) + 0.3(runwayₘₒⁿₜₕₛ/12) + 0.3(creditworthy suppliers/total). VI (Visibility Index) is tier-weighted: VI = (0.5T₁ + 0.3T₂ + 0.2T₃)/100. LTBI is the fraction of key suppliers with contracts exceeding two years. SI is the fraction of critical components with qualified alternate sources [9].</w:t>
      </w:r>
    </w:p>
    <w:p>
      <w:pPr>
        <w:spacing w:after="60" w:before="100"/>
      </w:pPr>
      <w:r>
        <w:rPr>
          <w:rFonts w:ascii="Times New Roman" w:cs="Times New Roman" w:eastAsia="Times New Roman" w:hAnsi="Times New Roman"/>
          <w:b/>
          <w:bCs/>
          <w:i/>
          <w:iCs/>
          <w:color w:val="000000"/>
          <w:sz w:val="22"/>
          <w:szCs w:val="22"/>
        </w:rPr>
        <w:t xml:space="preserve">C. Business Plan Signal Mapping</w:t>
      </w:r>
    </w:p>
    <w:p>
      <w:pPr>
        <w:spacing w:after="60" w:before="0" w:line="240"/>
        <w:jc w:val="both"/>
      </w:pPr>
      <w:r>
        <w:rPr>
          <w:rFonts w:ascii="Times New Roman" w:cs="Times New Roman" w:eastAsia="Times New Roman" w:hAnsi="Times New Roman"/>
          <w:color w:val="000000"/>
          <w:sz w:val="20"/>
          <w:szCs w:val="20"/>
        </w:rPr>
        <w:t xml:space="preserve">Evaluators assign each component score from business plan text signals. When exact data are unavailable, conservative proxies are used (e.g., a 1-year MOU is treated as half a long-term contract). Evidence quality is assessed independently for each component from the explicitness and verifiability of the plan's statements. Absence of any mention of a dimension mandates eᵢ = 0.10.</w:t>
      </w:r>
    </w:p>
    <w:p>
      <w:pPr>
        <w:spacing w:after="80" w:before="160"/>
        <w:jc w:val="center"/>
      </w:pPr>
      <w:r>
        <w:rPr>
          <w:rFonts w:ascii="Times New Roman" w:cs="Times New Roman" w:eastAsia="Times New Roman" w:hAnsi="Times New Roman"/>
          <w:b/>
          <w:bCs/>
          <w:color w:val="000000"/>
          <w:sz w:val="20"/>
          <w:szCs w:val="20"/>
        </w:rPr>
        <w:t xml:space="preserve">V. CASE STUDY: NUTRIFLOW PVT LTD</w:t>
      </w:r>
    </w:p>
    <w:p>
      <w:pPr>
        <w:spacing w:after="60" w:before="100"/>
      </w:pPr>
      <w:r>
        <w:rPr>
          <w:rFonts w:ascii="Times New Roman" w:cs="Times New Roman" w:eastAsia="Times New Roman" w:hAnsi="Times New Roman"/>
          <w:b/>
          <w:bCs/>
          <w:i/>
          <w:iCs/>
          <w:color w:val="000000"/>
          <w:sz w:val="22"/>
          <w:szCs w:val="22"/>
        </w:rPr>
        <w:t xml:space="preserve">A. Company Profile</w:t>
      </w:r>
    </w:p>
    <w:p>
      <w:pPr>
        <w:spacing w:after="60" w:before="0" w:line="240"/>
        <w:jc w:val="both"/>
      </w:pPr>
      <w:r>
        <w:rPr>
          <w:rFonts w:ascii="Times New Roman" w:cs="Times New Roman" w:eastAsia="Times New Roman" w:hAnsi="Times New Roman"/>
          <w:color w:val="000000"/>
          <w:sz w:val="20"/>
          <w:szCs w:val="20"/>
        </w:rPr>
        <w:t xml:space="preserve">NutriFlow Pvt Ltd is a pre-revenue nutraceutical startup (plant-based protein supplements) at Series A stage. The supply base comprises three ingredient suppliers: Canada (65% of pea protein), Netherlands (20%), and India (15%). Manufacturing is consolidated at a single facility in Pune, India. One cold-chain logistics partner and one contract packager serve the entire operation. No ERP system is deployed; tracking is manual. The business plan projects dual-sourcing by Q3 Year 1 and ERP deployment by Q2 Year 2. Evaluation phase: τ = Readiness, Φ = 1.00.</w:t>
      </w:r>
    </w:p>
    <w:p>
      <w:pPr>
        <w:spacing w:after="60" w:before="100"/>
      </w:pPr>
      <w:r>
        <w:rPr>
          <w:rFonts w:ascii="Times New Roman" w:cs="Times New Roman" w:eastAsia="Times New Roman" w:hAnsi="Times New Roman"/>
          <w:b/>
          <w:bCs/>
          <w:i/>
          <w:iCs/>
          <w:color w:val="000000"/>
          <w:sz w:val="22"/>
          <w:szCs w:val="22"/>
        </w:rPr>
        <w:t xml:space="preserve">B. Component Score Computation</w:t>
      </w:r>
    </w:p>
    <w:p>
      <w:pPr>
        <w:spacing w:after="60" w:before="0" w:line="240"/>
        <w:jc w:val="both"/>
      </w:pPr>
      <w:r>
        <w:rPr>
          <w:rFonts w:ascii="Times New Roman" w:cs="Times New Roman" w:eastAsia="Times New Roman" w:hAnsi="Times New Roman"/>
          <w:color w:val="000000"/>
          <w:sz w:val="20"/>
          <w:szCs w:val="20"/>
        </w:rPr>
        <w:t xml:space="preserve">Table II presents component scores, evidence quality ratings, and weighted contributions computed from the NutriFlow business plan.</w:t>
      </w:r>
    </w:p>
    <w:p>
      <w:pPr>
        <w:spacing w:after="40" w:before="120"/>
        <w:jc w:val="center"/>
      </w:pPr>
      <w:r>
        <w:rPr>
          <w:rFonts w:ascii="Times New Roman" w:cs="Times New Roman" w:eastAsia="Times New Roman" w:hAnsi="Times New Roman"/>
          <w:b/>
          <w:bCs/>
          <w:color w:val="000000"/>
          <w:sz w:val="18"/>
          <w:szCs w:val="18"/>
        </w:rPr>
        <w:t xml:space="preserve">TABLE II
NUTRIFLOW COMPONENT SCORES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400"/>
        <w:gridCol w:w="860"/>
        <w:gridCol w:w="860"/>
        <w:gridCol w:w="1740"/>
      </w:tblGrid>
      <w:tr>
        <w:tc>
          <w:tcPr>
            <w:tcW w:type="dxa" w:w="140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Component</w:t>
            </w:r>
          </w:p>
        </w:tc>
        <w:tc>
          <w:tcPr>
            <w:tcW w:type="dxa" w:w="86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Score Cᵢ</w:t>
            </w:r>
          </w:p>
        </w:tc>
        <w:tc>
          <w:tcPr>
            <w:tcW w:type="dxa" w:w="86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Evidence eᵢ</w:t>
            </w:r>
          </w:p>
        </w:tc>
        <w:tc>
          <w:tcPr>
            <w:tcW w:type="dxa" w:w="1740"/>
            <w:tcBorders>
              <w:top w:val="single" w:color="000000" w:sz="2"/>
              <w:left w:val="single" w:color="000000" w:sz="1"/>
              <w:bottom w:val="single" w:color="000000" w:sz="2"/>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color w:val="000000"/>
                <w:sz w:val="18"/>
                <w:szCs w:val="18"/>
              </w:rPr>
              <w:t xml:space="preserve">wᵢ × Cᵢ</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(1−SCI)</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0.515</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0.80</w:t>
            </w:r>
          </w:p>
        </w:tc>
        <w:tc>
          <w:tcPr>
            <w:tcW w:type="dxa" w:w="17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0.1030</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(1−LDIₜᵡ)</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0.500</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0.60</w:t>
            </w:r>
          </w:p>
        </w:tc>
        <w:tc>
          <w:tcPr>
            <w:tcW w:type="dxa" w:w="174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0.0650</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(1−SPOF)</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0.250</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0.60</w:t>
            </w:r>
          </w:p>
        </w:tc>
        <w:tc>
          <w:tcPr>
            <w:tcW w:type="dxa" w:w="17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0.0550</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GDI</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0.480</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0.80</w:t>
            </w:r>
          </w:p>
        </w:tc>
        <w:tc>
          <w:tcPr>
            <w:tcW w:type="dxa" w:w="174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0.0624</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FSI</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0.705</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1.00</w:t>
            </w:r>
          </w:p>
        </w:tc>
        <w:tc>
          <w:tcPr>
            <w:tcW w:type="dxa" w:w="17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0.0846</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VI</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0.280</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0.35</w:t>
            </w:r>
          </w:p>
        </w:tc>
        <w:tc>
          <w:tcPr>
            <w:tcW w:type="dxa" w:w="174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0.0224</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LTBI</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0.200</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0.60</w:t>
            </w:r>
          </w:p>
        </w:tc>
        <w:tc>
          <w:tcPr>
            <w:tcW w:type="dxa" w:w="17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0.0140</w:t>
            </w:r>
          </w:p>
        </w:tc>
      </w:tr>
      <w:t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SI</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0.400</w:t>
            </w:r>
          </w:p>
        </w:tc>
        <w:tc>
          <w:tcPr>
            <w:tcW w:type="dxa" w:w="86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0.60</w:t>
            </w:r>
          </w:p>
        </w:tc>
        <w:tc>
          <w:tcPr>
            <w:tcW w:type="dxa" w:w="174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0.0200</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18"/>
                <w:szCs w:val="18"/>
              </w:rPr>
              <w:t xml:space="preserve">Σ wᵢ·Cᵢ</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w:t>
            </w:r>
          </w:p>
        </w:tc>
        <w:tc>
          <w:tcPr>
            <w:tcW w:type="dxa" w:w="86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w:t>
            </w:r>
          </w:p>
        </w:tc>
        <w:tc>
          <w:tcPr>
            <w:tcW w:type="dxa" w:w="1740"/>
            <w:tcBorders>
              <w:top w:val="single" w:color="000000" w:sz="1"/>
              <w:left w:val="single" w:color="000000" w:sz="1"/>
              <w:bottom w:val="single" w:color="000000" w:sz="1"/>
              <w:right w:val="single" w:color="000000" w:sz="1"/>
            </w:tcBorders>
            <w:shd w:fill="FFFFFF" w:val="clear"/>
            <w:tcMar>
              <w:top w:type="dxa" w:w="40"/>
              <w:left w:type="dxa" w:w="80"/>
              <w:bottom w:type="dxa" w:w="40"/>
              <w:right w:type="dxa" w:w="80"/>
            </w:tcMar>
          </w:tcPr>
          <w:p>
            <w:pPr>
              <w:spacing w:after="0" w:before="0"/>
              <w:jc w:val="center"/>
            </w:pPr>
            <w:r>
              <w:rPr>
                <w:rFonts w:ascii="Times New Roman" w:cs="Times New Roman" w:eastAsia="Times New Roman" w:hAnsi="Times New Roman"/>
                <w:color w:val="000000"/>
                <w:sz w:val="18"/>
                <w:szCs w:val="18"/>
              </w:rPr>
              <w:t xml:space="preserve">0.3264</w:t>
            </w:r>
          </w:p>
        </w:tc>
      </w:tr>
    </w:tbl>
    <w:p>
      <w:pPr>
        <w:spacing w:after="80" w:before="0"/>
      </w:pPr>
      <w:r>
        <w:rPr>
          <w:rFonts w:ascii="Times New Roman" w:cs="Times New Roman" w:eastAsia="Times New Roman" w:hAnsi="Times New Roman"/>
          <w:color w:val="000000"/>
          <w:sz w:val="20"/>
          <w:szCs w:val="20"/>
        </w:rPr>
        <w:t xml:space="preserve"/>
      </w:r>
    </w:p>
    <w:p>
      <w:pPr>
        <w:spacing w:after="60" w:before="0" w:line="240"/>
        <w:ind w:firstLine="360"/>
        <w:jc w:val="both"/>
      </w:pPr>
      <w:r>
        <w:rPr>
          <w:rFonts w:ascii="Times New Roman" w:cs="Times New Roman" w:eastAsia="Times New Roman" w:hAnsi="Times New Roman"/>
          <w:color w:val="000000"/>
          <w:sz w:val="20"/>
          <w:szCs w:val="20"/>
        </w:rPr>
        <w:t xml:space="preserve">Critical weaknesses are SPOF (0.25, three of four nodes lack backup), VI (0.28, no ERP), and LTBI (0.20, only an MOU with the primary supplier). FSI (0.705) is relatively strong, reflecting the Series A raise and 18-month cash runway.</w:t>
      </w:r>
    </w:p>
    <w:p>
      <w:pPr>
        <w:spacing w:after="60" w:before="100"/>
      </w:pPr>
      <w:r>
        <w:rPr>
          <w:rFonts w:ascii="Times New Roman" w:cs="Times New Roman" w:eastAsia="Times New Roman" w:hAnsi="Times New Roman"/>
          <w:b/>
          <w:bCs/>
          <w:i/>
          <w:iCs/>
          <w:color w:val="000000"/>
          <w:sz w:val="22"/>
          <w:szCs w:val="22"/>
        </w:rPr>
        <w:t xml:space="preserve">C. Interaction Penalty Computation</w:t>
      </w:r>
    </w:p>
    <w:p>
      <w:pPr>
        <w:spacing w:after="60" w:before="0" w:line="240"/>
        <w:jc w:val="both"/>
      </w:pPr>
      <w:r>
        <w:rPr>
          <w:rFonts w:ascii="Times New Roman" w:cs="Times New Roman" w:eastAsia="Times New Roman" w:hAnsi="Times New Roman"/>
          <w:color w:val="000000"/>
          <w:sz w:val="20"/>
          <w:szCs w:val="20"/>
        </w:rPr>
        <w:t xml:space="preserve">Three interaction terms are computed from (3):</w:t>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α₁(0.485×0.75) = 0.0546</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β₁(0.485×0.52) = 0.0252</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γ₁(0.75×0.50) = 0.0300</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spacing w:after="60" w:before="0" w:line="240"/>
        <w:ind w:firstLine="360"/>
        <w:jc w:val="both"/>
      </w:pPr>
      <w:r>
        <w:rPr>
          <w:rFonts w:ascii="Times New Roman" w:cs="Times New Roman" w:eastAsia="Times New Roman" w:hAnsi="Times New Roman"/>
          <w:color w:val="000000"/>
          <w:sz w:val="20"/>
          <w:szCs w:val="20"/>
        </w:rPr>
        <w:t xml:space="preserve">Ω(C) = 0.1098. Interaction penalty = 1 − 0.20×0.1098 = 0.9780. The high SCI×SPOF term reflects that a single dominant Canadian supplier feeds directly into an unredundant Pune manufacturing node—a cascade pathway with no break.</w:t>
      </w:r>
    </w:p>
    <w:p>
      <w:pPr>
        <w:spacing w:after="60" w:before="100"/>
      </w:pPr>
      <w:r>
        <w:rPr>
          <w:rFonts w:ascii="Times New Roman" w:cs="Times New Roman" w:eastAsia="Times New Roman" w:hAnsi="Times New Roman"/>
          <w:b/>
          <w:bCs/>
          <w:i/>
          <w:iCs/>
          <w:color w:val="000000"/>
          <w:sz w:val="22"/>
          <w:szCs w:val="22"/>
        </w:rPr>
        <w:t xml:space="preserve">D. Final Score Computation</w:t>
      </w:r>
    </w:p>
    <w:p>
      <w:pPr>
        <w:spacing w:after="60" w:before="0" w:line="240"/>
        <w:jc w:val="both"/>
      </w:pPr>
      <w:r>
        <w:rPr>
          <w:rFonts w:ascii="Times New Roman" w:cs="Times New Roman" w:eastAsia="Times New Roman" w:hAnsi="Times New Roman"/>
          <w:color w:val="000000"/>
          <w:sz w:val="20"/>
          <w:szCs w:val="20"/>
        </w:rPr>
        <w:t xml:space="preserve">Applying all terms sequentially:</w:t>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Base = 100 × 1.00 × 0.3264 = 32.64</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After penalty = 32.64 × 0.9780 = 31.93</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Trajectory mult. = 1 + 0.05×(8.5/100) = 1.00425</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After trajectory = 31.93 × 1.00425 = 32.07</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Ψ = exp(− 0.4028) = 0.6685</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
      </w:r>
    </w:p>
    <w:p>
      <w:pPr>
        <w:tabs>
          <w:tab w:val="right" w:pos="4760"/>
        </w:tabs>
        <w:spacing w:after="80" w:before="80" w:line="240"/>
        <w:ind w:left="200"/>
        <w:jc w:val="left"/>
      </w:pPr>
      <w:r>
        <w:rPr>
          <w:rFonts w:ascii="Times New Roman" w:cs="Times New Roman" w:eastAsia="Times New Roman" w:hAnsi="Times New Roman"/>
          <w:i/>
          <w:iCs/>
          <w:color w:val="000000"/>
          <w:sz w:val="20"/>
          <w:szCs w:val="20"/>
        </w:rPr>
        <w:t xml:space="preserve">DAIRS = 32.07 × 0.6685 = 21.4 / 100</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(6)</w:t>
      </w:r>
    </w:p>
    <w:p>
      <w:pPr>
        <w:spacing w:after="60" w:before="0" w:line="240"/>
        <w:ind w:firstLine="360"/>
        <w:jc w:val="both"/>
      </w:pPr>
      <w:r>
        <w:rPr>
          <w:rFonts w:ascii="Times New Roman" w:cs="Times New Roman" w:eastAsia="Times New Roman" w:hAnsi="Times New Roman"/>
          <w:color w:val="000000"/>
          <w:sz w:val="20"/>
          <w:szCs w:val="20"/>
        </w:rPr>
        <w:t xml:space="preserve">NutriFlow scores 21.4/100, classified as Fragile. The confidence discount (Ψ = 0.6685) contributes the largest single penalty (−10.6 pts), driven by VI evidence quality of 0.35 (risk mentioned, no plan) and SPOF evidence quality of 0.60.</w:t>
      </w:r>
    </w:p>
    <w:p>
      <w:pPr>
        <w:spacing w:after="60" w:before="100"/>
      </w:pPr>
      <w:r>
        <w:rPr>
          <w:rFonts w:ascii="Times New Roman" w:cs="Times New Roman" w:eastAsia="Times New Roman" w:hAnsi="Times New Roman"/>
          <w:b/>
          <w:bCs/>
          <w:i/>
          <w:iCs/>
          <w:color w:val="000000"/>
          <w:sz w:val="22"/>
          <w:szCs w:val="22"/>
        </w:rPr>
        <w:t xml:space="preserve">E. Remediation Priorities</w:t>
      </w:r>
    </w:p>
    <w:p>
      <w:pPr>
        <w:spacing w:after="60" w:before="0" w:line="240"/>
        <w:jc w:val="both"/>
      </w:pPr>
      <w:r>
        <w:rPr>
          <w:rFonts w:ascii="Times New Roman" w:cs="Times New Roman" w:eastAsia="Times New Roman" w:hAnsi="Times New Roman"/>
          <w:color w:val="000000"/>
          <w:sz w:val="20"/>
          <w:szCs w:val="20"/>
        </w:rPr>
        <w:t xml:space="preserve">DAIRS generates ranked recommendations by marginal score impact:</w:t>
      </w:r>
    </w:p>
    <w:p>
      <w:pPr>
        <w:pStyle w:val="ListParagraph"/>
        <w:numPr>
          <w:ilvl w:val="0"/>
          <w:numId w:val="6"/>
        </w:numPr>
        <w:spacing w:after="40" w:before="40" w:line="240"/>
        <w:jc w:val="both"/>
      </w:pPr>
      <w:r>
        <w:rPr>
          <w:rFonts w:ascii="Times New Roman" w:cs="Times New Roman" w:eastAsia="Times New Roman" w:hAnsi="Times New Roman"/>
          <w:b/>
          <w:bCs/>
          <w:color w:val="000000"/>
          <w:sz w:val="20"/>
          <w:szCs w:val="20"/>
        </w:rPr>
        <w:t xml:space="preserve">Priority 1: </w:t>
      </w:r>
      <w:r>
        <w:rPr>
          <w:rFonts w:ascii="Times New Roman" w:cs="Times New Roman" w:eastAsia="Times New Roman" w:hAnsi="Times New Roman"/>
          <w:color w:val="000000"/>
          <w:sz w:val="20"/>
          <w:szCs w:val="20"/>
        </w:rPr>
        <w:t xml:space="preserve">Qualify backup manufacturing, cold-chain, and packaging vendors (+12 pts SPOF, +evidence quality).</w:t>
      </w:r>
    </w:p>
    <w:p>
      <w:pPr>
        <w:pStyle w:val="ListParagraph"/>
        <w:numPr>
          <w:ilvl w:val="0"/>
          <w:numId w:val="7"/>
        </w:numPr>
        <w:spacing w:after="40" w:before="40" w:line="240"/>
        <w:jc w:val="both"/>
      </w:pPr>
      <w:r>
        <w:rPr>
          <w:rFonts w:ascii="Times New Roman" w:cs="Times New Roman" w:eastAsia="Times New Roman" w:hAnsi="Times New Roman"/>
          <w:b/>
          <w:bCs/>
          <w:color w:val="000000"/>
          <w:sz w:val="20"/>
          <w:szCs w:val="20"/>
        </w:rPr>
        <w:t xml:space="preserve">Priority 2: </w:t>
      </w:r>
      <w:r>
        <w:rPr>
          <w:rFonts w:ascii="Times New Roman" w:cs="Times New Roman" w:eastAsia="Times New Roman" w:hAnsi="Times New Roman"/>
          <w:color w:val="000000"/>
          <w:sz w:val="20"/>
          <w:szCs w:val="20"/>
        </w:rPr>
        <w:t xml:space="preserve">Deploy supply chain visibility tool—ERP or supplier portal (+8 pts VI, improves Ψ significantly).</w:t>
      </w:r>
    </w:p>
    <w:p>
      <w:pPr>
        <w:pStyle w:val="ListParagraph"/>
        <w:numPr>
          <w:ilvl w:val="0"/>
          <w:numId w:val="8"/>
        </w:numPr>
        <w:spacing w:after="40" w:before="40" w:line="240"/>
        <w:jc w:val="both"/>
      </w:pPr>
      <w:r>
        <w:rPr>
          <w:rFonts w:ascii="Times New Roman" w:cs="Times New Roman" w:eastAsia="Times New Roman" w:hAnsi="Times New Roman"/>
          <w:b/>
          <w:bCs/>
          <w:color w:val="000000"/>
          <w:sz w:val="20"/>
          <w:szCs w:val="20"/>
        </w:rPr>
        <w:t xml:space="preserve">Priority 3: </w:t>
      </w:r>
      <w:r>
        <w:rPr>
          <w:rFonts w:ascii="Times New Roman" w:cs="Times New Roman" w:eastAsia="Times New Roman" w:hAnsi="Times New Roman"/>
          <w:color w:val="000000"/>
          <w:sz w:val="20"/>
          <w:szCs w:val="20"/>
        </w:rPr>
        <w:t xml:space="preserve">Convert supplier MOUs to multi-year contracts (+4 pts LTBI).</w:t>
      </w:r>
    </w:p>
    <w:p>
      <w:pPr>
        <w:pStyle w:val="ListParagraph"/>
        <w:numPr>
          <w:ilvl w:val="0"/>
          <w:numId w:val="9"/>
        </w:numPr>
        <w:spacing w:after="40" w:before="40" w:line="240"/>
        <w:jc w:val="both"/>
      </w:pPr>
      <w:r>
        <w:rPr>
          <w:rFonts w:ascii="Times New Roman" w:cs="Times New Roman" w:eastAsia="Times New Roman" w:hAnsi="Times New Roman"/>
          <w:b/>
          <w:bCs/>
          <w:color w:val="000000"/>
          <w:sz w:val="20"/>
          <w:szCs w:val="20"/>
        </w:rPr>
        <w:t xml:space="preserve">Priority 4: </w:t>
      </w:r>
      <w:r>
        <w:rPr>
          <w:rFonts w:ascii="Times New Roman" w:cs="Times New Roman" w:eastAsia="Times New Roman" w:hAnsi="Times New Roman"/>
          <w:color w:val="000000"/>
          <w:sz w:val="20"/>
          <w:szCs w:val="20"/>
        </w:rPr>
        <w:t xml:space="preserve">Qualify alternate flavour compounder (+2 pts SI, reduces SPOF×LDI interaction).</w:t>
      </w:r>
    </w:p>
    <w:p>
      <w:pPr>
        <w:spacing w:after="60" w:before="0" w:line="240"/>
        <w:ind w:firstLine="360"/>
        <w:jc w:val="both"/>
      </w:pPr>
      <w:r>
        <w:rPr>
          <w:rFonts w:ascii="Times New Roman" w:cs="Times New Roman" w:eastAsia="Times New Roman" w:hAnsi="Times New Roman"/>
          <w:color w:val="000000"/>
          <w:sz w:val="20"/>
          <w:szCs w:val="20"/>
        </w:rPr>
        <w:t xml:space="preserve">Implementing all four priorities and improving plan evidence quality to eᵢ = 0.85 average projects a revised DAIRS of approximately 58–62, qualifying as Moderate—the minimum threshold for institutional investment readiness.</w:t>
      </w:r>
    </w:p>
    <w:p>
      <w:pPr>
        <w:spacing w:after="80" w:before="160"/>
        <w:jc w:val="center"/>
      </w:pPr>
      <w:r>
        <w:rPr>
          <w:rFonts w:ascii="Times New Roman" w:cs="Times New Roman" w:eastAsia="Times New Roman" w:hAnsi="Times New Roman"/>
          <w:b/>
          <w:bCs/>
          <w:color w:val="000000"/>
          <w:sz w:val="20"/>
          <w:szCs w:val="20"/>
        </w:rPr>
        <w:t xml:space="preserve">VI. DISCUSSION</w:t>
      </w:r>
    </w:p>
    <w:p>
      <w:pPr>
        <w:spacing w:after="60" w:before="100"/>
      </w:pPr>
      <w:r>
        <w:rPr>
          <w:rFonts w:ascii="Times New Roman" w:cs="Times New Roman" w:eastAsia="Times New Roman" w:hAnsi="Times New Roman"/>
          <w:b/>
          <w:bCs/>
          <w:i/>
          <w:iCs/>
          <w:color w:val="000000"/>
          <w:sz w:val="22"/>
          <w:szCs w:val="22"/>
        </w:rPr>
        <w:t xml:space="preserve">A. Theoretical Contributions</w:t>
      </w:r>
    </w:p>
    <w:p>
      <w:pPr>
        <w:spacing w:after="60" w:before="0" w:line="240"/>
        <w:jc w:val="both"/>
      </w:pPr>
      <w:r>
        <w:rPr>
          <w:rFonts w:ascii="Times New Roman" w:cs="Times New Roman" w:eastAsia="Times New Roman" w:hAnsi="Times New Roman"/>
          <w:color w:val="000000"/>
          <w:sz w:val="20"/>
          <w:szCs w:val="20"/>
        </w:rPr>
        <w:t xml:space="preserve">DAIRS makes four theoretical contributions to the SCR measurement literature. First, phase-dynamic weights resolve the lifecycle insensitivity of static frameworks. While Hohenstein et al. [3] describe the four-phase model conceptually, no prior composite index operationalises it. DAIRS provides the first quantitative instantiation. Second, the interaction penalty provides the first SCR index to formally model synergistic amplification between risk dimensions, consistent with cascade failure literature [4] but absent from Pettit et al. [5], [6] and Barroso et al. [10].</w:t>
      </w:r>
    </w:p>
    <w:p>
      <w:pPr>
        <w:spacing w:after="60" w:before="0" w:line="240"/>
        <w:ind w:firstLine="360"/>
        <w:jc w:val="both"/>
      </w:pPr>
      <w:r>
        <w:rPr>
          <w:rFonts w:ascii="Times New Roman" w:cs="Times New Roman" w:eastAsia="Times New Roman" w:hAnsi="Times New Roman"/>
          <w:color w:val="000000"/>
          <w:sz w:val="20"/>
          <w:szCs w:val="20"/>
        </w:rPr>
        <w:t xml:space="preserve">Third, the trajectory multiplier introduces time-series reasoning into what has been exclusively cross-sectional measurement. This aligns DAIRS with dynamic capability theory [14] and the systems dynamics literature on SCR evolution [13]. Fourth, and most distinctively, the geometric evidence-quality discount Ψ constitutes the first formal epistemological mechanism for SCR index construction under information uncertainty. Geometric aggregation is established in composite index methodology [12] but has not previously been applied as an evidence-weighting mechanism in SCR.</w:t>
      </w:r>
    </w:p>
    <w:p>
      <w:pPr>
        <w:spacing w:after="60" w:before="100"/>
      </w:pPr>
      <w:r>
        <w:rPr>
          <w:rFonts w:ascii="Times New Roman" w:cs="Times New Roman" w:eastAsia="Times New Roman" w:hAnsi="Times New Roman"/>
          <w:b/>
          <w:bCs/>
          <w:i/>
          <w:iCs/>
          <w:color w:val="000000"/>
          <w:sz w:val="22"/>
          <w:szCs w:val="22"/>
        </w:rPr>
        <w:t xml:space="preserve">B. Comparison with Prior Frameworks</w:t>
      </w:r>
    </w:p>
    <w:p>
      <w:pPr>
        <w:spacing w:after="60" w:before="0" w:line="240"/>
        <w:jc w:val="both"/>
      </w:pPr>
      <w:r>
        <w:rPr>
          <w:rFonts w:ascii="Times New Roman" w:cs="Times New Roman" w:eastAsia="Times New Roman" w:hAnsi="Times New Roman"/>
          <w:color w:val="000000"/>
          <w:sz w:val="20"/>
          <w:szCs w:val="20"/>
        </w:rPr>
        <w:t xml:space="preserve">Compared to the most closely related frameworks: Pettit et al. [5], [6] provide a richer qualitative taxonomy (14 capability dimensions) but no interaction terms, no phase adaptation, and no ex-ante mechanism. Barroso et al. [10] provide the only prior hierarchical SCR index but rely on linear additive aggregation and require operational delivery performance data. Ahn and Tan [11] ground GDI and SI in rigorous trade economics but operate at the macro level and do not produce a firm-level composite score.</w:t>
      </w:r>
    </w:p>
    <w:p>
      <w:pPr>
        <w:spacing w:after="60" w:before="0" w:line="240"/>
        <w:ind w:firstLine="360"/>
        <w:jc w:val="both"/>
      </w:pPr>
      <w:r>
        <w:rPr>
          <w:rFonts w:ascii="Times New Roman" w:cs="Times New Roman" w:eastAsia="Times New Roman" w:hAnsi="Times New Roman"/>
          <w:color w:val="000000"/>
          <w:sz w:val="20"/>
          <w:szCs w:val="20"/>
        </w:rPr>
        <w:t xml:space="preserve">DAIRS is not positioned as a replacement for operational SCR tools such as SCRAM™ [6] or Resilinc’s R Score™. Rather, it fills the specific pre-operational gap in the assessment ecosystem, enabling consistent scoring at the business plan stage.</w:t>
      </w:r>
    </w:p>
    <w:p>
      <w:pPr>
        <w:spacing w:after="60" w:before="100"/>
      </w:pPr>
      <w:r>
        <w:rPr>
          <w:rFonts w:ascii="Times New Roman" w:cs="Times New Roman" w:eastAsia="Times New Roman" w:hAnsi="Times New Roman"/>
          <w:b/>
          <w:bCs/>
          <w:i/>
          <w:iCs/>
          <w:color w:val="000000"/>
          <w:sz w:val="22"/>
          <w:szCs w:val="22"/>
        </w:rPr>
        <w:t xml:space="preserve">C. Limitations</w:t>
      </w:r>
    </w:p>
    <w:p>
      <w:pPr>
        <w:spacing w:after="60" w:before="0" w:line="240"/>
        <w:jc w:val="both"/>
      </w:pPr>
      <w:r>
        <w:rPr>
          <w:rFonts w:ascii="Times New Roman" w:cs="Times New Roman" w:eastAsia="Times New Roman" w:hAnsi="Times New Roman"/>
          <w:color w:val="000000"/>
          <w:sz w:val="20"/>
          <w:szCs w:val="20"/>
        </w:rPr>
        <w:t xml:space="preserve">Several limitations warrant acknowledgement. First, interaction coefficients (α₁, β₁, γ₁) and phase modulator values are theoretically motivated but not yet empirically calibrated from longitudinal data. Future work should estimate these parameters from historical supply chain disruption datasets. Second, the Ψ function currently uses five discrete evidence quality levels; a continuous elicitation method would reduce evaluator discretion. Third, the case study represents a single industry (nutraceuticals) in a single market (India/SE Asia); cross-industry and cross-regional validation is required. Fourth, DAIRS does not currently model sector-specific resilience requirements, which may differ substantially between, e.g., pharmaceutical and consumer electronics supply chains.</w:t>
      </w:r>
    </w:p>
    <w:p>
      <w:pPr>
        <w:spacing w:after="80" w:before="160"/>
        <w:jc w:val="center"/>
      </w:pPr>
      <w:r>
        <w:rPr>
          <w:rFonts w:ascii="Times New Roman" w:cs="Times New Roman" w:eastAsia="Times New Roman" w:hAnsi="Times New Roman"/>
          <w:b/>
          <w:bCs/>
          <w:color w:val="000000"/>
          <w:sz w:val="20"/>
          <w:szCs w:val="20"/>
        </w:rPr>
        <w:t xml:space="preserve">VII. CONCLUSION</w:t>
      </w:r>
    </w:p>
    <w:p>
      <w:pPr>
        <w:spacing w:after="60" w:before="0" w:line="240"/>
        <w:jc w:val="both"/>
      </w:pPr>
      <w:r>
        <w:rPr>
          <w:rFonts w:ascii="Times New Roman" w:cs="Times New Roman" w:eastAsia="Times New Roman" w:hAnsi="Times New Roman"/>
          <w:color w:val="000000"/>
          <w:sz w:val="20"/>
          <w:szCs w:val="20"/>
        </w:rPr>
        <w:t xml:space="preserve">This paper introduced DAIRS, the first composite supply chain resilience index designed explicitly for ex-ante business plan evaluation. By incorporating phase-dynamic weights, a non-linear interaction penalty, a trajectory multiplier, and a geometric evidence-quality discount, DAIRS resolves four structural limitations present in all prior SCR measurement frameworks.</w:t>
      </w:r>
    </w:p>
    <w:p>
      <w:pPr>
        <w:spacing w:after="60" w:before="0" w:line="240"/>
        <w:ind w:firstLine="360"/>
        <w:jc w:val="both"/>
      </w:pPr>
      <w:r>
        <w:rPr>
          <w:rFonts w:ascii="Times New Roman" w:cs="Times New Roman" w:eastAsia="Times New Roman" w:hAnsi="Times New Roman"/>
          <w:color w:val="000000"/>
          <w:sz w:val="20"/>
          <w:szCs w:val="20"/>
        </w:rPr>
        <w:t xml:space="preserve">The NutriFlow case study demonstrated that the framework generates actionable scores (21.4/100, Fragile) and ranked remediation priorities directly from business plan text, without requiring operational data. The evidence-quality mechanism proved to be the dominant scoring factor, contributing the largest single penalty and revealing that structural resilience on paper cannot substitute for evidential rigour in practice.</w:t>
      </w:r>
    </w:p>
    <w:p>
      <w:pPr>
        <w:spacing w:after="60" w:before="0" w:line="240"/>
        <w:ind w:firstLine="360"/>
        <w:jc w:val="both"/>
      </w:pPr>
      <w:r>
        <w:rPr>
          <w:rFonts w:ascii="Times New Roman" w:cs="Times New Roman" w:eastAsia="Times New Roman" w:hAnsi="Times New Roman"/>
          <w:color w:val="000000"/>
          <w:sz w:val="20"/>
          <w:szCs w:val="20"/>
        </w:rPr>
        <w:t xml:space="preserve">The primary academic contribution is the demonstration that geometric evidence weighting can serve as a principled epistemological mechanism for composite index construction under information uncertainty—a methodological approach transferable to other domains where prospective evaluation is required. Future research directions include empirical calibration of interaction coefficients, development of continuous evidence elicitation protocols, and longitudinal validation through tracking of scored startups through their operational lifecycle.</w:t>
      </w:r>
    </w:p>
    <w:p>
      <w:pPr>
        <w:spacing w:after="80" w:before="160"/>
        <w:jc w:val="center"/>
      </w:pPr>
      <w:r>
        <w:rPr>
          <w:rFonts w:ascii="Times New Roman" w:cs="Times New Roman" w:eastAsia="Times New Roman" w:hAnsi="Times New Roman"/>
          <w:b/>
          <w:bCs/>
          <w:color w:val="000000"/>
          <w:sz w:val="20"/>
          <w:szCs w:val="20"/>
        </w:rPr>
        <w:t xml:space="preserve">VIII. ACKNOWLEDGEMENTS</w:t>
      </w:r>
    </w:p>
    <w:p>
      <w:pPr>
        <w:spacing w:after="60" w:before="0" w:line="240"/>
        <w:jc w:val="both"/>
      </w:pPr>
      <w:r>
        <w:rPr>
          <w:rFonts w:ascii="Times New Roman" w:cs="Times New Roman" w:eastAsia="Times New Roman" w:hAnsi="Times New Roman"/>
          <w:color w:val="000000"/>
          <w:sz w:val="20"/>
          <w:szCs w:val="20"/>
        </w:rPr>
        <w:t xml:space="preserve">The authors thank the reviewers for their constructive comments. [Funding statement placeholder.]</w:t>
      </w:r>
    </w:p>
    <w:p>
      <w:pPr>
        <w:spacing w:after="80" w:before="160"/>
        <w:jc w:val="center"/>
      </w:pPr>
      <w:r>
        <w:rPr>
          <w:rFonts w:ascii="Times New Roman" w:cs="Times New Roman" w:eastAsia="Times New Roman" w:hAnsi="Times New Roman"/>
          <w:b/>
          <w:bCs/>
          <w:color w:val="000000"/>
          <w:sz w:val="20"/>
          <w:szCs w:val="20"/>
        </w:rPr>
        <w:t xml:space="preserve">IX. REFERENCES</w:t>
      </w:r>
    </w:p>
    <w:p>
      <w:pPr>
        <w:spacing w:after="40" w:before="0" w:line="220"/>
        <w:ind w:left="360" w:hanging="360"/>
        <w:jc w:val="both"/>
      </w:pPr>
      <w:r>
        <w:rPr>
          <w:rFonts w:ascii="Times New Roman" w:cs="Times New Roman" w:eastAsia="Times New Roman" w:hAnsi="Times New Roman"/>
          <w:color w:val="000000"/>
          <w:sz w:val="18"/>
          <w:szCs w:val="18"/>
        </w:rPr>
        <w:t xml:space="preserve">[1] B. R. Tukamuhabwa, M. Stevenson, J. Busby, and M. Zorzini, “Supply chain resilience: definition, review and theoretical foundations for further study,” Int. J. Prod. Res., vol. 53, no. 18, pp. 5592–5623, 2015.</w:t>
      </w:r>
    </w:p>
    <w:p>
      <w:pPr>
        <w:spacing w:after="40" w:before="0" w:line="220"/>
        <w:ind w:left="360" w:hanging="360"/>
        <w:jc w:val="both"/>
      </w:pPr>
      <w:r>
        <w:rPr>
          <w:rFonts w:ascii="Times New Roman" w:cs="Times New Roman" w:eastAsia="Times New Roman" w:hAnsi="Times New Roman"/>
          <w:color w:val="000000"/>
          <w:sz w:val="18"/>
          <w:szCs w:val="18"/>
        </w:rPr>
        <w:t xml:space="preserve">[2] D. Ivanov, “Viable supply chain model: integrating agility, resilience and sustainability perspectives,” Ann. Oper. Res., vol. 309, pp. 1–21, 2021.</w:t>
      </w:r>
    </w:p>
    <w:p>
      <w:pPr>
        <w:spacing w:after="40" w:before="0" w:line="220"/>
        <w:ind w:left="360" w:hanging="360"/>
        <w:jc w:val="both"/>
      </w:pPr>
      <w:r>
        <w:rPr>
          <w:rFonts w:ascii="Times New Roman" w:cs="Times New Roman" w:eastAsia="Times New Roman" w:hAnsi="Times New Roman"/>
          <w:color w:val="000000"/>
          <w:sz w:val="18"/>
          <w:szCs w:val="18"/>
        </w:rPr>
        <w:t xml:space="preserve">[3] N.-O. Hohenstein, E. Feisel, E. Hartmann, and L. Giunipero, “Research on the phenomenon of supply chain resilience,” Int. J. Phys. Distrib. Logist. Manag., vol. 45, no. 1/2, pp. 90–117, 2015.</w:t>
      </w:r>
    </w:p>
    <w:p>
      <w:pPr>
        <w:spacing w:after="40" w:before="0" w:line="220"/>
        <w:ind w:left="360" w:hanging="360"/>
        <w:jc w:val="both"/>
      </w:pPr>
      <w:r>
        <w:rPr>
          <w:rFonts w:ascii="Times New Roman" w:cs="Times New Roman" w:eastAsia="Times New Roman" w:hAnsi="Times New Roman"/>
          <w:color w:val="000000"/>
          <w:sz w:val="18"/>
          <w:szCs w:val="18"/>
        </w:rPr>
        <w:t xml:space="preserve">[4] A. P. Barroso, V. H. Machado, H. Carvalho, and V. Cruz Machado, “Quantifying the supply chain resilience,” in Applications of Contemporary Management Approaches in Supply Chains, IntechOpen, 2015. DOI: 10.5772/59580.</w:t>
      </w:r>
    </w:p>
    <w:p>
      <w:pPr>
        <w:spacing w:after="40" w:before="0" w:line="220"/>
        <w:ind w:left="360" w:hanging="360"/>
        <w:jc w:val="both"/>
      </w:pPr>
      <w:r>
        <w:rPr>
          <w:rFonts w:ascii="Times New Roman" w:cs="Times New Roman" w:eastAsia="Times New Roman" w:hAnsi="Times New Roman"/>
          <w:color w:val="000000"/>
          <w:sz w:val="18"/>
          <w:szCs w:val="18"/>
        </w:rPr>
        <w:t xml:space="preserve">[5] T. J. Pettit, J. Fiksel, and K. L. Croxton, “Ensuring supply chain resilience: development of a conceptual framework,” J. Bus. Logist., vol. 31, no. 1, pp. 1–21, 2010.</w:t>
      </w:r>
    </w:p>
    <w:p>
      <w:pPr>
        <w:spacing w:after="40" w:before="0" w:line="220"/>
        <w:ind w:left="360" w:hanging="360"/>
        <w:jc w:val="both"/>
      </w:pPr>
      <w:r>
        <w:rPr>
          <w:rFonts w:ascii="Times New Roman" w:cs="Times New Roman" w:eastAsia="Times New Roman" w:hAnsi="Times New Roman"/>
          <w:color w:val="000000"/>
          <w:sz w:val="18"/>
          <w:szCs w:val="18"/>
        </w:rPr>
        <w:t xml:space="preserve">[6] T. J. Pettit, K. L. Croxton, and J. Fiksel, “Ensuring supply chain resilience: development and implementation of an assessment tool,” J. Bus. Logist., vol. 34, no. 1, pp. 46–76, 2013.</w:t>
      </w:r>
    </w:p>
    <w:p>
      <w:pPr>
        <w:spacing w:after="40" w:before="0" w:line="220"/>
        <w:ind w:left="360" w:hanging="360"/>
        <w:jc w:val="both"/>
      </w:pPr>
      <w:r>
        <w:rPr>
          <w:rFonts w:ascii="Times New Roman" w:cs="Times New Roman" w:eastAsia="Times New Roman" w:hAnsi="Times New Roman"/>
          <w:color w:val="000000"/>
          <w:sz w:val="18"/>
          <w:szCs w:val="18"/>
        </w:rPr>
        <w:t xml:space="preserve">[7] S. Y. Ponomarov and M. C. Holcomb, “Understanding the concept of supply chain resilience,” Int. J. Logist. Manag., vol. 20, no. 1, pp. 124–143, 2009.</w:t>
      </w:r>
    </w:p>
    <w:p>
      <w:pPr>
        <w:spacing w:after="40" w:before="0" w:line="220"/>
        <w:ind w:left="360" w:hanging="360"/>
        <w:jc w:val="both"/>
      </w:pPr>
      <w:r>
        <w:rPr>
          <w:rFonts w:ascii="Times New Roman" w:cs="Times New Roman" w:eastAsia="Times New Roman" w:hAnsi="Times New Roman"/>
          <w:color w:val="000000"/>
          <w:sz w:val="18"/>
          <w:szCs w:val="18"/>
        </w:rPr>
        <w:t xml:space="preserve">[8] C. Yang and X. Li, “Supply chain resilience: measure, risk assessment and strategies,” iScience, vol. 26, no. 5, 2023. DOI: 10.1016/j.isci.2023.106533.</w:t>
      </w:r>
    </w:p>
    <w:p>
      <w:pPr>
        <w:spacing w:after="40" w:before="0" w:line="220"/>
        <w:ind w:left="360" w:hanging="360"/>
        <w:jc w:val="both"/>
      </w:pPr>
      <w:r>
        <w:rPr>
          <w:rFonts w:ascii="Times New Roman" w:cs="Times New Roman" w:eastAsia="Times New Roman" w:hAnsi="Times New Roman"/>
          <w:color w:val="000000"/>
          <w:sz w:val="18"/>
          <w:szCs w:val="18"/>
        </w:rPr>
        <w:t xml:space="preserve">[9] C. S. Singh, G. Soni, and G. K. Badhotiya, “Performance indicators for supply chain resilience: review and conceptual framework,” J. Ind. Eng. Int., vol. 15, pp. 105–117, 2019.</w:t>
      </w:r>
    </w:p>
    <w:p>
      <w:pPr>
        <w:spacing w:after="40" w:before="0" w:line="220"/>
        <w:ind w:left="360" w:hanging="360"/>
        <w:jc w:val="both"/>
      </w:pPr>
      <w:r>
        <w:rPr>
          <w:rFonts w:ascii="Times New Roman" w:cs="Times New Roman" w:eastAsia="Times New Roman" w:hAnsi="Times New Roman"/>
          <w:color w:val="000000"/>
          <w:sz w:val="18"/>
          <w:szCs w:val="18"/>
        </w:rPr>
        <w:t xml:space="preserve">[10] T. J. Pettit, K. L. Croxton, and J. Fiksel, “The evolution of resilience in supply chain management: a retrospective on ensuring supply chain resilience,” J. Bus. Logist., vol. 40, no. 1, pp. 56–65, 2019.</w:t>
      </w:r>
    </w:p>
    <w:p>
      <w:pPr>
        <w:spacing w:after="40" w:before="0" w:line="220"/>
        <w:ind w:left="360" w:hanging="360"/>
        <w:jc w:val="both"/>
      </w:pPr>
      <w:r>
        <w:rPr>
          <w:rFonts w:ascii="Times New Roman" w:cs="Times New Roman" w:eastAsia="Times New Roman" w:hAnsi="Times New Roman"/>
          <w:color w:val="000000"/>
          <w:sz w:val="18"/>
          <w:szCs w:val="18"/>
        </w:rPr>
        <w:t xml:space="preserve">[11] J. Ahn and B. J. Tan, “Supply chain diversification and resilience,” IMF Working Paper No. 2025/102, International Monetary Fund, Washington, DC, 2025.</w:t>
      </w:r>
    </w:p>
    <w:p>
      <w:pPr>
        <w:spacing w:after="40" w:before="0" w:line="220"/>
        <w:ind w:left="360" w:hanging="360"/>
        <w:jc w:val="both"/>
      </w:pPr>
      <w:r>
        <w:rPr>
          <w:rFonts w:ascii="Times New Roman" w:cs="Times New Roman" w:eastAsia="Times New Roman" w:hAnsi="Times New Roman"/>
          <w:color w:val="000000"/>
          <w:sz w:val="18"/>
          <w:szCs w:val="18"/>
        </w:rPr>
        <w:t xml:space="preserve">[12] X. Luo et al., “Resilience evaluation of low-carbon supply chain based on improved matter-element extension model,” PLOS ONE, vol. 19, no. 4, 2024. DOI: 10.1371/journal.pone.0301390.</w:t>
      </w:r>
    </w:p>
    <w:p>
      <w:pPr>
        <w:spacing w:after="40" w:before="0" w:line="220"/>
        <w:ind w:left="360" w:hanging="360"/>
        <w:jc w:val="both"/>
      </w:pPr>
      <w:r>
        <w:rPr>
          <w:rFonts w:ascii="Times New Roman" w:cs="Times New Roman" w:eastAsia="Times New Roman" w:hAnsi="Times New Roman"/>
          <w:color w:val="000000"/>
          <w:sz w:val="18"/>
          <w:szCs w:val="18"/>
        </w:rPr>
        <w:t xml:space="preserve">[13] Y. Wang et al., “A system dynamics approach to resilience analysis in the Sino-Russian timber supply chain,” Forests, vol. 16, no. 7, 2025.</w:t>
      </w:r>
    </w:p>
    <w:p>
      <w:pPr>
        <w:spacing w:after="40" w:before="0" w:line="220"/>
        <w:ind w:left="360" w:hanging="360"/>
        <w:jc w:val="both"/>
      </w:pPr>
      <w:r>
        <w:rPr>
          <w:rFonts w:ascii="Times New Roman" w:cs="Times New Roman" w:eastAsia="Times New Roman" w:hAnsi="Times New Roman"/>
          <w:color w:val="000000"/>
          <w:sz w:val="18"/>
          <w:szCs w:val="18"/>
        </w:rPr>
        <w:t xml:space="preserve">[14] K. M. Eisenhardt and J. A. Martin, “Dynamic capabilities: what are they?” Strateg. Manag. J., vol. 21, no. 10–11, pp. 1105–1121, 2000.</w:t>
      </w:r>
    </w:p>
    <w:sectPr>
      <w:type w:val="continuous"/>
      <w:pgSz w:w="12240" w:h="15840"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center"/>
    </w:pPr>
    <w:r>
      <w:rPr>
        <w:rFonts w:ascii="Times New Roman" w:cs="Times New Roman" w:eastAsia="Times New Roman" w:hAnsi="Times New Roman"/>
        <w:i/>
        <w:iCs/>
        <w:color w:val="666666"/>
        <w:sz w:val="18"/>
        <w:szCs w:val="18"/>
      </w:rPr>
      <w:t xml:space="preserve">Submitted to IEEE Transactions on Engineering Management — Manuscript in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2"/>
      </w:pBdr>
      <w:tabs>
        <w:tab w:val="right" w:pos="9026"/>
      </w:tabs>
      <w:spacing w:after="80" w:before="0"/>
    </w:pPr>
    <w:r>
      <w:rPr>
        <w:rFonts w:ascii="Times New Roman" w:cs="Times New Roman" w:eastAsia="Times New Roman" w:hAnsi="Times New Roman"/>
        <w:i/>
        <w:iCs/>
        <w:color w:val="666666"/>
        <w:sz w:val="18"/>
        <w:szCs w:val="18"/>
      </w:rPr>
      <w:t xml:space="preserve">DAIRS: A Dynamic Adaptive Index for Resilience Scoring of Supply Chain Business Plans</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160"/>
      <w:outlineLvl w:val="0"/>
    </w:pPr>
    <w:rPr>
      <w:rFonts w:ascii="Times New Roman" w:cs="Times New Roman" w:eastAsia="Times New Roman" w:hAnsi="Times New Roman"/>
      <w:b/>
      <w:bCs/>
      <w:sz w:val="20"/>
      <w:szCs w:val="20"/>
    </w:rPr>
  </w:style>
  <w:style w:type="paragraph" w:styleId="Heading2">
    <w:name w:val="Heading 2"/>
    <w:basedOn w:val="Normal"/>
    <w:next w:val="Normal"/>
    <w:pPr>
      <w:spacing w:after="60" w:before="1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2026-06-27T11:42:33.352Z</dcterms:created>
  <dcterms:modified xsi:type="dcterms:W3CDTF">2026-06-27T11:42:33.365Z</dcterms:modified>
</cp:coreProperties>
</file>

<file path=docProps/custom.xml><?xml version="1.0" encoding="utf-8"?>
<Properties xmlns="http://schemas.openxmlformats.org/officeDocument/2006/custom-properties" xmlns:vt="http://schemas.openxmlformats.org/officeDocument/2006/docPropsVTypes"/>
</file>