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pPr>
      <w:r>
        <w:t xml:space="preserve"/>
      </w:r>
    </w:p>
    <w:p>
      <w:pPr>
        <w:spacing w:after="120" w:before="0"/>
        <w:jc w:val="center"/>
      </w:pPr>
      <w:r>
        <w:rPr>
          <w:rFonts w:ascii="Arial" w:cs="Arial" w:eastAsia="Arial" w:hAnsi="Arial"/>
          <w:b/>
          <w:bCs/>
          <w:color w:val="1F4E79"/>
          <w:sz w:val="56"/>
          <w:szCs w:val="56"/>
        </w:rPr>
        <w:t xml:space="preserve">SUPPLY CHAIN RESILIENCE</w:t>
      </w:r>
    </w:p>
    <w:p>
      <w:pPr>
        <w:spacing w:after="600" w:before="0"/>
        <w:jc w:val="center"/>
      </w:pPr>
      <w:r>
        <w:rPr>
          <w:rFonts w:ascii="Arial" w:cs="Arial" w:eastAsia="Arial" w:hAnsi="Arial"/>
          <w:color w:val="185FA5"/>
          <w:sz w:val="32"/>
          <w:szCs w:val="32"/>
        </w:rPr>
        <w:t xml:space="preserve">Scoring Frameworks, Formula Development &amp; DAIRS</w:t>
      </w:r>
    </w:p>
    <w:p>
      <w:pPr>
        <w:spacing w:after="1200" w:before="0"/>
        <w:jc w:val="center"/>
      </w:pPr>
      <w:r>
        <w:rPr>
          <w:rFonts w:ascii="Arial" w:cs="Arial" w:eastAsia="Arial" w:hAnsi="Arial"/>
          <w:i/>
          <w:iCs/>
          <w:color w:val="5F5E5A"/>
          <w:sz w:val="26"/>
          <w:szCs w:val="26"/>
        </w:rPr>
        <w:t xml:space="preserve">A Consolidated Research Reference</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6000"/>
      </w:tblGrid>
      <w:tr>
        <w:tc>
          <w:tcPr>
            <w:tcBorders>
              <w:top w:val="none" w:color="FFFFFF" w:sz="0"/>
              <w:left w:val="none" w:color="FFFFFF" w:sz="0"/>
              <w:bottom w:val="none" w:color="FFFFFF" w:sz="0"/>
              <w:right w:val="none" w:color="FFFFFF" w:sz="0"/>
            </w:tcBorders>
            <w:shd w:fill="D6E4F0" w:val="clear"/>
            <w:tcMar>
              <w:top w:type="dxa" w:w="200"/>
              <w:left w:type="dxa" w:w="300"/>
              <w:bottom w:type="dxa" w:w="200"/>
              <w:right w:type="dxa" w:w="300"/>
            </w:tcMar>
          </w:tcPr>
          <w:p>
            <w:pPr>
              <w:spacing w:after="80" w:before="0"/>
              <w:jc w:val="center"/>
            </w:pPr>
            <w:r>
              <w:rPr>
                <w:rFonts w:ascii="Arial" w:cs="Arial" w:eastAsia="Arial" w:hAnsi="Arial"/>
                <w:b/>
                <w:bCs/>
                <w:color w:val="1F4E79"/>
                <w:sz w:val="22"/>
                <w:szCs w:val="22"/>
              </w:rPr>
              <w:t xml:space="preserve">Topics Covered</w:t>
            </w:r>
          </w:p>
          <w:p>
            <w:pPr>
              <w:spacing w:after="40" w:before="0"/>
              <w:jc w:val="center"/>
            </w:pPr>
            <w:r>
              <w:rPr>
                <w:rFonts w:ascii="Arial" w:cs="Arial" w:eastAsia="Arial" w:hAnsi="Arial"/>
                <w:color w:val="1A1A1A"/>
                <w:sz w:val="20"/>
                <w:szCs w:val="20"/>
              </w:rPr>
              <w:t xml:space="preserve">SCRS Formula  •  RFAVS Framework  •  Formula Critique</w:t>
            </w:r>
          </w:p>
          <w:p>
            <w:pPr>
              <w:spacing w:after="40" w:before="0"/>
              <w:jc w:val="center"/>
            </w:pPr>
            <w:r>
              <w:rPr>
                <w:rFonts w:ascii="Arial" w:cs="Arial" w:eastAsia="Arial" w:hAnsi="Arial"/>
                <w:color w:val="1A1A1A"/>
                <w:sz w:val="20"/>
                <w:szCs w:val="20"/>
              </w:rPr>
              <w:t xml:space="preserve">Literature Review  •  Novelty Assessment  •  DAIRS Framework</w:t>
            </w:r>
          </w:p>
          <w:p>
            <w:pPr>
              <w:spacing w:after="0" w:before="0"/>
              <w:jc w:val="center"/>
            </w:pPr>
            <w:r>
              <w:rPr>
                <w:rFonts w:ascii="Arial" w:cs="Arial" w:eastAsia="Arial" w:hAnsi="Arial"/>
                <w:color w:val="1A1A1A"/>
                <w:sz w:val="20"/>
                <w:szCs w:val="20"/>
              </w:rPr>
              <w:t xml:space="preserve">Worked Numerical Example  •  NutriFlow Case Study</w:t>
            </w:r>
          </w:p>
        </w:tc>
      </w:tr>
    </w:tbl>
    <w:p>
      <w:r>
        <w:br w:type="page"/>
      </w:r>
    </w:p>
    <w:p>
      <w:pPr>
        <w:pStyle w:val="Heading1"/>
        <w:pBdr>
          <w:bottom w:val="single" w:color="185FA5" w:sz="6"/>
        </w:pBdr>
        <w:shd w:fill="1F4E79" w:val="clear"/>
        <w:spacing w:after="200" w:before="360"/>
        <w:ind w:left="200" w:right="200"/>
      </w:pPr>
      <w:r>
        <w:rPr>
          <w:rFonts w:ascii="Arial" w:cs="Arial" w:eastAsia="Arial" w:hAnsi="Arial"/>
          <w:b/>
          <w:bCs/>
          <w:color w:val="FFFFFF"/>
          <w:sz w:val="36"/>
          <w:szCs w:val="36"/>
        </w:rPr>
        <w:t xml:space="preserve">1. Supply Chain Resilience Score (SCRS)</w:t>
      </w:r>
    </w:p>
    <w:p>
      <w:pPr>
        <w:pStyle w:val="Heading2"/>
        <w:pBdr>
          <w:bottom w:val="single" w:color="D6E4F0" w:sz="4"/>
        </w:pBdr>
        <w:spacing w:after="120" w:before="300"/>
      </w:pPr>
      <w:r>
        <w:rPr>
          <w:rFonts w:ascii="Arial" w:cs="Arial" w:eastAsia="Arial" w:hAnsi="Arial"/>
          <w:b/>
          <w:bCs/>
          <w:color w:val="1F4E79"/>
          <w:sz w:val="28"/>
          <w:szCs w:val="28"/>
        </w:rPr>
        <w:t xml:space="preserve">1.1 Core Formula</w:t>
      </w:r>
    </w:p>
    <w:p>
      <w:pPr>
        <w:spacing w:after="100" w:before="60"/>
      </w:pPr>
      <w:r>
        <w:rPr>
          <w:rFonts w:ascii="Arial" w:cs="Arial" w:eastAsia="Arial" w:hAnsi="Arial"/>
          <w:sz w:val="22"/>
          <w:szCs w:val="22"/>
        </w:rPr>
        <w:t xml:space="preserve">The foundational Supply Chain Resilience Score (SCRS) is a weighted composite index scored 0–100 across five dimensions:</w:t>
      </w:r>
    </w:p>
    <w:p>
      <w:pPr>
        <w:pBdr>
          <w:left w:val="single" w:color="185FA5" w:sz="12"/>
        </w:pBdr>
        <w:shd w:fill="F5F5F3" w:val="clear"/>
        <w:spacing w:after="120" w:before="120"/>
        <w:ind w:left="720"/>
      </w:pPr>
      <w:r>
        <w:rPr>
          <w:rFonts w:ascii="Courier New" w:cs="Courier New" w:eastAsia="Courier New" w:hAnsi="Courier New"/>
          <w:b/>
          <w:bCs/>
          <w:color w:val="1F4E79"/>
          <w:sz w:val="20"/>
          <w:szCs w:val="20"/>
        </w:rPr>
        <w:t xml:space="preserve">SCRS = w1(R) + w2(F) + w3(A) + w4(V) + w5(S)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rPr>
          <w:tblHeader/>
        </w:trPr>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Variable</w:t>
            </w:r>
          </w:p>
        </w:tc>
        <w:tc>
          <w:tcPr>
            <w:tcW w:type="dxa" w:w="4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Dimension</w:t>
            </w:r>
          </w:p>
        </w:tc>
        <w:tc>
          <w:tcPr>
            <w:tcW w:type="dxa" w:w="3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Typical Weight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R</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Redundancy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25%</w:t>
            </w:r>
          </w:p>
        </w:tc>
      </w:tr>
      <w:tr>
        <w:tc>
          <w:tcPr>
            <w:tcW w:type="dxa" w:w="20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pPr>
              <w:spacing w:after="0" w:before="0"/>
            </w:pPr>
            <w:r>
              <w:rPr>
                <w:rFonts w:ascii="Arial" w:cs="Arial" w:eastAsia="Arial" w:hAnsi="Arial"/>
                <w:sz w:val="20"/>
                <w:szCs w:val="20"/>
              </w:rPr>
              <w:t xml:space="preserve">F</w:t>
            </w:r>
          </w:p>
        </w:tc>
        <w:tc>
          <w:tcPr>
            <w:tcW w:type="dxa" w:w="40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pPr>
              <w:spacing w:after="0" w:before="0"/>
            </w:pPr>
            <w:r>
              <w:rPr>
                <w:rFonts w:ascii="Arial" w:cs="Arial" w:eastAsia="Arial" w:hAnsi="Arial"/>
                <w:sz w:val="20"/>
                <w:szCs w:val="20"/>
              </w:rPr>
              <w:t xml:space="preserve">Flexibility</w:t>
            </w:r>
          </w:p>
        </w:tc>
        <w:tc>
          <w:tcPr>
            <w:tcW w:type="dxa" w:w="336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pPr>
              <w:spacing w:after="0" w:before="0"/>
            </w:pPr>
            <w:r>
              <w:rPr>
                <w:rFonts w:ascii="Arial" w:cs="Arial" w:eastAsia="Arial" w:hAnsi="Arial"/>
                <w:sz w:val="20"/>
                <w:szCs w:val="20"/>
              </w:rPr>
              <w:t xml:space="preserve">20%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Agility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20%</w:t>
            </w:r>
          </w:p>
        </w:tc>
      </w:tr>
      <w:tr>
        <w:tc>
          <w:tcPr>
            <w:tcW w:type="dxa" w:w="20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pPr>
              <w:spacing w:after="0" w:before="0"/>
            </w:pPr>
            <w:r>
              <w:rPr>
                <w:rFonts w:ascii="Arial" w:cs="Arial" w:eastAsia="Arial" w:hAnsi="Arial"/>
                <w:sz w:val="20"/>
                <w:szCs w:val="20"/>
              </w:rPr>
              <w:t xml:space="preserve">V</w:t>
            </w:r>
          </w:p>
        </w:tc>
        <w:tc>
          <w:tcPr>
            <w:tcW w:type="dxa" w:w="40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pPr>
              <w:spacing w:after="0" w:before="0"/>
            </w:pPr>
            <w:r>
              <w:rPr>
                <w:rFonts w:ascii="Arial" w:cs="Arial" w:eastAsia="Arial" w:hAnsi="Arial"/>
                <w:sz w:val="20"/>
                <w:szCs w:val="20"/>
              </w:rPr>
              <w:t xml:space="preserve">Visibility</w:t>
            </w:r>
          </w:p>
        </w:tc>
        <w:tc>
          <w:tcPr>
            <w:tcW w:type="dxa" w:w="336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pPr>
              <w:spacing w:after="0" w:before="0"/>
            </w:pPr>
            <w:r>
              <w:rPr>
                <w:rFonts w:ascii="Arial" w:cs="Arial" w:eastAsia="Arial" w:hAnsi="Arial"/>
                <w:sz w:val="20"/>
                <w:szCs w:val="20"/>
              </w:rPr>
              <w:t xml:space="preserve">20%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Financial Strength</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15%</w:t>
            </w:r>
          </w:p>
        </w:tc>
      </w:tr>
    </w:tbl>
    <w:p>
      <w:pPr>
        <w:spacing w:after="120" w:before="120"/>
      </w:pPr>
      <w:r>
        <w:t xml:space="preserve"/>
      </w:r>
    </w:p>
    <w:p>
      <w:pPr>
        <w:pStyle w:val="Heading2"/>
        <w:pBdr>
          <w:bottom w:val="single" w:color="D6E4F0" w:sz="4"/>
        </w:pBdr>
        <w:spacing w:after="120" w:before="300"/>
      </w:pPr>
      <w:r>
        <w:rPr>
          <w:rFonts w:ascii="Arial" w:cs="Arial" w:eastAsia="Arial" w:hAnsi="Arial"/>
          <w:b/>
          <w:bCs/>
          <w:color w:val="1F4E79"/>
          <w:sz w:val="28"/>
          <w:szCs w:val="28"/>
        </w:rPr>
        <w:t xml:space="preserve">1.2 Dimension Formulas</w:t>
      </w:r>
    </w:p>
    <w:p>
      <w:pPr>
        <w:pStyle w:val="Heading3"/>
        <w:spacing w:after="80" w:before="200"/>
      </w:pPr>
      <w:r>
        <w:rPr>
          <w:rFonts w:ascii="Arial" w:cs="Arial" w:eastAsia="Arial" w:hAnsi="Arial"/>
          <w:b/>
          <w:bCs/>
          <w:color w:val="185FA5"/>
          <w:sz w:val="24"/>
          <w:szCs w:val="24"/>
        </w:rPr>
        <w:t xml:space="preserve">R — Redundancy</w:t>
      </w:r>
    </w:p>
    <w:p>
      <w:pPr>
        <w:spacing w:after="100" w:before="60"/>
      </w:pPr>
      <w:r>
        <w:rPr>
          <w:rFonts w:ascii="Arial" w:cs="Arial" w:eastAsia="Arial" w:hAnsi="Arial"/>
          <w:sz w:val="22"/>
          <w:szCs w:val="22"/>
        </w:rPr>
        <w:t xml:space="preserve">Measures backup capacity and supplier diversification.</w:t>
      </w:r>
    </w:p>
    <w:p>
      <w:pPr>
        <w:pBdr>
          <w:left w:val="single" w:color="185FA5" w:sz="12"/>
        </w:pBdr>
        <w:shd w:fill="F5F5F3" w:val="clear"/>
        <w:spacing w:after="120" w:before="120"/>
        <w:ind w:left="720"/>
      </w:pPr>
      <w:r>
        <w:rPr>
          <w:rFonts w:ascii="Courier New" w:cs="Courier New" w:eastAsia="Courier New" w:hAnsi="Courier New"/>
          <w:b/>
          <w:bCs/>
          <w:color w:val="1F4E79"/>
          <w:sz w:val="20"/>
          <w:szCs w:val="20"/>
        </w:rPr>
        <w:t xml:space="preserve">R = (Alternate Suppliers / Total Suppliers) x 0.5 + (Safety Stock Days / Target Stock Days) x 0.5</w:t>
      </w:r>
    </w:p>
    <w:p>
      <w:pPr>
        <w:pStyle w:val="Heading3"/>
        <w:spacing w:after="80" w:before="200"/>
      </w:pPr>
      <w:r>
        <w:rPr>
          <w:rFonts w:ascii="Arial" w:cs="Arial" w:eastAsia="Arial" w:hAnsi="Arial"/>
          <w:b/>
          <w:bCs/>
          <w:color w:val="185FA5"/>
          <w:sz w:val="24"/>
          <w:szCs w:val="24"/>
        </w:rPr>
        <w:t xml:space="preserve">F — Flexibility</w:t>
      </w:r>
    </w:p>
    <w:p>
      <w:pPr>
        <w:spacing w:after="100" w:before="60"/>
      </w:pPr>
      <w:r>
        <w:rPr>
          <w:rFonts w:ascii="Arial" w:cs="Arial" w:eastAsia="Arial" w:hAnsi="Arial"/>
          <w:sz w:val="22"/>
          <w:szCs w:val="22"/>
        </w:rPr>
        <w:t xml:space="preserve">Measures ability to surge or pivot production.</w:t>
      </w:r>
    </w:p>
    <w:p>
      <w:pPr>
        <w:pBdr>
          <w:left w:val="single" w:color="185FA5" w:sz="12"/>
        </w:pBdr>
        <w:shd w:fill="F5F5F3" w:val="clear"/>
        <w:spacing w:after="120" w:before="120"/>
        <w:ind w:left="720"/>
      </w:pPr>
      <w:r>
        <w:rPr>
          <w:rFonts w:ascii="Courier New" w:cs="Courier New" w:eastAsia="Courier New" w:hAnsi="Courier New"/>
          <w:b/>
          <w:bCs/>
          <w:color w:val="1F4E79"/>
          <w:sz w:val="20"/>
          <w:szCs w:val="20"/>
        </w:rPr>
        <w:t xml:space="preserve">F = ((Max Surge Capacity - Normal Capacity) / Normal Capacity) x 100</w:t>
      </w:r>
    </w:p>
    <w:p>
      <w:pPr>
        <w:pStyle w:val="Heading3"/>
        <w:spacing w:after="80" w:before="200"/>
      </w:pPr>
      <w:r>
        <w:rPr>
          <w:rFonts w:ascii="Arial" w:cs="Arial" w:eastAsia="Arial" w:hAnsi="Arial"/>
          <w:b/>
          <w:bCs/>
          <w:color w:val="185FA5"/>
          <w:sz w:val="24"/>
          <w:szCs w:val="24"/>
        </w:rPr>
        <w:t xml:space="preserve">A — Agility</w:t>
      </w:r>
    </w:p>
    <w:p>
      <w:pPr>
        <w:spacing w:after="100" w:before="60"/>
      </w:pPr>
      <w:r>
        <w:rPr>
          <w:rFonts w:ascii="Arial" w:cs="Arial" w:eastAsia="Arial" w:hAnsi="Arial"/>
          <w:sz w:val="22"/>
          <w:szCs w:val="22"/>
        </w:rPr>
        <w:t xml:space="preserve">Measures speed of response to disruption.</w:t>
      </w:r>
    </w:p>
    <w:p>
      <w:pPr>
        <w:pBdr>
          <w:left w:val="single" w:color="185FA5" w:sz="12"/>
        </w:pBdr>
        <w:shd w:fill="F5F5F3" w:val="clear"/>
        <w:spacing w:after="120" w:before="120"/>
        <w:ind w:left="720"/>
      </w:pPr>
      <w:r>
        <w:rPr>
          <w:rFonts w:ascii="Courier New" w:cs="Courier New" w:eastAsia="Courier New" w:hAnsi="Courier New"/>
          <w:b/>
          <w:bCs/>
          <w:color w:val="1F4E79"/>
          <w:sz w:val="20"/>
          <w:szCs w:val="20"/>
        </w:rPr>
        <w:t xml:space="preserve">A = 100 - (Avg Recovery Time / Benchmark Recovery Time x 100)</w:t>
      </w:r>
    </w:p>
    <w:p>
      <w:pPr>
        <w:pStyle w:val="Heading3"/>
        <w:spacing w:after="80" w:before="200"/>
      </w:pPr>
      <w:r>
        <w:rPr>
          <w:rFonts w:ascii="Arial" w:cs="Arial" w:eastAsia="Arial" w:hAnsi="Arial"/>
          <w:b/>
          <w:bCs/>
          <w:color w:val="185FA5"/>
          <w:sz w:val="24"/>
          <w:szCs w:val="24"/>
        </w:rPr>
        <w:t xml:space="preserve">V — Visibility</w:t>
      </w:r>
    </w:p>
    <w:p>
      <w:pPr>
        <w:spacing w:after="100" w:before="60"/>
      </w:pPr>
      <w:r>
        <w:rPr>
          <w:rFonts w:ascii="Arial" w:cs="Arial" w:eastAsia="Arial" w:hAnsi="Arial"/>
          <w:sz w:val="22"/>
          <w:szCs w:val="22"/>
        </w:rPr>
        <w:t xml:space="preserve">Measures supply chain transparency across tiers.</w:t>
      </w:r>
    </w:p>
    <w:p>
      <w:pPr>
        <w:pBdr>
          <w:left w:val="single" w:color="185FA5" w:sz="12"/>
        </w:pBdr>
        <w:shd w:fill="F5F5F3" w:val="clear"/>
        <w:spacing w:after="120" w:before="120"/>
        <w:ind w:left="720"/>
      </w:pPr>
      <w:r>
        <w:rPr>
          <w:rFonts w:ascii="Courier New" w:cs="Courier New" w:eastAsia="Courier New" w:hAnsi="Courier New"/>
          <w:b/>
          <w:bCs/>
          <w:color w:val="1F4E79"/>
          <w:sz w:val="20"/>
          <w:szCs w:val="20"/>
        </w:rPr>
        <w:t xml:space="preserve">V = (Tier1 x 0.5 + Tier2 x 0.3 + Tier3 x 0.2) / 100 x 100</w:t>
      </w:r>
    </w:p>
    <w:p>
      <w:pPr>
        <w:pStyle w:val="Heading3"/>
        <w:spacing w:after="80" w:before="200"/>
      </w:pPr>
      <w:r>
        <w:rPr>
          <w:rFonts w:ascii="Arial" w:cs="Arial" w:eastAsia="Arial" w:hAnsi="Arial"/>
          <w:b/>
          <w:bCs/>
          <w:color w:val="185FA5"/>
          <w:sz w:val="24"/>
          <w:szCs w:val="24"/>
        </w:rPr>
        <w:t xml:space="preserve">S — Financial Strength</w:t>
      </w:r>
    </w:p>
    <w:p>
      <w:pPr>
        <w:spacing w:after="100" w:before="60"/>
      </w:pPr>
      <w:r>
        <w:rPr>
          <w:rFonts w:ascii="Arial" w:cs="Arial" w:eastAsia="Arial" w:hAnsi="Arial"/>
          <w:sz w:val="22"/>
          <w:szCs w:val="22"/>
        </w:rPr>
        <w:t xml:space="preserve">Measures supplier and internal financial health.</w:t>
      </w:r>
    </w:p>
    <w:p>
      <w:pPr>
        <w:pBdr>
          <w:left w:val="single" w:color="185FA5" w:sz="12"/>
        </w:pBdr>
        <w:shd w:fill="F5F5F3" w:val="clear"/>
        <w:spacing w:after="120" w:before="120"/>
        <w:ind w:left="720"/>
      </w:pPr>
      <w:r>
        <w:rPr>
          <w:rFonts w:ascii="Courier New" w:cs="Courier New" w:eastAsia="Courier New" w:hAnsi="Courier New"/>
          <w:b/>
          <w:bCs/>
          <w:color w:val="1F4E79"/>
          <w:sz w:val="20"/>
          <w:szCs w:val="20"/>
        </w:rPr>
        <w:t xml:space="preserve">S = (Current Ratio / 2) x 50 + (Creditworthy Suppliers / Total Suppliers) x 50</w:t>
      </w:r>
    </w:p>
    <w:p>
      <w:pPr>
        <w:spacing w:after="80" w:before="80"/>
      </w:pPr>
      <w:r>
        <w:t xml:space="preserve"/>
      </w:r>
    </w:p>
    <w:p>
      <w:pPr>
        <w:pStyle w:val="Heading2"/>
        <w:pBdr>
          <w:bottom w:val="single" w:color="D6E4F0" w:sz="4"/>
        </w:pBdr>
        <w:spacing w:after="120" w:before="300"/>
      </w:pPr>
      <w:r>
        <w:rPr>
          <w:rFonts w:ascii="Arial" w:cs="Arial" w:eastAsia="Arial" w:hAnsi="Arial"/>
          <w:b/>
          <w:bCs/>
          <w:color w:val="1F4E79"/>
          <w:sz w:val="28"/>
          <w:szCs w:val="28"/>
        </w:rPr>
        <w:t xml:space="preserve">1.3 Score Interpretation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rPr>
          <w:tblHeader/>
        </w:trP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Score Range</w:t>
            </w:r>
          </w:p>
        </w:tc>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Resilience Level</w:t>
            </w:r>
          </w:p>
        </w:tc>
        <w:tc>
          <w:tcPr>
            <w:tcW w:type="dxa" w:w="3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Action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80–100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Strong</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Monitor &amp; optimise</w:t>
            </w:r>
          </w:p>
        </w:tc>
      </w:tr>
      <w:tr>
        <w:tc>
          <w:tcPr>
            <w:tcW w:type="dxa" w:w="25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pPr>
              <w:spacing w:after="0" w:before="0"/>
            </w:pPr>
            <w:r>
              <w:rPr>
                <w:rFonts w:ascii="Arial" w:cs="Arial" w:eastAsia="Arial" w:hAnsi="Arial"/>
                <w:sz w:val="20"/>
                <w:szCs w:val="20"/>
              </w:rPr>
              <w:t xml:space="preserve">60–79</w:t>
            </w:r>
          </w:p>
        </w:tc>
        <w:tc>
          <w:tcPr>
            <w:tcW w:type="dxa" w:w="30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pPr>
              <w:spacing w:after="0" w:before="0"/>
            </w:pPr>
            <w:r>
              <w:rPr>
                <w:rFonts w:ascii="Arial" w:cs="Arial" w:eastAsia="Arial" w:hAnsi="Arial"/>
                <w:sz w:val="20"/>
                <w:szCs w:val="20"/>
              </w:rPr>
              <w:t xml:space="preserve">Moderate</w:t>
            </w:r>
          </w:p>
        </w:tc>
        <w:tc>
          <w:tcPr>
            <w:tcW w:type="dxa" w:w="386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pPr>
              <w:spacing w:after="0" w:before="0"/>
            </w:pPr>
            <w:r>
              <w:rPr>
                <w:rFonts w:ascii="Arial" w:cs="Arial" w:eastAsia="Arial" w:hAnsi="Arial"/>
                <w:sz w:val="20"/>
                <w:szCs w:val="20"/>
              </w:rPr>
              <w:t xml:space="preserve">Address weak dimensions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40–59</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Fragile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Immediate investment needed</w:t>
            </w:r>
          </w:p>
        </w:tc>
      </w:tr>
      <w:tr>
        <w:tc>
          <w:tcPr>
            <w:tcW w:type="dxa" w:w="25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pPr>
              <w:spacing w:after="0" w:before="0"/>
            </w:pPr>
            <w:r>
              <w:rPr>
                <w:rFonts w:ascii="Arial" w:cs="Arial" w:eastAsia="Arial" w:hAnsi="Arial"/>
                <w:sz w:val="20"/>
                <w:szCs w:val="20"/>
              </w:rPr>
              <w:t xml:space="preserve">0–39</w:t>
            </w:r>
          </w:p>
        </w:tc>
        <w:tc>
          <w:tcPr>
            <w:tcW w:type="dxa" w:w="30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pPr>
              <w:spacing w:after="0" w:before="0"/>
            </w:pPr>
            <w:r>
              <w:rPr>
                <w:rFonts w:ascii="Arial" w:cs="Arial" w:eastAsia="Arial" w:hAnsi="Arial"/>
                <w:sz w:val="20"/>
                <w:szCs w:val="20"/>
              </w:rPr>
              <w:t xml:space="preserve">Critical</w:t>
            </w:r>
          </w:p>
        </w:tc>
        <w:tc>
          <w:tcPr>
            <w:tcW w:type="dxa" w:w="386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pPr>
              <w:spacing w:after="0" w:before="0"/>
            </w:pPr>
            <w:r>
              <w:rPr>
                <w:rFonts w:ascii="Arial" w:cs="Arial" w:eastAsia="Arial" w:hAnsi="Arial"/>
                <w:sz w:val="20"/>
                <w:szCs w:val="20"/>
              </w:rPr>
              <w:t xml:space="preserve">Crisis-level intervention</w:t>
            </w:r>
          </w:p>
        </w:tc>
      </w:tr>
    </w:tbl>
    <w:p>
      <w:pPr>
        <w:spacing w:after="120" w:before="120"/>
      </w:pPr>
      <w:r>
        <w:t xml:space="preserve"/>
      </w:r>
    </w:p>
    <w:p>
      <w:pPr>
        <w:pStyle w:val="Heading2"/>
        <w:pBdr>
          <w:bottom w:val="single" w:color="D6E4F0" w:sz="4"/>
        </w:pBdr>
        <w:spacing w:after="120" w:before="300"/>
      </w:pPr>
      <w:r>
        <w:rPr>
          <w:rFonts w:ascii="Arial" w:cs="Arial" w:eastAsia="Arial" w:hAnsi="Arial"/>
          <w:b/>
          <w:bCs/>
          <w:color w:val="1F4E79"/>
          <w:sz w:val="28"/>
          <w:szCs w:val="28"/>
        </w:rPr>
        <w:t xml:space="preserve">1.4 Risk-Adjusted Variant</w:t>
      </w:r>
    </w:p>
    <w:p>
      <w:pPr>
        <w:spacing w:after="100" w:before="60"/>
      </w:pPr>
      <w:r>
        <w:rPr>
          <w:rFonts w:ascii="Arial" w:cs="Arial" w:eastAsia="Arial" w:hAnsi="Arial"/>
          <w:sz w:val="22"/>
          <w:szCs w:val="22"/>
        </w:rPr>
        <w:t xml:space="preserve">For a more sophisticated model, multiply by a Disruption Probability Factor (DPF):</w:t>
      </w:r>
    </w:p>
    <w:p>
      <w:pPr>
        <w:pBdr>
          <w:left w:val="single" w:color="185FA5" w:sz="12"/>
        </w:pBdr>
        <w:shd w:fill="F5F5F3" w:val="clear"/>
        <w:spacing w:after="120" w:before="120"/>
        <w:ind w:left="720"/>
      </w:pPr>
      <w:r>
        <w:rPr>
          <w:rFonts w:ascii="Courier New" w:cs="Courier New" w:eastAsia="Courier New" w:hAnsi="Courier New"/>
          <w:b/>
          <w:bCs/>
          <w:color w:val="1F4E79"/>
          <w:sz w:val="20"/>
          <w:szCs w:val="20"/>
        </w:rPr>
        <w:t xml:space="preserve">SCRS_adj = SCRS x (1 - DPF)</w:t>
      </w:r>
    </w:p>
    <w:p>
      <w:pPr>
        <w:spacing w:after="100" w:before="60"/>
      </w:pPr>
      <w:r>
        <w:rPr>
          <w:rFonts w:ascii="Arial" w:cs="Arial" w:eastAsia="Arial" w:hAnsi="Arial"/>
          <w:sz w:val="22"/>
          <w:szCs w:val="22"/>
        </w:rPr>
        <w:t xml:space="preserve">Where DPF is estimated from geopolitical risk, climate exposure, and supplier concentration (0 = no risk, 1 = certain disruption).</w:t>
      </w:r>
    </w:p>
    <w:p>
      <w:r>
        <w:br w:type="page"/>
      </w:r>
    </w:p>
    <w:p>
      <w:pPr>
        <w:pStyle w:val="Heading1"/>
        <w:pBdr>
          <w:bottom w:val="single" w:color="185FA5" w:sz="6"/>
        </w:pBdr>
        <w:shd w:fill="1F4E79" w:val="clear"/>
        <w:spacing w:after="200" w:before="360"/>
        <w:ind w:left="200" w:right="200"/>
      </w:pPr>
      <w:r>
        <w:rPr>
          <w:rFonts w:ascii="Arial" w:cs="Arial" w:eastAsia="Arial" w:hAnsi="Arial"/>
          <w:b/>
          <w:bCs/>
          <w:color w:val="FFFFFF"/>
          <w:sz w:val="36"/>
          <w:szCs w:val="36"/>
        </w:rPr>
        <w:t xml:space="preserve">2. Deriving RFAVS from a Business Plan</w:t>
      </w:r>
    </w:p>
    <w:p>
      <w:pPr>
        <w:spacing w:after="100" w:before="60"/>
      </w:pPr>
      <w:r>
        <w:rPr>
          <w:rFonts w:ascii="Arial" w:cs="Arial" w:eastAsia="Arial" w:hAnsi="Arial"/>
          <w:sz w:val="22"/>
          <w:szCs w:val="22"/>
        </w:rPr>
        <w:t xml:space="preserve">When evaluating a prospective business plan (ex-ante), scores are derived from intent, design, and stated assumptions rather than operational data.</w:t>
      </w:r>
    </w:p>
    <w:p>
      <w:pPr>
        <w:pStyle w:val="Heading2"/>
        <w:pBdr>
          <w:bottom w:val="single" w:color="D6E4F0" w:sz="4"/>
        </w:pBdr>
        <w:spacing w:after="120" w:before="300"/>
      </w:pPr>
      <w:r>
        <w:rPr>
          <w:rFonts w:ascii="Arial" w:cs="Arial" w:eastAsia="Arial" w:hAnsi="Arial"/>
          <w:b/>
          <w:bCs/>
          <w:color w:val="1F4E79"/>
          <w:sz w:val="28"/>
          <w:szCs w:val="28"/>
        </w:rPr>
        <w:t xml:space="preserve">2.1 R — Redundancy</w:t>
      </w:r>
    </w:p>
    <w:p>
      <w:pPr>
        <w:spacing w:after="100" w:before="60"/>
      </w:pPr>
      <w:r>
        <w:rPr>
          <w:rFonts w:ascii="Arial" w:cs="Arial" w:eastAsia="Arial" w:hAnsi="Arial"/>
          <w:sz w:val="22"/>
          <w:szCs w:val="22"/>
        </w:rPr>
        <w:t xml:space="preserve">Look for: named suppliers with stated alternatives, inventory policy, dual-sourcing or multi-vendor strategies, backup warehousing sites.</w:t>
      </w:r>
    </w:p>
    <w:p>
      <w:pPr>
        <w:pBdr>
          <w:left w:val="single" w:color="185FA5" w:sz="12"/>
        </w:pBdr>
        <w:shd w:fill="F5F5F3" w:val="clear"/>
        <w:spacing w:after="120" w:before="120"/>
        <w:ind w:left="720"/>
      </w:pPr>
      <w:r>
        <w:rPr>
          <w:rFonts w:ascii="Courier New" w:cs="Courier New" w:eastAsia="Courier New" w:hAnsi="Courier New"/>
          <w:b/>
          <w:bCs/>
          <w:color w:val="1F4E79"/>
          <w:sz w:val="20"/>
          <w:szCs w:val="20"/>
        </w:rPr>
        <w:t xml:space="preserve">R = (Suppliers with stated alternatives / Total critical suppliers) x 0.5 + (Planned safety stock days / Industry benchmark days) x 0.5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DECEA" w:val="clear"/>
            <w:tcMar>
              <w:top w:type="dxa" w:w="120"/>
              <w:left w:type="dxa" w:w="200"/>
              <w:bottom w:type="dxa" w:w="120"/>
              <w:right w:type="dxa" w:w="200"/>
            </w:tcMar>
          </w:tcPr>
          <w:p>
            <w:pPr>
              <w:spacing w:after="40" w:before="0"/>
            </w:pPr>
            <w:r>
              <w:rPr>
                <w:rFonts w:ascii="Arial" w:cs="Arial" w:eastAsia="Arial" w:hAnsi="Arial"/>
                <w:b/>
                <w:bCs/>
                <w:color w:val="A32D2D"/>
                <w:sz w:val="20"/>
                <w:szCs w:val="20"/>
              </w:rPr>
              <w:t xml:space="preserve">Red Flag</w:t>
            </w:r>
          </w:p>
          <w:p>
            <w:pPr>
              <w:spacing w:after="0" w:before="0"/>
            </w:pPr>
            <w:r>
              <w:rPr>
                <w:rFonts w:ascii="Arial" w:cs="Arial" w:eastAsia="Arial" w:hAnsi="Arial"/>
                <w:color w:val="1A1A1A"/>
                <w:sz w:val="20"/>
                <w:szCs w:val="20"/>
              </w:rPr>
              <w:t xml:space="preserve">If the plan does not mention alternates, penalise heavily (R near 0).</w:t>
            </w:r>
          </w:p>
        </w:tc>
      </w:tr>
    </w:tbl>
    <w:p>
      <w:pPr>
        <w:spacing w:after="80" w:before="80"/>
      </w:pPr>
      <w:r>
        <w:t xml:space="preserve"/>
      </w:r>
    </w:p>
    <w:p>
      <w:pPr>
        <w:pStyle w:val="Heading2"/>
        <w:pBdr>
          <w:bottom w:val="single" w:color="D6E4F0" w:sz="4"/>
        </w:pBdr>
        <w:spacing w:after="120" w:before="300"/>
      </w:pPr>
      <w:r>
        <w:rPr>
          <w:rFonts w:ascii="Arial" w:cs="Arial" w:eastAsia="Arial" w:hAnsi="Arial"/>
          <w:b/>
          <w:bCs/>
          <w:color w:val="1F4E79"/>
          <w:sz w:val="28"/>
          <w:szCs w:val="28"/>
        </w:rPr>
        <w:t xml:space="preserve">2.2 F — Flexibility</w:t>
      </w:r>
    </w:p>
    <w:p>
      <w:pPr>
        <w:spacing w:after="100" w:before="60"/>
      </w:pPr>
      <w:r>
        <w:rPr>
          <w:rFonts w:ascii="Arial" w:cs="Arial" w:eastAsia="Arial" w:hAnsi="Arial"/>
          <w:sz w:val="22"/>
          <w:szCs w:val="22"/>
        </w:rPr>
        <w:t xml:space="preserve">Look for: capacity utilisation targets, contract manufacturing arrangements, variable vs fixed cost ratio, ability to scale headcount.</w:t>
      </w:r>
    </w:p>
    <w:p>
      <w:pPr>
        <w:pBdr>
          <w:left w:val="single" w:color="185FA5" w:sz="12"/>
        </w:pBdr>
        <w:shd w:fill="F5F5F3" w:val="clear"/>
        <w:spacing w:after="120" w:before="120"/>
        <w:ind w:left="720"/>
      </w:pPr>
      <w:r>
        <w:rPr>
          <w:rFonts w:ascii="Courier New" w:cs="Courier New" w:eastAsia="Courier New" w:hAnsi="Courier New"/>
          <w:b/>
          <w:bCs/>
          <w:color w:val="1F4E79"/>
          <w:sz w:val="20"/>
          <w:szCs w:val="20"/>
        </w:rPr>
        <w:t xml:space="preserve">F = (Planned max capacity - Planned normal capacity) / Planned normal capacity x 100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DECEA" w:val="clear"/>
            <w:tcMar>
              <w:top w:type="dxa" w:w="120"/>
              <w:left w:type="dxa" w:w="200"/>
              <w:bottom w:type="dxa" w:w="120"/>
              <w:right w:type="dxa" w:w="200"/>
            </w:tcMar>
          </w:tcPr>
          <w:p>
            <w:pPr>
              <w:spacing w:after="40" w:before="0"/>
            </w:pPr>
            <w:r>
              <w:rPr>
                <w:rFonts w:ascii="Arial" w:cs="Arial" w:eastAsia="Arial" w:hAnsi="Arial"/>
                <w:b/>
                <w:bCs/>
                <w:color w:val="A32D2D"/>
                <w:sz w:val="20"/>
                <w:szCs w:val="20"/>
              </w:rPr>
              <w:t xml:space="preserve">Red Flag</w:t>
            </w:r>
          </w:p>
          <w:p>
            <w:pPr>
              <w:spacing w:after="0" w:before="0"/>
            </w:pPr>
            <w:r>
              <w:rPr>
                <w:rFonts w:ascii="Arial" w:cs="Arial" w:eastAsia="Arial" w:hAnsi="Arial"/>
                <w:color w:val="1A1A1A"/>
                <w:sz w:val="20"/>
                <w:szCs w:val="20"/>
              </w:rPr>
              <w:t xml:space="preserve">A plan running at 95%+ capacity from day one = very low F.</w:t>
            </w:r>
          </w:p>
        </w:tc>
      </w:tr>
    </w:tbl>
    <w:p>
      <w:pPr>
        <w:spacing w:after="80" w:before="80"/>
      </w:pPr>
      <w:r>
        <w:t xml:space="preserve"/>
      </w:r>
    </w:p>
    <w:p>
      <w:pPr>
        <w:pStyle w:val="Heading2"/>
        <w:pBdr>
          <w:bottom w:val="single" w:color="D6E4F0" w:sz="4"/>
        </w:pBdr>
        <w:spacing w:after="120" w:before="300"/>
      </w:pPr>
      <w:r>
        <w:rPr>
          <w:rFonts w:ascii="Arial" w:cs="Arial" w:eastAsia="Arial" w:hAnsi="Arial"/>
          <w:b/>
          <w:bCs/>
          <w:color w:val="1F4E79"/>
          <w:sz w:val="28"/>
          <w:szCs w:val="28"/>
        </w:rPr>
        <w:t xml:space="preserve">2.3 A — Agility</w:t>
      </w:r>
    </w:p>
    <w:p>
      <w:pPr>
        <w:spacing w:after="100" w:before="60"/>
      </w:pPr>
      <w:r>
        <w:rPr>
          <w:rFonts w:ascii="Arial" w:cs="Arial" w:eastAsia="Arial" w:hAnsi="Arial"/>
          <w:sz w:val="22"/>
          <w:szCs w:val="22"/>
        </w:rPr>
        <w:t xml:space="preserve">Look for: lead time assumptions, disruption response protocols, technology investments (ERP, demand sensing), dedicated ops function.</w:t>
      </w:r>
    </w:p>
    <w:p>
      <w:pPr>
        <w:pBdr>
          <w:left w:val="single" w:color="185FA5" w:sz="12"/>
        </w:pBdr>
        <w:shd w:fill="F5F5F3" w:val="clear"/>
        <w:spacing w:after="120" w:before="120"/>
        <w:ind w:left="720"/>
      </w:pPr>
      <w:r>
        <w:rPr>
          <w:rFonts w:ascii="Courier New" w:cs="Courier New" w:eastAsia="Courier New" w:hAnsi="Courier New"/>
          <w:b/>
          <w:bCs/>
          <w:color w:val="1F4E79"/>
          <w:sz w:val="20"/>
          <w:szCs w:val="20"/>
        </w:rPr>
        <w:t xml:space="preserve">A = 100 - (Assumed lead time / Industry benchmark lead time x 100)</w:t>
      </w:r>
    </w:p>
    <w:p>
      <w:pPr>
        <w:spacing w:after="80" w:before="80"/>
      </w:pPr>
      <w:r>
        <w:t xml:space="preserve"/>
      </w:r>
    </w:p>
    <w:p>
      <w:pPr>
        <w:pStyle w:val="Heading2"/>
        <w:pBdr>
          <w:bottom w:val="single" w:color="D6E4F0" w:sz="4"/>
        </w:pBdr>
        <w:spacing w:after="120" w:before="300"/>
      </w:pPr>
      <w:r>
        <w:rPr>
          <w:rFonts w:ascii="Arial" w:cs="Arial" w:eastAsia="Arial" w:hAnsi="Arial"/>
          <w:b/>
          <w:bCs/>
          <w:color w:val="1F4E79"/>
          <w:sz w:val="28"/>
          <w:szCs w:val="28"/>
        </w:rPr>
        <w:t xml:space="preserve">2.4 V — Visibility</w:t>
      </w:r>
    </w:p>
    <w:p>
      <w:pPr>
        <w:spacing w:after="100" w:before="60"/>
      </w:pPr>
      <w:r>
        <w:rPr>
          <w:rFonts w:ascii="Arial" w:cs="Arial" w:eastAsia="Arial" w:hAnsi="Arial"/>
          <w:sz w:val="22"/>
          <w:szCs w:val="22"/>
        </w:rPr>
        <w:t xml:space="preserve">Look for: ERP/TMS/WMS/supplier portal investments, Tier 2/3 audit plans, real-time tracking or IoT.</w:t>
      </w:r>
    </w:p>
    <w:p>
      <w:pPr>
        <w:pBdr>
          <w:left w:val="single" w:color="185FA5" w:sz="12"/>
        </w:pBdr>
        <w:shd w:fill="F5F5F3" w:val="clear"/>
        <w:spacing w:after="120" w:before="120"/>
        <w:ind w:left="720"/>
      </w:pPr>
      <w:r>
        <w:rPr>
          <w:rFonts w:ascii="Courier New" w:cs="Courier New" w:eastAsia="Courier New" w:hAnsi="Courier New"/>
          <w:b/>
          <w:bCs/>
          <w:color w:val="1F4E79"/>
          <w:sz w:val="20"/>
          <w:szCs w:val="20"/>
        </w:rPr>
        <w:t xml:space="preserve">V = (Tier1 x 0.5 + Tier2 x 0.3 + Tier3 x 0.2) / 100 x 100</w:t>
      </w:r>
    </w:p>
    <w:p>
      <w:pPr>
        <w:spacing w:after="80" w:before="80"/>
      </w:pPr>
      <w:r>
        <w:t xml:space="preserve"/>
      </w:r>
    </w:p>
    <w:p>
      <w:pPr>
        <w:pStyle w:val="Heading2"/>
        <w:pBdr>
          <w:bottom w:val="single" w:color="D6E4F0" w:sz="4"/>
        </w:pBdr>
        <w:spacing w:after="120" w:before="300"/>
      </w:pPr>
      <w:r>
        <w:rPr>
          <w:rFonts w:ascii="Arial" w:cs="Arial" w:eastAsia="Arial" w:hAnsi="Arial"/>
          <w:b/>
          <w:bCs/>
          <w:color w:val="1F4E79"/>
          <w:sz w:val="28"/>
          <w:szCs w:val="28"/>
        </w:rPr>
        <w:t xml:space="preserve">2.5 S — Financial Strength</w:t>
      </w:r>
    </w:p>
    <w:p>
      <w:pPr>
        <w:spacing w:after="100" w:before="60"/>
      </w:pPr>
      <w:r>
        <w:rPr>
          <w:rFonts w:ascii="Arial" w:cs="Arial" w:eastAsia="Arial" w:hAnsi="Arial"/>
          <w:sz w:val="22"/>
          <w:szCs w:val="22"/>
        </w:rPr>
        <w:t xml:space="preserve">Look for: current ratio projections, cash runway, supplier payment terms, creditworthiness of key suppliers.</w:t>
      </w:r>
    </w:p>
    <w:p>
      <w:pPr>
        <w:pBdr>
          <w:left w:val="single" w:color="185FA5" w:sz="12"/>
        </w:pBdr>
        <w:shd w:fill="F5F5F3" w:val="clear"/>
        <w:spacing w:after="120" w:before="120"/>
        <w:ind w:left="720"/>
      </w:pPr>
      <w:r>
        <w:rPr>
          <w:rFonts w:ascii="Courier New" w:cs="Courier New" w:eastAsia="Courier New" w:hAnsi="Courier New"/>
          <w:b/>
          <w:bCs/>
          <w:color w:val="1F4E79"/>
          <w:sz w:val="20"/>
          <w:szCs w:val="20"/>
        </w:rPr>
        <w:t xml:space="preserve">S = (Projected Current Ratio / 2) x 50 + (Creditworthy Suppliers / Total Key Suppliers) x 50</w:t>
      </w:r>
    </w:p>
    <w:p>
      <w:pPr>
        <w:spacing w:after="80" w:before="80"/>
      </w:pPr>
      <w:r>
        <w:t xml:space="preserve"/>
      </w:r>
    </w:p>
    <w:p>
      <w:pPr>
        <w:pStyle w:val="Heading2"/>
        <w:pBdr>
          <w:bottom w:val="single" w:color="D6E4F0" w:sz="4"/>
        </w:pBdr>
        <w:spacing w:after="120" w:before="300"/>
      </w:pPr>
      <w:r>
        <w:rPr>
          <w:rFonts w:ascii="Arial" w:cs="Arial" w:eastAsia="Arial" w:hAnsi="Arial"/>
          <w:b/>
          <w:bCs/>
          <w:color w:val="1F4E79"/>
          <w:sz w:val="28"/>
          <w:szCs w:val="28"/>
        </w:rPr>
        <w:t xml:space="preserve">2.6 Proxy Scoring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0"/>
        <w:gridCol w:w="3860"/>
      </w:tblGrid>
      <w:tr>
        <w:trPr>
          <w:tblHeader/>
        </w:trPr>
        <w:tc>
          <w:tcPr>
            <w:tcW w:type="dxa" w:w="5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Signal in Business Plan</w:t>
            </w:r>
          </w:p>
        </w:tc>
        <w:tc>
          <w:tcPr>
            <w:tcW w:type="dxa" w:w="3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Score Range</w:t>
            </w:r>
          </w:p>
        </w:tc>
      </w:tr>
      <w:tr>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Detailed, quantified strategy with named backups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75–100</w:t>
            </w:r>
          </w:p>
        </w:tc>
      </w:tr>
      <w:tr>
        <w:tc>
          <w:tcPr>
            <w:tcW w:type="dxa" w:w="55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pPr>
              <w:spacing w:after="0" w:before="0"/>
            </w:pPr>
            <w:r>
              <w:rPr>
                <w:rFonts w:ascii="Arial" w:cs="Arial" w:eastAsia="Arial" w:hAnsi="Arial"/>
                <w:sz w:val="20"/>
                <w:szCs w:val="20"/>
              </w:rPr>
              <w:t xml:space="preserve">Strategy mentioned but vague, no specifics</w:t>
            </w:r>
          </w:p>
        </w:tc>
        <w:tc>
          <w:tcPr>
            <w:tcW w:type="dxa" w:w="386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pPr>
              <w:spacing w:after="0" w:before="0"/>
            </w:pPr>
            <w:r>
              <w:rPr>
                <w:rFonts w:ascii="Arial" w:cs="Arial" w:eastAsia="Arial" w:hAnsi="Arial"/>
                <w:sz w:val="20"/>
                <w:szCs w:val="20"/>
              </w:rPr>
              <w:t xml:space="preserve">40–74</w:t>
            </w:r>
          </w:p>
        </w:tc>
      </w:tr>
      <w:tr>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Dimension acknowledged as risk but unaddressed</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20–39</w:t>
            </w:r>
          </w:p>
        </w:tc>
      </w:tr>
      <w:tr>
        <w:tc>
          <w:tcPr>
            <w:tcW w:type="dxa" w:w="55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pPr>
              <w:spacing w:after="0" w:before="0"/>
            </w:pPr>
            <w:r>
              <w:rPr>
                <w:rFonts w:ascii="Arial" w:cs="Arial" w:eastAsia="Arial" w:hAnsi="Arial"/>
                <w:sz w:val="20"/>
                <w:szCs w:val="20"/>
              </w:rPr>
              <w:t xml:space="preserve">Dimension not mentioned at all</w:t>
            </w:r>
          </w:p>
        </w:tc>
        <w:tc>
          <w:tcPr>
            <w:tcW w:type="dxa" w:w="386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pPr>
              <w:spacing w:after="0" w:before="0"/>
            </w:pPr>
            <w:r>
              <w:rPr>
                <w:rFonts w:ascii="Arial" w:cs="Arial" w:eastAsia="Arial" w:hAnsi="Arial"/>
                <w:sz w:val="20"/>
                <w:szCs w:val="20"/>
              </w:rPr>
              <w:t xml:space="preserve">0–19</w:t>
            </w:r>
          </w:p>
        </w:tc>
      </w:tr>
    </w:tbl>
    <w:p>
      <w:r>
        <w:br w:type="page"/>
      </w:r>
    </w:p>
    <w:p>
      <w:pPr>
        <w:pStyle w:val="Heading1"/>
        <w:pBdr>
          <w:bottom w:val="single" w:color="185FA5" w:sz="6"/>
        </w:pBdr>
        <w:shd w:fill="1F4E79" w:val="clear"/>
        <w:spacing w:after="200" w:before="360"/>
        <w:ind w:left="200" w:right="200"/>
      </w:pPr>
      <w:r>
        <w:rPr>
          <w:rFonts w:ascii="Arial" w:cs="Arial" w:eastAsia="Arial" w:hAnsi="Arial"/>
          <w:b/>
          <w:bCs/>
          <w:color w:val="FFFFFF"/>
          <w:sz w:val="36"/>
          <w:szCs w:val="36"/>
        </w:rPr>
        <w:t xml:space="preserve">3. The Analytical Formula: SCI-LDI-SPOF-GDI-LTBI-SI</w:t>
      </w:r>
    </w:p>
    <w:p>
      <w:pPr>
        <w:pStyle w:val="Heading2"/>
        <w:pBdr>
          <w:bottom w:val="single" w:color="D6E4F0" w:sz="4"/>
        </w:pBdr>
        <w:spacing w:after="120" w:before="300"/>
      </w:pPr>
      <w:r>
        <w:rPr>
          <w:rFonts w:ascii="Arial" w:cs="Arial" w:eastAsia="Arial" w:hAnsi="Arial"/>
          <w:b/>
          <w:bCs/>
          <w:color w:val="1F4E79"/>
          <w:sz w:val="28"/>
          <w:szCs w:val="28"/>
        </w:rPr>
        <w:t xml:space="preserve">3.1 Formula</w:t>
      </w:r>
    </w:p>
    <w:p>
      <w:pPr>
        <w:pBdr>
          <w:left w:val="single" w:color="185FA5" w:sz="12"/>
        </w:pBdr>
        <w:shd w:fill="F5F5F3" w:val="clear"/>
        <w:spacing w:after="120" w:before="120"/>
        <w:ind w:left="720"/>
      </w:pPr>
      <w:r>
        <w:rPr>
          <w:rFonts w:ascii="Courier New" w:cs="Courier New" w:eastAsia="Courier New" w:hAnsi="Courier New"/>
          <w:b/>
          <w:bCs/>
          <w:color w:val="1F4E79"/>
          <w:sz w:val="20"/>
          <w:szCs w:val="20"/>
        </w:rPr>
        <w:t xml:space="preserve">SCRS = 100 x [ 0.25(1-SCI) + 0.20(1-LDI) + 0.30(1-SPOF) + 0.15*GDI + 0.07*LTBI + 0.03*SI ]</w:t>
      </w:r>
    </w:p>
    <w:p>
      <w:pPr>
        <w:pStyle w:val="Heading2"/>
        <w:pBdr>
          <w:bottom w:val="single" w:color="D6E4F0" w:sz="4"/>
        </w:pBdr>
        <w:spacing w:after="120" w:before="300"/>
      </w:pPr>
      <w:r>
        <w:rPr>
          <w:rFonts w:ascii="Arial" w:cs="Arial" w:eastAsia="Arial" w:hAnsi="Arial"/>
          <w:b/>
          <w:bCs/>
          <w:color w:val="1F4E79"/>
          <w:sz w:val="28"/>
          <w:szCs w:val="28"/>
        </w:rPr>
        <w:t xml:space="preserve">3.2 Component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1200"/>
        <w:gridCol w:w="3660"/>
      </w:tblGrid>
      <w:tr>
        <w:trPr>
          <w:tblHeader/>
        </w:trPr>
        <w:tc>
          <w:tcPr>
            <w:tcW w:type="dxa" w:w="1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Component</w:t>
            </w:r>
          </w:p>
        </w:tc>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Full Name</w:t>
            </w:r>
          </w:p>
        </w:tc>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Weight</w:t>
            </w:r>
          </w:p>
        </w:tc>
        <w:tc>
          <w:tcPr>
            <w:tcW w:type="dxa" w:w="36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Logic</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SCI</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Supplier Concentration Index</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25%</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Risk metric → inverted</w:t>
            </w:r>
          </w:p>
        </w:tc>
      </w:tr>
      <w:tr>
        <w:tc>
          <w:tcPr>
            <w:tcW w:type="dxa" w:w="15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pPr>
              <w:spacing w:after="0" w:before="0"/>
            </w:pPr>
            <w:r>
              <w:rPr>
                <w:rFonts w:ascii="Arial" w:cs="Arial" w:eastAsia="Arial" w:hAnsi="Arial"/>
                <w:sz w:val="20"/>
                <w:szCs w:val="20"/>
              </w:rPr>
              <w:t xml:space="preserve">LDI</w:t>
            </w:r>
          </w:p>
        </w:tc>
        <w:tc>
          <w:tcPr>
            <w:tcW w:type="dxa" w:w="30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pPr>
              <w:spacing w:after="0" w:before="0"/>
            </w:pPr>
            <w:r>
              <w:rPr>
                <w:rFonts w:ascii="Arial" w:cs="Arial" w:eastAsia="Arial" w:hAnsi="Arial"/>
                <w:sz w:val="20"/>
                <w:szCs w:val="20"/>
              </w:rPr>
              <w:t xml:space="preserve">Lead Time Dispersion Index</w:t>
            </w:r>
          </w:p>
        </w:tc>
        <w:tc>
          <w:tcPr>
            <w:tcW w:type="dxa" w:w="12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pPr>
              <w:spacing w:after="0" w:before="0"/>
            </w:pPr>
            <w:r>
              <w:rPr>
                <w:rFonts w:ascii="Arial" w:cs="Arial" w:eastAsia="Arial" w:hAnsi="Arial"/>
                <w:sz w:val="20"/>
                <w:szCs w:val="20"/>
              </w:rPr>
              <w:t xml:space="preserve">20%</w:t>
            </w:r>
          </w:p>
        </w:tc>
        <w:tc>
          <w:tcPr>
            <w:tcW w:type="dxa" w:w="366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pPr>
              <w:spacing w:after="0" w:before="0"/>
            </w:pPr>
            <w:r>
              <w:rPr>
                <w:rFonts w:ascii="Arial" w:cs="Arial" w:eastAsia="Arial" w:hAnsi="Arial"/>
                <w:sz w:val="20"/>
                <w:szCs w:val="20"/>
              </w:rPr>
              <w:t xml:space="preserve">Risk metric → inverted</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SPOF</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Single Point of Failure Index</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30%</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Risk metric → inverted</w:t>
            </w:r>
          </w:p>
        </w:tc>
      </w:tr>
      <w:tr>
        <w:tc>
          <w:tcPr>
            <w:tcW w:type="dxa" w:w="15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pPr>
              <w:spacing w:after="0" w:before="0"/>
            </w:pPr>
            <w:r>
              <w:rPr>
                <w:rFonts w:ascii="Arial" w:cs="Arial" w:eastAsia="Arial" w:hAnsi="Arial"/>
                <w:sz w:val="20"/>
                <w:szCs w:val="20"/>
              </w:rPr>
              <w:t xml:space="preserve">GDI</w:t>
            </w:r>
          </w:p>
        </w:tc>
        <w:tc>
          <w:tcPr>
            <w:tcW w:type="dxa" w:w="30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pPr>
              <w:spacing w:after="0" w:before="0"/>
            </w:pPr>
            <w:r>
              <w:rPr>
                <w:rFonts w:ascii="Arial" w:cs="Arial" w:eastAsia="Arial" w:hAnsi="Arial"/>
                <w:sz w:val="20"/>
                <w:szCs w:val="20"/>
              </w:rPr>
              <w:t xml:space="preserve">Geographic Diversification Index</w:t>
            </w:r>
          </w:p>
        </w:tc>
        <w:tc>
          <w:tcPr>
            <w:tcW w:type="dxa" w:w="12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pPr>
              <w:spacing w:after="0" w:before="0"/>
            </w:pPr>
            <w:r>
              <w:rPr>
                <w:rFonts w:ascii="Arial" w:cs="Arial" w:eastAsia="Arial" w:hAnsi="Arial"/>
                <w:sz w:val="20"/>
                <w:szCs w:val="20"/>
              </w:rPr>
              <w:t xml:space="preserve">15%</w:t>
            </w:r>
          </w:p>
        </w:tc>
        <w:tc>
          <w:tcPr>
            <w:tcW w:type="dxa" w:w="366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pPr>
              <w:spacing w:after="0" w:before="0"/>
            </w:pPr>
            <w:r>
              <w:rPr>
                <w:rFonts w:ascii="Arial" w:cs="Arial" w:eastAsia="Arial" w:hAnsi="Arial"/>
                <w:sz w:val="20"/>
                <w:szCs w:val="20"/>
              </w:rPr>
              <w:t xml:space="preserve">Resilience metric → direct</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LTBI</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Long-Term Buyer Index</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7%</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Resilience metric → direct</w:t>
            </w:r>
          </w:p>
        </w:tc>
      </w:tr>
      <w:tr>
        <w:tc>
          <w:tcPr>
            <w:tcW w:type="dxa" w:w="15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pPr>
              <w:spacing w:after="0" w:before="0"/>
            </w:pPr>
            <w:r>
              <w:rPr>
                <w:rFonts w:ascii="Arial" w:cs="Arial" w:eastAsia="Arial" w:hAnsi="Arial"/>
                <w:sz w:val="20"/>
                <w:szCs w:val="20"/>
              </w:rPr>
              <w:t xml:space="preserve">SI</w:t>
            </w:r>
          </w:p>
        </w:tc>
        <w:tc>
          <w:tcPr>
            <w:tcW w:type="dxa" w:w="30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pPr>
              <w:spacing w:after="0" w:before="0"/>
            </w:pPr>
            <w:r>
              <w:rPr>
                <w:rFonts w:ascii="Arial" w:cs="Arial" w:eastAsia="Arial" w:hAnsi="Arial"/>
                <w:sz w:val="20"/>
                <w:szCs w:val="20"/>
              </w:rPr>
              <w:t xml:space="preserve">Substitutability Index</w:t>
            </w:r>
          </w:p>
        </w:tc>
        <w:tc>
          <w:tcPr>
            <w:tcW w:type="dxa" w:w="12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pPr>
              <w:spacing w:after="0" w:before="0"/>
            </w:pPr>
            <w:r>
              <w:rPr>
                <w:rFonts w:ascii="Arial" w:cs="Arial" w:eastAsia="Arial" w:hAnsi="Arial"/>
                <w:sz w:val="20"/>
                <w:szCs w:val="20"/>
              </w:rPr>
              <w:t xml:space="preserve">3%</w:t>
            </w:r>
          </w:p>
        </w:tc>
        <w:tc>
          <w:tcPr>
            <w:tcW w:type="dxa" w:w="366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pPr>
              <w:spacing w:after="0" w:before="0"/>
            </w:pPr>
            <w:r>
              <w:rPr>
                <w:rFonts w:ascii="Arial" w:cs="Arial" w:eastAsia="Arial" w:hAnsi="Arial"/>
                <w:sz w:val="20"/>
                <w:szCs w:val="20"/>
              </w:rPr>
              <w:t xml:space="preserve">Resilience metric → direct</w:t>
            </w:r>
          </w:p>
        </w:tc>
      </w:tr>
    </w:tbl>
    <w:p>
      <w:pPr>
        <w:spacing w:after="120" w:before="120"/>
      </w:pPr>
      <w:r>
        <w:t xml:space="preserve"/>
      </w:r>
    </w:p>
    <w:p>
      <w:pPr>
        <w:pStyle w:val="Heading2"/>
        <w:pBdr>
          <w:bottom w:val="single" w:color="D6E4F0" w:sz="4"/>
        </w:pBdr>
        <w:spacing w:after="120" w:before="300"/>
      </w:pPr>
      <w:r>
        <w:rPr>
          <w:rFonts w:ascii="Arial" w:cs="Arial" w:eastAsia="Arial" w:hAnsi="Arial"/>
          <w:b/>
          <w:bCs/>
          <w:color w:val="1F4E79"/>
          <w:sz w:val="28"/>
          <w:szCs w:val="28"/>
        </w:rPr>
        <w:t xml:space="preserve">3.3 Dual-Logic Architecture</w:t>
      </w:r>
    </w:p>
    <w:p>
      <w:pPr>
        <w:spacing w:after="100" w:before="60"/>
      </w:pPr>
      <w:r>
        <w:rPr>
          <w:rFonts w:ascii="Arial" w:cs="Arial" w:eastAsia="Arial" w:hAnsi="Arial"/>
          <w:sz w:val="22"/>
          <w:szCs w:val="22"/>
        </w:rPr>
        <w:t xml:space="preserve">This formula uses two opposite logics in one equation:</w:t>
      </w:r>
    </w:p>
    <w:p>
      <w:pPr>
        <w:pStyle w:val="ListParagraph"/>
        <w:numPr>
          <w:ilvl w:val="0"/>
          <w:numId w:val="2"/>
        </w:numPr>
        <w:spacing w:after="40" w:before="40"/>
      </w:pPr>
      <w:r>
        <w:rPr>
          <w:rFonts w:ascii="Arial" w:cs="Arial" w:eastAsia="Arial" w:hAnsi="Arial"/>
          <w:b/>
          <w:bCs/>
          <w:sz w:val="22"/>
          <w:szCs w:val="22"/>
        </w:rPr>
        <w:t xml:space="preserve">Risk indices (inverted with 1−x): </w:t>
      </w:r>
      <w:r>
        <w:rPr>
          <w:rFonts w:ascii="Arial" w:cs="Arial" w:eastAsia="Arial" w:hAnsi="Arial"/>
          <w:sz w:val="22"/>
          <w:szCs w:val="22"/>
        </w:rPr>
        <w:t xml:space="preserve">Higher risk → lower score. E.g. SCI=0.9 ⇒ 1−0.9=0.10</w:t>
      </w:r>
    </w:p>
    <w:p>
      <w:pPr>
        <w:pStyle w:val="ListParagraph"/>
        <w:numPr>
          <w:ilvl w:val="0"/>
          <w:numId w:val="2"/>
        </w:numPr>
        <w:spacing w:after="40" w:before="40"/>
      </w:pPr>
      <w:r>
        <w:rPr>
          <w:rFonts w:ascii="Arial" w:cs="Arial" w:eastAsia="Arial" w:hAnsi="Arial"/>
          <w:b/>
          <w:bCs/>
          <w:sz w:val="22"/>
          <w:szCs w:val="22"/>
        </w:rPr>
        <w:t xml:space="preserve">Resilience indices (direct): </w:t>
      </w:r>
      <w:r>
        <w:rPr>
          <w:rFonts w:ascii="Arial" w:cs="Arial" w:eastAsia="Arial" w:hAnsi="Arial"/>
          <w:sz w:val="22"/>
          <w:szCs w:val="22"/>
        </w:rPr>
        <w:t xml:space="preserve">Higher index → higher score. E.g. GDI=0.8 ⇒ 0.8 rewarded directly</w:t>
      </w:r>
    </w:p>
    <w:p>
      <w:pPr>
        <w:spacing w:after="80" w:before="80"/>
      </w:pPr>
      <w:r>
        <w:t xml:space="preserve"/>
      </w:r>
    </w:p>
    <w:p>
      <w:pPr>
        <w:pStyle w:val="Heading2"/>
        <w:pBdr>
          <w:bottom w:val="single" w:color="D6E4F0" w:sz="4"/>
        </w:pBdr>
        <w:spacing w:after="120" w:before="300"/>
      </w:pPr>
      <w:r>
        <w:rPr>
          <w:rFonts w:ascii="Arial" w:cs="Arial" w:eastAsia="Arial" w:hAnsi="Arial"/>
          <w:b/>
          <w:bCs/>
          <w:color w:val="1F4E79"/>
          <w:sz w:val="28"/>
          <w:szCs w:val="28"/>
        </w:rPr>
        <w:t xml:space="preserve">3.4 How Each Index is Derived</w:t>
      </w:r>
    </w:p>
    <w:p>
      <w:pPr>
        <w:pStyle w:val="Heading3"/>
        <w:spacing w:after="80" w:before="200"/>
      </w:pPr>
      <w:r>
        <w:rPr>
          <w:rFonts w:ascii="Arial" w:cs="Arial" w:eastAsia="Arial" w:hAnsi="Arial"/>
          <w:b/>
          <w:bCs/>
          <w:color w:val="185FA5"/>
          <w:sz w:val="24"/>
          <w:szCs w:val="24"/>
        </w:rPr>
        <w:t xml:space="preserve">SCI — Supplier Concentration Index (25%)</w:t>
      </w:r>
    </w:p>
    <w:p>
      <w:pPr>
        <w:spacing w:after="100" w:before="60"/>
      </w:pPr>
      <w:r>
        <w:rPr>
          <w:rFonts w:ascii="Arial" w:cs="Arial" w:eastAsia="Arial" w:hAnsi="Arial"/>
          <w:sz w:val="22"/>
          <w:szCs w:val="22"/>
        </w:rPr>
        <w:t xml:space="preserve">Based on the Herfindahl-Hirschman Index (HHI):</w:t>
      </w:r>
    </w:p>
    <w:p>
      <w:pPr>
        <w:pBdr>
          <w:left w:val="single" w:color="185FA5" w:sz="12"/>
        </w:pBdr>
        <w:shd w:fill="F5F5F3" w:val="clear"/>
        <w:spacing w:after="120" w:before="120"/>
        <w:ind w:left="720"/>
      </w:pPr>
      <w:r>
        <w:rPr>
          <w:rFonts w:ascii="Courier New" w:cs="Courier New" w:eastAsia="Courier New" w:hAnsi="Courier New"/>
          <w:b/>
          <w:bCs/>
          <w:color w:val="1F4E79"/>
          <w:sz w:val="20"/>
          <w:szCs w:val="20"/>
        </w:rPr>
        <w:t xml:space="preserve">SCI = sum(s_i^2)    where s_i = share of spend with supplier i</w:t>
      </w:r>
    </w:p>
    <w:p>
      <w:pPr>
        <w:spacing w:after="100" w:before="60"/>
      </w:pPr>
      <w:r>
        <w:rPr>
          <w:rFonts w:ascii="Arial" w:cs="Arial" w:eastAsia="Arial" w:hAnsi="Arial"/>
          <w:sz w:val="22"/>
          <w:szCs w:val="22"/>
        </w:rPr>
        <w:t xml:space="preserve">SCI → 1.0 = one supplier dominates (very risky). SCI → 0.0 = perfectly distributed.</w:t>
      </w:r>
    </w:p>
    <w:p>
      <w:pPr>
        <w:pStyle w:val="Heading3"/>
        <w:spacing w:after="80" w:before="200"/>
      </w:pPr>
      <w:r>
        <w:rPr>
          <w:rFonts w:ascii="Arial" w:cs="Arial" w:eastAsia="Arial" w:hAnsi="Arial"/>
          <w:b/>
          <w:bCs/>
          <w:color w:val="185FA5"/>
          <w:sz w:val="24"/>
          <w:szCs w:val="24"/>
        </w:rPr>
        <w:t xml:space="preserve">LDI — Lead Time Dispersion Index (20%)</w:t>
      </w:r>
    </w:p>
    <w:p>
      <w:pPr>
        <w:spacing w:after="100" w:before="60"/>
      </w:pPr>
      <w:r>
        <w:rPr>
          <w:rFonts w:ascii="Arial" w:cs="Arial" w:eastAsia="Arial" w:hAnsi="Arial"/>
          <w:sz w:val="22"/>
          <w:szCs w:val="22"/>
        </w:rPr>
        <w:t xml:space="preserve">Coefficient of Variation of lead times:</w:t>
      </w:r>
    </w:p>
    <w:p>
      <w:pPr>
        <w:pBdr>
          <w:left w:val="single" w:color="185FA5" w:sz="12"/>
        </w:pBdr>
        <w:shd w:fill="F5F5F3" w:val="clear"/>
        <w:spacing w:after="120" w:before="120"/>
        <w:ind w:left="720"/>
      </w:pPr>
      <w:r>
        <w:rPr>
          <w:rFonts w:ascii="Courier New" w:cs="Courier New" w:eastAsia="Courier New" w:hAnsi="Courier New"/>
          <w:b/>
          <w:bCs/>
          <w:color w:val="1F4E79"/>
          <w:sz w:val="20"/>
          <w:szCs w:val="20"/>
        </w:rPr>
        <w:t xml:space="preserve">LDI = sigma_LT / mu_LT</w:t>
      </w:r>
    </w:p>
    <w:p>
      <w:pPr>
        <w:spacing w:after="100" w:before="60"/>
      </w:pPr>
      <w:r>
        <w:rPr>
          <w:rFonts w:ascii="Arial" w:cs="Arial" w:eastAsia="Arial" w:hAnsi="Arial"/>
          <w:sz w:val="22"/>
          <w:szCs w:val="22"/>
        </w:rPr>
        <w:t xml:space="preserve">High LDI = erratic, unreliable delivery. Low LDI = consistent, predictable.</w:t>
      </w:r>
    </w:p>
    <w:p>
      <w:pPr>
        <w:pStyle w:val="Heading3"/>
        <w:spacing w:after="80" w:before="200"/>
      </w:pPr>
      <w:r>
        <w:rPr>
          <w:rFonts w:ascii="Arial" w:cs="Arial" w:eastAsia="Arial" w:hAnsi="Arial"/>
          <w:b/>
          <w:bCs/>
          <w:color w:val="185FA5"/>
          <w:sz w:val="24"/>
          <w:szCs w:val="24"/>
        </w:rPr>
        <w:t xml:space="preserve">SPOF — Single Point of Failure Index (30%)</w:t>
      </w:r>
    </w:p>
    <w:p>
      <w:pPr>
        <w:spacing w:after="100" w:before="60"/>
      </w:pPr>
      <w:r>
        <w:rPr>
          <w:rFonts w:ascii="Arial" w:cs="Arial" w:eastAsia="Arial" w:hAnsi="Arial"/>
          <w:sz w:val="22"/>
          <w:szCs w:val="22"/>
        </w:rPr>
        <w:t xml:space="preserve">Highest-weighted component — measures structural fragility:</w:t>
      </w:r>
    </w:p>
    <w:p>
      <w:pPr>
        <w:pBdr>
          <w:left w:val="single" w:color="185FA5" w:sz="12"/>
        </w:pBdr>
        <w:shd w:fill="F5F5F3" w:val="clear"/>
        <w:spacing w:after="120" w:before="120"/>
        <w:ind w:left="720"/>
      </w:pPr>
      <w:r>
        <w:rPr>
          <w:rFonts w:ascii="Courier New" w:cs="Courier New" w:eastAsia="Courier New" w:hAnsi="Courier New"/>
          <w:b/>
          <w:bCs/>
          <w:color w:val="1F4E79"/>
          <w:sz w:val="20"/>
          <w:szCs w:val="20"/>
        </w:rPr>
        <w:t xml:space="preserve">SPOF = (Critical nodes with no backup) / (Total critical nodes)</w:t>
      </w:r>
    </w:p>
    <w:p>
      <w:pPr>
        <w:pStyle w:val="Heading3"/>
        <w:spacing w:after="80" w:before="200"/>
      </w:pPr>
      <w:r>
        <w:rPr>
          <w:rFonts w:ascii="Arial" w:cs="Arial" w:eastAsia="Arial" w:hAnsi="Arial"/>
          <w:b/>
          <w:bCs/>
          <w:color w:val="185FA5"/>
          <w:sz w:val="24"/>
          <w:szCs w:val="24"/>
        </w:rPr>
        <w:t xml:space="preserve">GDI — Geographic Diversification Index (15%)</w:t>
      </w:r>
    </w:p>
    <w:p>
      <w:pPr>
        <w:spacing w:after="100" w:before="60"/>
      </w:pPr>
      <w:r>
        <w:rPr>
          <w:rFonts w:ascii="Arial" w:cs="Arial" w:eastAsia="Arial" w:hAnsi="Arial"/>
          <w:sz w:val="22"/>
          <w:szCs w:val="22"/>
        </w:rPr>
        <w:t xml:space="preserve">Inverse HHI across geographies:</w:t>
      </w:r>
    </w:p>
    <w:p>
      <w:pPr>
        <w:pBdr>
          <w:left w:val="single" w:color="185FA5" w:sz="12"/>
        </w:pBdr>
        <w:shd w:fill="F5F5F3" w:val="clear"/>
        <w:spacing w:after="120" w:before="120"/>
        <w:ind w:left="720"/>
      </w:pPr>
      <w:r>
        <w:rPr>
          <w:rFonts w:ascii="Courier New" w:cs="Courier New" w:eastAsia="Courier New" w:hAnsi="Courier New"/>
          <w:b/>
          <w:bCs/>
          <w:color w:val="1F4E79"/>
          <w:sz w:val="20"/>
          <w:szCs w:val="20"/>
        </w:rPr>
        <w:t xml:space="preserve">GDI = 1 - sum(g_r^2)    where g_r = share of supply from region r</w:t>
      </w:r>
    </w:p>
    <w:p>
      <w:pPr>
        <w:pStyle w:val="Heading3"/>
        <w:spacing w:after="80" w:before="200"/>
      </w:pPr>
      <w:r>
        <w:rPr>
          <w:rFonts w:ascii="Arial" w:cs="Arial" w:eastAsia="Arial" w:hAnsi="Arial"/>
          <w:b/>
          <w:bCs/>
          <w:color w:val="185FA5"/>
          <w:sz w:val="24"/>
          <w:szCs w:val="24"/>
        </w:rPr>
        <w:t xml:space="preserve">LTBI — Long-Term Buyer Index (7%)</w:t>
      </w:r>
    </w:p>
    <w:p>
      <w:pPr>
        <w:pBdr>
          <w:left w:val="single" w:color="185FA5" w:sz="12"/>
        </w:pBdr>
        <w:shd w:fill="F5F5F3" w:val="clear"/>
        <w:spacing w:after="120" w:before="120"/>
        <w:ind w:left="720"/>
      </w:pPr>
      <w:r>
        <w:rPr>
          <w:rFonts w:ascii="Courier New" w:cs="Courier New" w:eastAsia="Courier New" w:hAnsi="Courier New"/>
          <w:b/>
          <w:bCs/>
          <w:color w:val="1F4E79"/>
          <w:sz w:val="20"/>
          <w:szCs w:val="20"/>
        </w:rPr>
        <w:t xml:space="preserve">LTBI = (Suppliers with contracts &gt; 2 years) / (Total key suppliers)</w:t>
      </w:r>
    </w:p>
    <w:p>
      <w:pPr>
        <w:pStyle w:val="Heading3"/>
        <w:spacing w:after="80" w:before="200"/>
      </w:pPr>
      <w:r>
        <w:rPr>
          <w:rFonts w:ascii="Arial" w:cs="Arial" w:eastAsia="Arial" w:hAnsi="Arial"/>
          <w:b/>
          <w:bCs/>
          <w:color w:val="185FA5"/>
          <w:sz w:val="24"/>
          <w:szCs w:val="24"/>
        </w:rPr>
        <w:t xml:space="preserve">SI — Substitutability Index (3%)</w:t>
      </w:r>
    </w:p>
    <w:p>
      <w:pPr>
        <w:pBdr>
          <w:left w:val="single" w:color="185FA5" w:sz="12"/>
        </w:pBdr>
        <w:shd w:fill="F5F5F3" w:val="clear"/>
        <w:spacing w:after="120" w:before="120"/>
        <w:ind w:left="720"/>
      </w:pPr>
      <w:r>
        <w:rPr>
          <w:rFonts w:ascii="Courier New" w:cs="Courier New" w:eastAsia="Courier New" w:hAnsi="Courier New"/>
          <w:b/>
          <w:bCs/>
          <w:color w:val="1F4E79"/>
          <w:sz w:val="20"/>
          <w:szCs w:val="20"/>
        </w:rPr>
        <w:t xml:space="preserve">SI = (Components with qualified alternates) / (Total critical components)</w:t>
      </w:r>
    </w:p>
    <w:p>
      <w:pPr>
        <w:spacing w:after="120" w:before="120"/>
      </w:pPr>
      <w:r>
        <w:t xml:space="preserve"/>
      </w:r>
    </w:p>
    <w:p>
      <w:pPr>
        <w:pStyle w:val="Heading2"/>
        <w:pBdr>
          <w:bottom w:val="single" w:color="D6E4F0" w:sz="4"/>
        </w:pBdr>
        <w:spacing w:after="120" w:before="300"/>
      </w:pPr>
      <w:r>
        <w:rPr>
          <w:rFonts w:ascii="Arial" w:cs="Arial" w:eastAsia="Arial" w:hAnsi="Arial"/>
          <w:b/>
          <w:bCs/>
          <w:color w:val="1F4E79"/>
          <w:sz w:val="28"/>
          <w:szCs w:val="28"/>
        </w:rPr>
        <w:t xml:space="preserve">3.5 Comparison: Analytical Formula vs RFAVS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rPr>
          <w:tblHeader/>
        </w:trP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Aspect</w:t>
            </w:r>
          </w:p>
        </w:tc>
        <w:tc>
          <w:tcPr>
            <w:tcW w:type="dxa" w:w="343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RFAVS Model</w:t>
            </w:r>
          </w:p>
        </w:tc>
        <w:tc>
          <w:tcPr>
            <w:tcW w:type="dxa" w:w="343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Analytical Formula</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Approach</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Capability-based</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Risk-inverted</w:t>
            </w:r>
          </w:p>
        </w:tc>
      </w:tr>
      <w:tr>
        <w:tc>
          <w:tcPr>
            <w:tcW w:type="dxa" w:w="25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pPr>
              <w:spacing w:after="0" w:before="0"/>
            </w:pPr>
            <w:r>
              <w:rPr>
                <w:rFonts w:ascii="Arial" w:cs="Arial" w:eastAsia="Arial" w:hAnsi="Arial"/>
                <w:sz w:val="20"/>
                <w:szCs w:val="20"/>
              </w:rPr>
              <w:t xml:space="preserve">Highest weight</w:t>
            </w:r>
          </w:p>
        </w:tc>
        <w:tc>
          <w:tcPr>
            <w:tcW w:type="dxa" w:w="343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pPr>
              <w:spacing w:after="0" w:before="0"/>
            </w:pPr>
            <w:r>
              <w:rPr>
                <w:rFonts w:ascii="Arial" w:cs="Arial" w:eastAsia="Arial" w:hAnsi="Arial"/>
                <w:sz w:val="20"/>
                <w:szCs w:val="20"/>
              </w:rPr>
              <w:t xml:space="preserve">Redundancy (25%)</w:t>
            </w:r>
          </w:p>
        </w:tc>
        <w:tc>
          <w:tcPr>
            <w:tcW w:type="dxa" w:w="343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pPr>
              <w:spacing w:after="0" w:before="0"/>
            </w:pPr>
            <w:r>
              <w:rPr>
                <w:rFonts w:ascii="Arial" w:cs="Arial" w:eastAsia="Arial" w:hAnsi="Arial"/>
                <w:sz w:val="20"/>
                <w:szCs w:val="20"/>
              </w:rPr>
              <w:t xml:space="preserve">SPOF (30%)</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Financial health</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Included (15%)</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Not included</w:t>
            </w:r>
          </w:p>
        </w:tc>
      </w:tr>
      <w:tr>
        <w:tc>
          <w:tcPr>
            <w:tcW w:type="dxa" w:w="25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pPr>
              <w:spacing w:after="0" w:before="0"/>
            </w:pPr>
            <w:r>
              <w:rPr>
                <w:rFonts w:ascii="Arial" w:cs="Arial" w:eastAsia="Arial" w:hAnsi="Arial"/>
                <w:sz w:val="20"/>
                <w:szCs w:val="20"/>
              </w:rPr>
              <w:t xml:space="preserve">Agility/speed</w:t>
            </w:r>
          </w:p>
        </w:tc>
        <w:tc>
          <w:tcPr>
            <w:tcW w:type="dxa" w:w="343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pPr>
              <w:spacing w:after="0" w:before="0"/>
            </w:pPr>
            <w:r>
              <w:rPr>
                <w:rFonts w:ascii="Arial" w:cs="Arial" w:eastAsia="Arial" w:hAnsi="Arial"/>
                <w:sz w:val="20"/>
                <w:szCs w:val="20"/>
              </w:rPr>
              <w:t xml:space="preserve">Explicit dimension</w:t>
            </w:r>
          </w:p>
        </w:tc>
        <w:tc>
          <w:tcPr>
            <w:tcW w:type="dxa" w:w="343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pPr>
              <w:spacing w:after="0" w:before="0"/>
            </w:pPr>
            <w:r>
              <w:rPr>
                <w:rFonts w:ascii="Arial" w:cs="Arial" w:eastAsia="Arial" w:hAnsi="Arial"/>
                <w:sz w:val="20"/>
                <w:szCs w:val="20"/>
              </w:rPr>
              <w:t xml:space="preserve">Captured in LDI</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Relationship quality</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Not explicit</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LTBI (7%)</w:t>
            </w:r>
          </w:p>
        </w:tc>
      </w:tr>
      <w:tr>
        <w:tc>
          <w:tcPr>
            <w:tcW w:type="dxa" w:w="25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pPr>
              <w:spacing w:after="0" w:before="0"/>
            </w:pPr>
            <w:r>
              <w:rPr>
                <w:rFonts w:ascii="Arial" w:cs="Arial" w:eastAsia="Arial" w:hAnsi="Arial"/>
                <w:sz w:val="20"/>
                <w:szCs w:val="20"/>
              </w:rPr>
              <w:t xml:space="preserve">Best for</w:t>
            </w:r>
          </w:p>
        </w:tc>
        <w:tc>
          <w:tcPr>
            <w:tcW w:type="dxa" w:w="343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pPr>
              <w:spacing w:after="0" w:before="0"/>
            </w:pPr>
            <w:r>
              <w:rPr>
                <w:rFonts w:ascii="Arial" w:cs="Arial" w:eastAsia="Arial" w:hAnsi="Arial"/>
                <w:sz w:val="20"/>
                <w:szCs w:val="20"/>
              </w:rPr>
              <w:t xml:space="preserve">Operational benchmarking</w:t>
            </w:r>
          </w:p>
        </w:tc>
        <w:tc>
          <w:tcPr>
            <w:tcW w:type="dxa" w:w="343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pPr>
              <w:spacing w:after="0" w:before="0"/>
            </w:pPr>
            <w:r>
              <w:rPr>
                <w:rFonts w:ascii="Arial" w:cs="Arial" w:eastAsia="Arial" w:hAnsi="Arial"/>
                <w:sz w:val="20"/>
                <w:szCs w:val="20"/>
              </w:rPr>
              <w:t xml:space="preserve">Business plan / structural audit</w:t>
            </w:r>
          </w:p>
        </w:tc>
      </w:tr>
    </w:tbl>
    <w:p>
      <w:pPr>
        <w:spacing w:after="120" w:before="120"/>
      </w:pPr>
      <w:r>
        <w:t xml:space="preserve"/>
      </w:r>
    </w:p>
    <w:p>
      <w:pPr>
        <w:pStyle w:val="Heading2"/>
        <w:pBdr>
          <w:bottom w:val="single" w:color="D6E4F0" w:sz="4"/>
        </w:pBdr>
        <w:spacing w:after="120" w:before="300"/>
      </w:pPr>
      <w:r>
        <w:rPr>
          <w:rFonts w:ascii="Arial" w:cs="Arial" w:eastAsia="Arial" w:hAnsi="Arial"/>
          <w:b/>
          <w:bCs/>
          <w:color w:val="1F4E79"/>
          <w:sz w:val="28"/>
          <w:szCs w:val="28"/>
        </w:rPr>
        <w:t xml:space="preserve">3.6 Strengths &amp; Weaknesses</w:t>
      </w:r>
    </w:p>
    <w:p>
      <w:pPr>
        <w:pStyle w:val="Heading3"/>
        <w:spacing w:after="80" w:before="200"/>
      </w:pPr>
      <w:r>
        <w:rPr>
          <w:rFonts w:ascii="Arial" w:cs="Arial" w:eastAsia="Arial" w:hAnsi="Arial"/>
          <w:b/>
          <w:bCs/>
          <w:color w:val="185FA5"/>
          <w:sz w:val="24"/>
          <w:szCs w:val="24"/>
        </w:rPr>
        <w:t xml:space="preserve">Strengths</w:t>
      </w:r>
    </w:p>
    <w:p>
      <w:pPr>
        <w:pStyle w:val="ListParagraph"/>
        <w:numPr>
          <w:ilvl w:val="0"/>
          <w:numId w:val="2"/>
        </w:numPr>
        <w:spacing w:after="40" w:before="40"/>
      </w:pPr>
      <w:r>
        <w:rPr>
          <w:rFonts w:ascii="Arial" w:cs="Arial" w:eastAsia="Arial" w:hAnsi="Arial"/>
          <w:sz w:val="22"/>
          <w:szCs w:val="22"/>
        </w:rPr>
        <w:t xml:space="preserve">SPOF at 30% is a strong design choice — structural failures kill chains fastest</w:t>
      </w:r>
    </w:p>
    <w:p>
      <w:pPr>
        <w:pStyle w:val="ListParagraph"/>
        <w:numPr>
          <w:ilvl w:val="0"/>
          <w:numId w:val="2"/>
        </w:numPr>
        <w:spacing w:after="40" w:before="40"/>
      </w:pPr>
      <w:r>
        <w:rPr>
          <w:rFonts w:ascii="Arial" w:cs="Arial" w:eastAsia="Arial" w:hAnsi="Arial"/>
          <w:sz w:val="22"/>
          <w:szCs w:val="22"/>
        </w:rPr>
        <w:t xml:space="preserve">Risk-inversion logic is intuitive — penalises concentration and fragility directly</w:t>
      </w:r>
    </w:p>
    <w:p>
      <w:pPr>
        <w:pStyle w:val="ListParagraph"/>
        <w:numPr>
          <w:ilvl w:val="0"/>
          <w:numId w:val="2"/>
        </w:numPr>
        <w:spacing w:after="40" w:before="40"/>
      </w:pPr>
      <w:r>
        <w:rPr>
          <w:rFonts w:ascii="Arial" w:cs="Arial" w:eastAsia="Arial" w:hAnsi="Arial"/>
          <w:sz w:val="22"/>
          <w:szCs w:val="22"/>
        </w:rPr>
        <w:t xml:space="preserve">GDI using inverse HHI is statistically robust</w:t>
      </w:r>
    </w:p>
    <w:p>
      <w:pPr>
        <w:pStyle w:val="Heading3"/>
        <w:spacing w:after="80" w:before="200"/>
      </w:pPr>
      <w:r>
        <w:rPr>
          <w:rFonts w:ascii="Arial" w:cs="Arial" w:eastAsia="Arial" w:hAnsi="Arial"/>
          <w:b/>
          <w:bCs/>
          <w:color w:val="185FA5"/>
          <w:sz w:val="24"/>
          <w:szCs w:val="24"/>
        </w:rPr>
        <w:t xml:space="preserve">Weaknesses</w:t>
      </w:r>
    </w:p>
    <w:p>
      <w:pPr>
        <w:pStyle w:val="ListParagraph"/>
        <w:numPr>
          <w:ilvl w:val="0"/>
          <w:numId w:val="2"/>
        </w:numPr>
        <w:spacing w:after="40" w:before="40"/>
      </w:pPr>
      <w:r>
        <w:rPr>
          <w:rFonts w:ascii="Arial" w:cs="Arial" w:eastAsia="Arial" w:hAnsi="Arial"/>
          <w:sz w:val="22"/>
          <w:szCs w:val="22"/>
        </w:rPr>
        <w:t xml:space="preserve">SI at only 3% arguably underweights substitutability in volatile markets</w:t>
      </w:r>
    </w:p>
    <w:p>
      <w:pPr>
        <w:pStyle w:val="ListParagraph"/>
        <w:numPr>
          <w:ilvl w:val="0"/>
          <w:numId w:val="2"/>
        </w:numPr>
        <w:spacing w:after="40" w:before="40"/>
      </w:pPr>
      <w:r>
        <w:rPr>
          <w:rFonts w:ascii="Arial" w:cs="Arial" w:eastAsia="Arial" w:hAnsi="Arial"/>
          <w:sz w:val="22"/>
          <w:szCs w:val="22"/>
        </w:rPr>
        <w:t xml:space="preserve">No financial health component — a resilient structure can still fail if cash-strapped</w:t>
      </w:r>
    </w:p>
    <w:p>
      <w:pPr>
        <w:pStyle w:val="ListParagraph"/>
        <w:numPr>
          <w:ilvl w:val="0"/>
          <w:numId w:val="2"/>
        </w:numPr>
        <w:spacing w:after="40" w:before="40"/>
      </w:pPr>
      <w:r>
        <w:rPr>
          <w:rFonts w:ascii="Arial" w:cs="Arial" w:eastAsia="Arial" w:hAnsi="Arial"/>
          <w:sz w:val="22"/>
          <w:szCs w:val="22"/>
        </w:rPr>
        <w:t xml:space="preserve">LTBI at 7% may be hard to assess in an early-stage business plan</w:t>
      </w:r>
    </w:p>
    <w:p>
      <w:r>
        <w:br w:type="page"/>
      </w:r>
    </w:p>
    <w:p>
      <w:pPr>
        <w:pStyle w:val="Heading1"/>
        <w:pBdr>
          <w:bottom w:val="single" w:color="185FA5" w:sz="6"/>
        </w:pBdr>
        <w:shd w:fill="1F4E79" w:val="clear"/>
        <w:spacing w:after="200" w:before="360"/>
        <w:ind w:left="200" w:right="200"/>
      </w:pPr>
      <w:r>
        <w:rPr>
          <w:rFonts w:ascii="Arial" w:cs="Arial" w:eastAsia="Arial" w:hAnsi="Arial"/>
          <w:b/>
          <w:bCs/>
          <w:color w:val="FFFFFF"/>
          <w:sz w:val="36"/>
          <w:szCs w:val="36"/>
        </w:rPr>
        <w:t xml:space="preserve">4. Literature Review: Key Research Papers</w:t>
      </w:r>
    </w:p>
    <w:p>
      <w:pPr>
        <w:spacing w:after="100" w:before="60"/>
      </w:pPr>
      <w:r>
        <w:rPr>
          <w:rFonts w:ascii="Arial" w:cs="Arial" w:eastAsia="Arial" w:hAnsi="Arial"/>
          <w:sz w:val="22"/>
          <w:szCs w:val="22"/>
        </w:rPr>
        <w:t xml:space="preserve">Eight foundational papers directly relevant to the components of the SCRS formula, mapped to their specific contributions.</w:t>
      </w:r>
    </w:p>
    <w:p>
      <w:pPr>
        <w:pStyle w:val="Heading2"/>
        <w:pBdr>
          <w:bottom w:val="single" w:color="D6E4F0" w:sz="4"/>
        </w:pBdr>
        <w:spacing w:after="120" w:before="300"/>
      </w:pPr>
      <w:r>
        <w:rPr>
          <w:rFonts w:ascii="Arial" w:cs="Arial" w:eastAsia="Arial" w:hAnsi="Arial"/>
          <w:b/>
          <w:bCs/>
          <w:color w:val="1F4E79"/>
          <w:sz w:val="28"/>
          <w:szCs w:val="28"/>
        </w:rPr>
        <w:t xml:space="preserve">Paper 1 — Pettit, Fiksel &amp; Croxton (2010)</w:t>
      </w:r>
    </w:p>
    <w:p>
      <w:pPr>
        <w:spacing w:after="60" w:before="160"/>
      </w:pPr>
      <w:r>
        <w:rPr>
          <w:rFonts w:ascii="Arial" w:cs="Arial" w:eastAsia="Arial" w:hAnsi="Arial"/>
          <w:b/>
          <w:bCs/>
          <w:color w:val="5F5E5A"/>
          <w:sz w:val="22"/>
          <w:szCs w:val="22"/>
        </w:rPr>
        <w:t xml:space="preserve">"Ensuring Supply Chain Resilience: Development of a Conceptual Framework"</w:t>
      </w:r>
    </w:p>
    <w:p>
      <w:pPr>
        <w:spacing w:after="100" w:before="60"/>
      </w:pPr>
      <w:r>
        <w:rPr>
          <w:rFonts w:ascii="Arial" w:cs="Arial" w:eastAsia="Arial" w:hAnsi="Arial"/>
          <w:sz w:val="22"/>
          <w:szCs w:val="22"/>
        </w:rPr>
        <w:t xml:space="preserve">Journal of Business Logistics, Vol. 31, No. 1 • DOI: 10.1002/j.2158-1592.2010.tb00125.x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6E4F0" w:val="clear"/>
            <w:tcMar>
              <w:top w:type="dxa" w:w="120"/>
              <w:left w:type="dxa" w:w="200"/>
              <w:bottom w:type="dxa" w:w="120"/>
              <w:right w:type="dxa" w:w="200"/>
            </w:tcMar>
          </w:tcPr>
          <w:p>
            <w:pPr>
              <w:spacing w:after="40" w:before="0"/>
            </w:pPr>
            <w:r>
              <w:rPr>
                <w:rFonts w:ascii="Arial" w:cs="Arial" w:eastAsia="Arial" w:hAnsi="Arial"/>
                <w:b/>
                <w:bCs/>
                <w:color w:val="1F4E79"/>
                <w:sz w:val="20"/>
                <w:szCs w:val="20"/>
              </w:rPr>
              <w:t xml:space="preserve">Abstract</w:t>
            </w:r>
          </w:p>
          <w:p>
            <w:pPr>
              <w:spacing w:after="0" w:before="0"/>
            </w:pPr>
            <w:r>
              <w:rPr>
                <w:rFonts w:ascii="Arial" w:cs="Arial" w:eastAsia="Arial" w:hAnsi="Arial"/>
                <w:color w:val="1A1A1A"/>
                <w:sz w:val="20"/>
                <w:szCs w:val="20"/>
              </w:rPr>
              <w:t xml:space="preserve">In a world of turbulent change, resilience is a key competency since even the most carefully designed supply chain is susceptible to unforeseen events. This article presents a new Supply Chain Resilience Framework. The conceptual framework is based on extant literature and refined through a focus group methodology. Findings suggest that supply chain resilience can be assessed in terms of two dimensions: vulnerabilities and capabilities. The Zone of Resilience is defined as the desired balance between vulnerabilities and capabilities, where it is proposed that firms will be the most profitable in the long term. Seven vulnerability factors composed of 40 specific attributes and 14 capability factors from 71 attributes were identified.</w:t>
            </w:r>
          </w:p>
        </w:tc>
      </w:tr>
    </w:tbl>
    <w:p>
      <w:pPr>
        <w:spacing w:after="100" w:before="60"/>
      </w:pPr>
      <w:r>
        <w:rPr>
          <w:rFonts w:ascii="Arial" w:cs="Arial" w:eastAsia="Arial" w:hAnsi="Arial"/>
          <w:sz w:val="22"/>
          <w:szCs w:val="22"/>
        </w:rPr>
        <w:t xml:space="preserve">Relevant to: SPOF and redundancy dimensions. Foundation of the vulnerability-capability framework.</w:t>
      </w:r>
    </w:p>
    <w:p>
      <w:pPr>
        <w:spacing w:after="80" w:before="80"/>
      </w:pPr>
      <w:r>
        <w:t xml:space="preserve"/>
      </w:r>
    </w:p>
    <w:p>
      <w:pPr>
        <w:pStyle w:val="Heading2"/>
        <w:pBdr>
          <w:bottom w:val="single" w:color="D6E4F0" w:sz="4"/>
        </w:pBdr>
        <w:spacing w:after="120" w:before="300"/>
      </w:pPr>
      <w:r>
        <w:rPr>
          <w:rFonts w:ascii="Arial" w:cs="Arial" w:eastAsia="Arial" w:hAnsi="Arial"/>
          <w:b/>
          <w:bCs/>
          <w:color w:val="1F4E79"/>
          <w:sz w:val="28"/>
          <w:szCs w:val="28"/>
        </w:rPr>
        <w:t xml:space="preserve">Paper 2 — Pettit, Croxton &amp; Fiksel (2013)</w:t>
      </w:r>
    </w:p>
    <w:p>
      <w:pPr>
        <w:spacing w:after="60" w:before="160"/>
      </w:pPr>
      <w:r>
        <w:rPr>
          <w:rFonts w:ascii="Arial" w:cs="Arial" w:eastAsia="Arial" w:hAnsi="Arial"/>
          <w:b/>
          <w:bCs/>
          <w:color w:val="5F5E5A"/>
          <w:sz w:val="22"/>
          <w:szCs w:val="22"/>
        </w:rPr>
        <w:t xml:space="preserve">"Ensuring Supply Chain Resilience: Development and Implementation of an Assessment Tool"</w:t>
      </w:r>
    </w:p>
    <w:p>
      <w:pPr>
        <w:spacing w:after="100" w:before="60"/>
      </w:pPr>
      <w:r>
        <w:rPr>
          <w:rFonts w:ascii="Arial" w:cs="Arial" w:eastAsia="Arial" w:hAnsi="Arial"/>
          <w:sz w:val="22"/>
          <w:szCs w:val="22"/>
        </w:rPr>
        <w:t xml:space="preserve">Journal of Business Logistics, Vol. 34, No. 1 • DOI: 10.1111/jbl.12009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6E4F0" w:val="clear"/>
            <w:tcMar>
              <w:top w:type="dxa" w:w="120"/>
              <w:left w:type="dxa" w:w="200"/>
              <w:bottom w:type="dxa" w:w="120"/>
              <w:right w:type="dxa" w:w="200"/>
            </w:tcMar>
          </w:tcPr>
          <w:p>
            <w:pPr>
              <w:spacing w:after="40" w:before="0"/>
            </w:pPr>
            <w:r>
              <w:rPr>
                <w:rFonts w:ascii="Arial" w:cs="Arial" w:eastAsia="Arial" w:hAnsi="Arial"/>
                <w:b/>
                <w:bCs/>
                <w:color w:val="1F4E79"/>
                <w:sz w:val="20"/>
                <w:szCs w:val="20"/>
              </w:rPr>
              <w:t xml:space="preserve">Abstract</w:t>
            </w:r>
          </w:p>
          <w:p>
            <w:pPr>
              <w:spacing w:after="0" w:before="0"/>
            </w:pPr>
            <w:r>
              <w:rPr>
                <w:rFonts w:ascii="Arial" w:cs="Arial" w:eastAsia="Arial" w:hAnsi="Arial"/>
                <w:color w:val="1A1A1A"/>
                <w:sz w:val="20"/>
                <w:szCs w:val="20"/>
              </w:rPr>
              <w:t xml:space="preserve">In today's tightly connected global economy, traditional management practices that rely on 'steady-state' conditions are challenged by chaotic external pressures and turbulent change. Managing the risk of an uncertain future is a challenge that requires resilience — the ability to survive, adapt, and grow in the face of turbulent change. This research develops a measurement tool titled the Supply Chain Resilience Assessment and Management (SCRAM). Data gathered from seven global manufacturing and service firms are used to validate SCRAM using qualitative methodology with 1,369 empirical items from focus groups reviewing 14 recent disruptions.</w:t>
            </w:r>
          </w:p>
        </w:tc>
      </w:tr>
    </w:tbl>
    <w:p>
      <w:pPr>
        <w:spacing w:after="100" w:before="60"/>
      </w:pPr>
      <w:r>
        <w:rPr>
          <w:rFonts w:ascii="Arial" w:cs="Arial" w:eastAsia="Arial" w:hAnsi="Arial"/>
          <w:sz w:val="22"/>
          <w:szCs w:val="22"/>
        </w:rPr>
        <w:t xml:space="preserve">Relevant to: SCI, SPOF, and GDI. Introduces SCRAM assessment tool validated across seven global firms.</w:t>
      </w:r>
    </w:p>
    <w:p>
      <w:pPr>
        <w:spacing w:after="80" w:before="80"/>
      </w:pPr>
      <w:r>
        <w:t xml:space="preserve"/>
      </w:r>
    </w:p>
    <w:p>
      <w:pPr>
        <w:pStyle w:val="Heading2"/>
        <w:pBdr>
          <w:bottom w:val="single" w:color="D6E4F0" w:sz="4"/>
        </w:pBdr>
        <w:spacing w:after="120" w:before="300"/>
      </w:pPr>
      <w:r>
        <w:rPr>
          <w:rFonts w:ascii="Arial" w:cs="Arial" w:eastAsia="Arial" w:hAnsi="Arial"/>
          <w:b/>
          <w:bCs/>
          <w:color w:val="1F4E79"/>
          <w:sz w:val="28"/>
          <w:szCs w:val="28"/>
        </w:rPr>
        <w:t xml:space="preserve">Paper 3 — Pettit, Croxton &amp; Fiksel (2019)</w:t>
      </w:r>
    </w:p>
    <w:p>
      <w:pPr>
        <w:spacing w:after="60" w:before="160"/>
      </w:pPr>
      <w:r>
        <w:rPr>
          <w:rFonts w:ascii="Arial" w:cs="Arial" w:eastAsia="Arial" w:hAnsi="Arial"/>
          <w:b/>
          <w:bCs/>
          <w:color w:val="5F5E5A"/>
          <w:sz w:val="22"/>
          <w:szCs w:val="22"/>
        </w:rPr>
        <w:t xml:space="preserve">"The Evolution of Resilience in Supply Chain Management: A Retrospective"</w:t>
      </w:r>
    </w:p>
    <w:p>
      <w:pPr>
        <w:spacing w:after="100" w:before="60"/>
      </w:pPr>
      <w:r>
        <w:rPr>
          <w:rFonts w:ascii="Arial" w:cs="Arial" w:eastAsia="Arial" w:hAnsi="Arial"/>
          <w:sz w:val="22"/>
          <w:szCs w:val="22"/>
        </w:rPr>
        <w:t xml:space="preserve">Journal of Business Logistics, Vol. 40, No. 1 • DOI: 10.1111/jbl.12202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6E4F0" w:val="clear"/>
            <w:tcMar>
              <w:top w:type="dxa" w:w="120"/>
              <w:left w:type="dxa" w:w="200"/>
              <w:bottom w:type="dxa" w:w="120"/>
              <w:right w:type="dxa" w:w="200"/>
            </w:tcMar>
          </w:tcPr>
          <w:p>
            <w:pPr>
              <w:spacing w:after="40" w:before="0"/>
            </w:pPr>
            <w:r>
              <w:rPr>
                <w:rFonts w:ascii="Arial" w:cs="Arial" w:eastAsia="Arial" w:hAnsi="Arial"/>
                <w:b/>
                <w:bCs/>
                <w:color w:val="1F4E79"/>
                <w:sz w:val="20"/>
                <w:szCs w:val="20"/>
              </w:rPr>
              <w:t xml:space="preserve">Abstract</w:t>
            </w:r>
          </w:p>
          <w:p>
            <w:pPr>
              <w:spacing w:after="0" w:before="0"/>
            </w:pPr>
            <w:r>
              <w:rPr>
                <w:rFonts w:ascii="Arial" w:cs="Arial" w:eastAsia="Arial" w:hAnsi="Arial"/>
                <w:color w:val="1A1A1A"/>
                <w:sz w:val="20"/>
                <w:szCs w:val="20"/>
              </w:rPr>
              <w:t xml:space="preserve">We opened our 2010 paper with a 6th century quote by Heraclitus — 'The only constant is change.' This paper reflects on the impact of our 2010 paper, and envisions future opportunities for advances in resilience that will improve both day-to-day business continuity and long-term sustainability.</w:t>
            </w:r>
          </w:p>
        </w:tc>
      </w:tr>
    </w:tbl>
    <w:p>
      <w:pPr>
        <w:spacing w:after="100" w:before="60"/>
      </w:pPr>
      <w:r>
        <w:rPr>
          <w:rFonts w:ascii="Arial" w:cs="Arial" w:eastAsia="Arial" w:hAnsi="Arial"/>
          <w:sz w:val="22"/>
          <w:szCs w:val="22"/>
        </w:rPr>
        <w:t xml:space="preserve">Relevant to: LTBI. Frames inventory as an adaptive buffer and highlights relationship-based resilience.</w:t>
      </w:r>
    </w:p>
    <w:p>
      <w:pPr>
        <w:spacing w:after="80" w:before="80"/>
      </w:pPr>
      <w:r>
        <w:t xml:space="preserve"/>
      </w:r>
    </w:p>
    <w:p>
      <w:pPr>
        <w:pStyle w:val="Heading2"/>
        <w:pBdr>
          <w:bottom w:val="single" w:color="D6E4F0" w:sz="4"/>
        </w:pBdr>
        <w:spacing w:after="120" w:before="300"/>
      </w:pPr>
      <w:r>
        <w:rPr>
          <w:rFonts w:ascii="Arial" w:cs="Arial" w:eastAsia="Arial" w:hAnsi="Arial"/>
          <w:b/>
          <w:bCs/>
          <w:color w:val="1F4E79"/>
          <w:sz w:val="28"/>
          <w:szCs w:val="28"/>
        </w:rPr>
        <w:t xml:space="preserve">Paper 4 — Singh, Soni &amp; Badhotiya (2019)</w:t>
      </w:r>
    </w:p>
    <w:p>
      <w:pPr>
        <w:spacing w:after="60" w:before="160"/>
      </w:pPr>
      <w:r>
        <w:rPr>
          <w:rFonts w:ascii="Arial" w:cs="Arial" w:eastAsia="Arial" w:hAnsi="Arial"/>
          <w:b/>
          <w:bCs/>
          <w:color w:val="5F5E5A"/>
          <w:sz w:val="22"/>
          <w:szCs w:val="22"/>
        </w:rPr>
        <w:t xml:space="preserve">"Performance Indicators for Supply Chain Resilience: Review and Conceptual Framework"</w:t>
      </w:r>
    </w:p>
    <w:p>
      <w:pPr>
        <w:spacing w:after="100" w:before="60"/>
      </w:pPr>
      <w:r>
        <w:rPr>
          <w:rFonts w:ascii="Arial" w:cs="Arial" w:eastAsia="Arial" w:hAnsi="Arial"/>
          <w:sz w:val="22"/>
          <w:szCs w:val="22"/>
        </w:rPr>
        <w:t xml:space="preserve">Journal of Industrial Engineering International, Vol. 15 • DOI: 10.1007/s40092-019-00322-2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6E4F0" w:val="clear"/>
            <w:tcMar>
              <w:top w:type="dxa" w:w="120"/>
              <w:left w:type="dxa" w:w="200"/>
              <w:bottom w:type="dxa" w:w="120"/>
              <w:right w:type="dxa" w:w="200"/>
            </w:tcMar>
          </w:tcPr>
          <w:p>
            <w:pPr>
              <w:spacing w:after="40" w:before="0"/>
            </w:pPr>
            <w:r>
              <w:rPr>
                <w:rFonts w:ascii="Arial" w:cs="Arial" w:eastAsia="Arial" w:hAnsi="Arial"/>
                <w:b/>
                <w:bCs/>
                <w:color w:val="1F4E79"/>
                <w:sz w:val="20"/>
                <w:szCs w:val="20"/>
              </w:rPr>
              <w:t xml:space="preserve">Abstract</w:t>
            </w:r>
          </w:p>
          <w:p>
            <w:pPr>
              <w:spacing w:after="0" w:before="0"/>
            </w:pPr>
            <w:r>
              <w:rPr>
                <w:rFonts w:ascii="Arial" w:cs="Arial" w:eastAsia="Arial" w:hAnsi="Arial"/>
                <w:color w:val="1A1A1A"/>
                <w:sz w:val="20"/>
                <w:szCs w:val="20"/>
              </w:rPr>
              <w:t xml:space="preserve">In the current competitive and dynamic market, customer demands and interests are changing continuously, and hence, risk of disruption in the supply chain is also increasing. After classification and analyses of the collected literature, seventeen performance indicators for supply chain resilience are found. A supply chain resilience framework is developed using these indicators to assist the supply chain managers to examine and withstand the disruption.</w:t>
            </w:r>
          </w:p>
        </w:tc>
      </w:tr>
    </w:tbl>
    <w:p>
      <w:pPr>
        <w:spacing w:after="100" w:before="60"/>
      </w:pPr>
      <w:r>
        <w:rPr>
          <w:rFonts w:ascii="Arial" w:cs="Arial" w:eastAsia="Arial" w:hAnsi="Arial"/>
          <w:sz w:val="22"/>
          <w:szCs w:val="22"/>
        </w:rPr>
        <w:t xml:space="preserve">Relevant to: All dimensions. Systematic review identifying 17 KPIs across 42 papers.</w:t>
      </w:r>
    </w:p>
    <w:p>
      <w:pPr>
        <w:spacing w:after="80" w:before="80"/>
      </w:pPr>
      <w:r>
        <w:t xml:space="preserve"/>
      </w:r>
    </w:p>
    <w:p>
      <w:pPr>
        <w:pStyle w:val="Heading2"/>
        <w:pBdr>
          <w:bottom w:val="single" w:color="D6E4F0" w:sz="4"/>
        </w:pBdr>
        <w:spacing w:after="120" w:before="300"/>
      </w:pPr>
      <w:r>
        <w:rPr>
          <w:rFonts w:ascii="Arial" w:cs="Arial" w:eastAsia="Arial" w:hAnsi="Arial"/>
          <w:b/>
          <w:bCs/>
          <w:color w:val="1F4E79"/>
          <w:sz w:val="28"/>
          <w:szCs w:val="28"/>
        </w:rPr>
        <w:t xml:space="preserve">Paper 5 — Barroso, Machado, Carvalho &amp; Cruz Machado (2015)</w:t>
      </w:r>
    </w:p>
    <w:p>
      <w:pPr>
        <w:spacing w:after="60" w:before="160"/>
      </w:pPr>
      <w:r>
        <w:rPr>
          <w:rFonts w:ascii="Arial" w:cs="Arial" w:eastAsia="Arial" w:hAnsi="Arial"/>
          <w:b/>
          <w:bCs/>
          <w:color w:val="5F5E5A"/>
          <w:sz w:val="22"/>
          <w:szCs w:val="22"/>
        </w:rPr>
        <w:t xml:space="preserve">"Quantifying the Supply Chain Resilience"</w:t>
      </w:r>
    </w:p>
    <w:p>
      <w:pPr>
        <w:spacing w:after="100" w:before="60"/>
      </w:pPr>
      <w:r>
        <w:rPr>
          <w:rFonts w:ascii="Arial" w:cs="Arial" w:eastAsia="Arial" w:hAnsi="Arial"/>
          <w:sz w:val="22"/>
          <w:szCs w:val="22"/>
        </w:rPr>
        <w:t xml:space="preserve">IntechOpen • DOI: 10.5772/59580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6E4F0" w:val="clear"/>
            <w:tcMar>
              <w:top w:type="dxa" w:w="120"/>
              <w:left w:type="dxa" w:w="200"/>
              <w:bottom w:type="dxa" w:w="120"/>
              <w:right w:type="dxa" w:w="200"/>
            </w:tcMar>
          </w:tcPr>
          <w:p>
            <w:pPr>
              <w:spacing w:after="40" w:before="0"/>
            </w:pPr>
            <w:r>
              <w:rPr>
                <w:rFonts w:ascii="Arial" w:cs="Arial" w:eastAsia="Arial" w:hAnsi="Arial"/>
                <w:b/>
                <w:bCs/>
                <w:color w:val="1F4E79"/>
                <w:sz w:val="20"/>
                <w:szCs w:val="20"/>
              </w:rPr>
              <w:t xml:space="preserve">Abstract</w:t>
            </w:r>
          </w:p>
          <w:p>
            <w:pPr>
              <w:spacing w:after="0" w:before="0"/>
            </w:pPr>
            <w:r>
              <w:rPr>
                <w:rFonts w:ascii="Arial" w:cs="Arial" w:eastAsia="Arial" w:hAnsi="Arial"/>
                <w:color w:val="1A1A1A"/>
                <w:sz w:val="20"/>
                <w:szCs w:val="20"/>
              </w:rPr>
              <w:t xml:space="preserve">A supply chain resilience index is proposed which follows a hierarchical approach based on the aggregation of supply chain companies' resilience index. As the aggregation is a potential area of methodological controversy, four approaches are proposed. The resilience index of a supply chain company is determined based on the concept of the resilience triangle. Issues arising include subjectivity, bias, weighting, mathematical combinations, and selection of key performance indicators.</w:t>
            </w:r>
          </w:p>
        </w:tc>
      </w:tr>
    </w:tbl>
    <w:p>
      <w:pPr>
        <w:spacing w:after="100" w:before="60"/>
      </w:pPr>
      <w:r>
        <w:rPr>
          <w:rFonts w:ascii="Arial" w:cs="Arial" w:eastAsia="Arial" w:hAnsi="Arial"/>
          <w:sz w:val="22"/>
          <w:szCs w:val="22"/>
        </w:rPr>
        <w:t xml:space="preserve">Relevant to: Index construction methodology, aggregation choices, resilience triangle concept.</w:t>
      </w:r>
    </w:p>
    <w:p>
      <w:pPr>
        <w:spacing w:after="80" w:before="80"/>
      </w:pPr>
      <w:r>
        <w:t xml:space="preserve"/>
      </w:r>
    </w:p>
    <w:p>
      <w:pPr>
        <w:pStyle w:val="Heading2"/>
        <w:pBdr>
          <w:bottom w:val="single" w:color="D6E4F0" w:sz="4"/>
        </w:pBdr>
        <w:spacing w:after="120" w:before="300"/>
      </w:pPr>
      <w:r>
        <w:rPr>
          <w:rFonts w:ascii="Arial" w:cs="Arial" w:eastAsia="Arial" w:hAnsi="Arial"/>
          <w:b/>
          <w:bCs/>
          <w:color w:val="1F4E79"/>
          <w:sz w:val="28"/>
          <w:szCs w:val="28"/>
        </w:rPr>
        <w:t xml:space="preserve">Paper 6 — Yang &amp; Li (2023)</w:t>
      </w:r>
    </w:p>
    <w:p>
      <w:pPr>
        <w:spacing w:after="60" w:before="160"/>
      </w:pPr>
      <w:r>
        <w:rPr>
          <w:rFonts w:ascii="Arial" w:cs="Arial" w:eastAsia="Arial" w:hAnsi="Arial"/>
          <w:b/>
          <w:bCs/>
          <w:color w:val="5F5E5A"/>
          <w:sz w:val="22"/>
          <w:szCs w:val="22"/>
        </w:rPr>
        <w:t xml:space="preserve">"Supply Chain Resilience: Measure, Risk Assessment and Strategies"</w:t>
      </w:r>
    </w:p>
    <w:p>
      <w:pPr>
        <w:spacing w:after="100" w:before="60"/>
      </w:pPr>
      <w:r>
        <w:rPr>
          <w:rFonts w:ascii="Arial" w:cs="Arial" w:eastAsia="Arial" w:hAnsi="Arial"/>
          <w:sz w:val="22"/>
          <w:szCs w:val="22"/>
        </w:rPr>
        <w:t xml:space="preserve">iScience / ScienceDirect • DOI: 10.1016/S2667-3258(23)00095X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6E4F0" w:val="clear"/>
            <w:tcMar>
              <w:top w:type="dxa" w:w="120"/>
              <w:left w:type="dxa" w:w="200"/>
              <w:bottom w:type="dxa" w:w="120"/>
              <w:right w:type="dxa" w:w="200"/>
            </w:tcMar>
          </w:tcPr>
          <w:p>
            <w:pPr>
              <w:spacing w:after="40" w:before="0"/>
            </w:pPr>
            <w:r>
              <w:rPr>
                <w:rFonts w:ascii="Arial" w:cs="Arial" w:eastAsia="Arial" w:hAnsi="Arial"/>
                <w:b/>
                <w:bCs/>
                <w:color w:val="1F4E79"/>
                <w:sz w:val="20"/>
                <w:szCs w:val="20"/>
              </w:rPr>
              <w:t xml:space="preserve">Abstract</w:t>
            </w:r>
          </w:p>
          <w:p>
            <w:pPr>
              <w:spacing w:after="0" w:before="0"/>
            </w:pPr>
            <w:r>
              <w:rPr>
                <w:rFonts w:ascii="Arial" w:cs="Arial" w:eastAsia="Arial" w:hAnsi="Arial"/>
                <w:color w:val="1A1A1A"/>
                <w:sz w:val="20"/>
                <w:szCs w:val="20"/>
              </w:rPr>
              <w:t xml:space="preserve">This paper measures supply chain resilience by quantifying three major capacities: absorptive capacity (measured by supplier segregation, multiple sourcing, inventory position, and multiple transportation channels), adaptive capacity (measured by backup suppliers, rerouting, communication, and input substitution), and restorative capacity (measured by suppliers' restoration budgets and technology restoration resources).</w:t>
            </w:r>
          </w:p>
        </w:tc>
      </w:tr>
    </w:tbl>
    <w:p>
      <w:pPr>
        <w:spacing w:after="100" w:before="60"/>
      </w:pPr>
      <w:r>
        <w:rPr>
          <w:rFonts w:ascii="Arial" w:cs="Arial" w:eastAsia="Arial" w:hAnsi="Arial"/>
          <w:sz w:val="22"/>
          <w:szCs w:val="22"/>
        </w:rPr>
        <w:t xml:space="preserve">Relevant to: GDI, FSI. Introduces absorptive-adaptive-restorative tripartite framework with macro/micro distinction.</w:t>
      </w:r>
    </w:p>
    <w:p>
      <w:pPr>
        <w:spacing w:after="80" w:before="80"/>
      </w:pPr>
      <w:r>
        <w:t xml:space="preserve"/>
      </w:r>
    </w:p>
    <w:p>
      <w:pPr>
        <w:pStyle w:val="Heading2"/>
        <w:pBdr>
          <w:bottom w:val="single" w:color="D6E4F0" w:sz="4"/>
        </w:pBdr>
        <w:spacing w:after="120" w:before="300"/>
      </w:pPr>
      <w:r>
        <w:rPr>
          <w:rFonts w:ascii="Arial" w:cs="Arial" w:eastAsia="Arial" w:hAnsi="Arial"/>
          <w:b/>
          <w:bCs/>
          <w:color w:val="1F4E79"/>
          <w:sz w:val="28"/>
          <w:szCs w:val="28"/>
        </w:rPr>
        <w:t xml:space="preserve">Paper 7 — Ahn &amp; Tan (2025)</w:t>
      </w:r>
    </w:p>
    <w:p>
      <w:pPr>
        <w:spacing w:after="60" w:before="160"/>
      </w:pPr>
      <w:r>
        <w:rPr>
          <w:rFonts w:ascii="Arial" w:cs="Arial" w:eastAsia="Arial" w:hAnsi="Arial"/>
          <w:b/>
          <w:bCs/>
          <w:color w:val="5F5E5A"/>
          <w:sz w:val="22"/>
          <w:szCs w:val="22"/>
        </w:rPr>
        <w:t xml:space="preserve">"Supply Chain Diversification and Resilience"</w:t>
      </w:r>
    </w:p>
    <w:p>
      <w:pPr>
        <w:spacing w:after="100" w:before="60"/>
      </w:pPr>
      <w:r>
        <w:rPr>
          <w:rFonts w:ascii="Arial" w:cs="Arial" w:eastAsia="Arial" w:hAnsi="Arial"/>
          <w:sz w:val="22"/>
          <w:szCs w:val="22"/>
        </w:rPr>
        <w:t xml:space="preserve">IMF Working Paper No. 2025/102 • DOI: 10.5089/9798229012874.001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6E4F0" w:val="clear"/>
            <w:tcMar>
              <w:top w:type="dxa" w:w="120"/>
              <w:left w:type="dxa" w:w="200"/>
              <w:bottom w:type="dxa" w:w="120"/>
              <w:right w:type="dxa" w:w="200"/>
            </w:tcMar>
          </w:tcPr>
          <w:p>
            <w:pPr>
              <w:spacing w:after="40" w:before="0"/>
            </w:pPr>
            <w:r>
              <w:rPr>
                <w:rFonts w:ascii="Arial" w:cs="Arial" w:eastAsia="Arial" w:hAnsi="Arial"/>
                <w:b/>
                <w:bCs/>
                <w:color w:val="1F4E79"/>
                <w:sz w:val="20"/>
                <w:szCs w:val="20"/>
              </w:rPr>
              <w:t xml:space="preserve">Abstract</w:t>
            </w:r>
          </w:p>
          <w:p>
            <w:pPr>
              <w:spacing w:after="0" w:before="0"/>
            </w:pPr>
            <w:r>
              <w:rPr>
                <w:rFonts w:ascii="Arial" w:cs="Arial" w:eastAsia="Arial" w:hAnsi="Arial"/>
                <w:color w:val="1A1A1A"/>
                <w:sz w:val="20"/>
                <w:szCs w:val="20"/>
              </w:rPr>
              <w:t xml:space="preserve">This paper develops a new multi-country and multi-sector general equilibrium trade model to analyse the extent to which the diversification of sources of imports mitigates the impact of adverse trade shocks. The model incorporates trade network rigidities arising from frictions in goods, labour, and local factor markets. Quantifying the resilience-efficiency trade-off suggests that diversifying the sources of targeted imports — those more exposed to shocks, positioned upstream in the supply chain, and subject to greater rigidities — can enhance expected welfare when the probability of a large trade shock is sufficiently high.</w:t>
            </w:r>
          </w:p>
        </w:tc>
      </w:tr>
    </w:tbl>
    <w:p>
      <w:pPr>
        <w:spacing w:after="100" w:before="60"/>
      </w:pPr>
      <w:r>
        <w:rPr>
          <w:rFonts w:ascii="Arial" w:cs="Arial" w:eastAsia="Arial" w:hAnsi="Arial"/>
          <w:sz w:val="22"/>
          <w:szCs w:val="22"/>
        </w:rPr>
        <w:t xml:space="preserve">Relevant to: GDI (inverse HHI) and SI. Provides empirical grounding for both indices from IMF trade data.</w:t>
      </w:r>
    </w:p>
    <w:p>
      <w:pPr>
        <w:spacing w:after="80" w:before="80"/>
      </w:pPr>
      <w:r>
        <w:t xml:space="preserve"/>
      </w:r>
    </w:p>
    <w:p>
      <w:pPr>
        <w:pStyle w:val="Heading2"/>
        <w:pBdr>
          <w:bottom w:val="single" w:color="D6E4F0" w:sz="4"/>
        </w:pBdr>
        <w:spacing w:after="120" w:before="300"/>
      </w:pPr>
      <w:r>
        <w:rPr>
          <w:rFonts w:ascii="Arial" w:cs="Arial" w:eastAsia="Arial" w:hAnsi="Arial"/>
          <w:b/>
          <w:bCs/>
          <w:color w:val="1F4E79"/>
          <w:sz w:val="28"/>
          <w:szCs w:val="28"/>
        </w:rPr>
        <w:t xml:space="preserve">Paper 8 — Luo et al. (2024)</w:t>
      </w:r>
    </w:p>
    <w:p>
      <w:pPr>
        <w:spacing w:after="60" w:before="160"/>
      </w:pPr>
      <w:r>
        <w:rPr>
          <w:rFonts w:ascii="Arial" w:cs="Arial" w:eastAsia="Arial" w:hAnsi="Arial"/>
          <w:b/>
          <w:bCs/>
          <w:color w:val="5F5E5A"/>
          <w:sz w:val="22"/>
          <w:szCs w:val="22"/>
        </w:rPr>
        <w:t xml:space="preserve">"Resilience Evaluation of Low-Carbon Supply Chain Based on Improved Matter-Element Extension Model"</w:t>
      </w:r>
    </w:p>
    <w:p>
      <w:pPr>
        <w:spacing w:after="100" w:before="60"/>
      </w:pPr>
      <w:r>
        <w:rPr>
          <w:rFonts w:ascii="Arial" w:cs="Arial" w:eastAsia="Arial" w:hAnsi="Arial"/>
          <w:sz w:val="22"/>
          <w:szCs w:val="22"/>
        </w:rPr>
        <w:t xml:space="preserve">PMC / NIH Open Access • PMC10984551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6E4F0" w:val="clear"/>
            <w:tcMar>
              <w:top w:type="dxa" w:w="120"/>
              <w:left w:type="dxa" w:w="200"/>
              <w:bottom w:type="dxa" w:w="120"/>
              <w:right w:type="dxa" w:w="200"/>
            </w:tcMar>
          </w:tcPr>
          <w:p>
            <w:pPr>
              <w:spacing w:after="40" w:before="0"/>
            </w:pPr>
            <w:r>
              <w:rPr>
                <w:rFonts w:ascii="Arial" w:cs="Arial" w:eastAsia="Arial" w:hAnsi="Arial"/>
                <w:b/>
                <w:bCs/>
                <w:color w:val="1F4E79"/>
                <w:sz w:val="20"/>
                <w:szCs w:val="20"/>
              </w:rPr>
              <w:t xml:space="preserve">Abstract</w:t>
            </w:r>
          </w:p>
          <w:p>
            <w:pPr>
              <w:spacing w:after="0" w:before="0"/>
            </w:pPr>
            <w:r>
              <w:rPr>
                <w:rFonts w:ascii="Arial" w:cs="Arial" w:eastAsia="Arial" w:hAnsi="Arial"/>
                <w:color w:val="1A1A1A"/>
                <w:sz w:val="20"/>
                <w:szCs w:val="20"/>
              </w:rPr>
              <w:t xml:space="preserve">A new method of supply chain resilience assessment based on hesitant fuzzy linguistic term set (HFLTS) and matter element extension theory. An assessment index system is established including six first-level indicators: product supply resilience, resource resilience, partner resilience, information response resilience, financial resilience and knowledge resilience. Resilience indicator weights are determined based on a game-theoretic portfolio assignment method combining the best-worst method (BWM) and the CRITIC method.</w:t>
            </w:r>
          </w:p>
        </w:tc>
      </w:tr>
    </w:tbl>
    <w:p>
      <w:pPr>
        <w:spacing w:after="100" w:before="60"/>
      </w:pPr>
      <w:r>
        <w:rPr>
          <w:rFonts w:ascii="Arial" w:cs="Arial" w:eastAsia="Arial" w:hAnsi="Arial"/>
          <w:sz w:val="22"/>
          <w:szCs w:val="22"/>
        </w:rPr>
        <w:t xml:space="preserve">Relevant to: FSI, VI. Alternative weighting methodology using game-theoretic combination assignment.</w:t>
      </w:r>
    </w:p>
    <w:p>
      <w:pPr>
        <w:spacing w:after="120" w:before="120"/>
      </w:pPr>
      <w:r>
        <w:t xml:space="preserve"/>
      </w:r>
    </w:p>
    <w:p>
      <w:pPr>
        <w:pStyle w:val="Heading2"/>
        <w:pBdr>
          <w:bottom w:val="single" w:color="D6E4F0" w:sz="4"/>
        </w:pBdr>
        <w:spacing w:after="120" w:before="300"/>
      </w:pPr>
      <w:r>
        <w:rPr>
          <w:rFonts w:ascii="Arial" w:cs="Arial" w:eastAsia="Arial" w:hAnsi="Arial"/>
          <w:b/>
          <w:bCs/>
          <w:color w:val="1F4E79"/>
          <w:sz w:val="28"/>
          <w:szCs w:val="28"/>
        </w:rPr>
        <w:t xml:space="preserve">4.1 Quick Reference — Papers by Formula Component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Formula Component</w:t>
            </w:r>
          </w:p>
        </w:tc>
        <w:tc>
          <w:tcPr>
            <w:tcW w:type="dxa" w:w="5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Key Papers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SCI (Supplier Concentration)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OCC (2022), Ahn &amp; Tan IMF (2025), Pettit et al. (2013)</w:t>
            </w:r>
          </w:p>
        </w:tc>
      </w:tr>
      <w:tr>
        <w:tc>
          <w:tcPr>
            <w:tcW w:type="dxa" w:w="35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pPr>
              <w:spacing w:after="0" w:before="0"/>
            </w:pPr>
            <w:r>
              <w:rPr>
                <w:rFonts w:ascii="Arial" w:cs="Arial" w:eastAsia="Arial" w:hAnsi="Arial"/>
                <w:sz w:val="20"/>
                <w:szCs w:val="20"/>
              </w:rPr>
              <w:t xml:space="preserve">LDI (Lead Time Dispersion)</w:t>
            </w:r>
          </w:p>
        </w:tc>
        <w:tc>
          <w:tcPr>
            <w:tcW w:type="dxa" w:w="586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pPr>
              <w:spacing w:after="0" w:before="0"/>
            </w:pPr>
            <w:r>
              <w:rPr>
                <w:rFonts w:ascii="Arial" w:cs="Arial" w:eastAsia="Arial" w:hAnsi="Arial"/>
                <w:sz w:val="20"/>
                <w:szCs w:val="20"/>
              </w:rPr>
              <w:t xml:space="preserve">Singh et al. (2019), Barroso et al. (2015)</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SPOF (Single Point of Failure)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Pettit et al. (2010, 2013), Yang &amp; Li (2023)</w:t>
            </w:r>
          </w:p>
        </w:tc>
      </w:tr>
      <w:tr>
        <w:tc>
          <w:tcPr>
            <w:tcW w:type="dxa" w:w="35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pPr>
              <w:spacing w:after="0" w:before="0"/>
            </w:pPr>
            <w:r>
              <w:rPr>
                <w:rFonts w:ascii="Arial" w:cs="Arial" w:eastAsia="Arial" w:hAnsi="Arial"/>
                <w:sz w:val="20"/>
                <w:szCs w:val="20"/>
              </w:rPr>
              <w:t xml:space="preserve">GDI (Geographic Diversification)</w:t>
            </w:r>
          </w:p>
        </w:tc>
        <w:tc>
          <w:tcPr>
            <w:tcW w:type="dxa" w:w="586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pPr>
              <w:spacing w:after="0" w:before="0"/>
            </w:pPr>
            <w:r>
              <w:rPr>
                <w:rFonts w:ascii="Arial" w:cs="Arial" w:eastAsia="Arial" w:hAnsi="Arial"/>
                <w:sz w:val="20"/>
                <w:szCs w:val="20"/>
              </w:rPr>
              <w:t xml:space="preserve">Ahn &amp; Tan IMF (2025), OCC (2022)</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LTBI (Long-Term Buyer Index)</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Pettit et al. (2019), Ponomarov &amp; Holcomb (2009)</w:t>
            </w:r>
          </w:p>
        </w:tc>
      </w:tr>
      <w:tr>
        <w:tc>
          <w:tcPr>
            <w:tcW w:type="dxa" w:w="35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pPr>
              <w:spacing w:after="0" w:before="0"/>
            </w:pPr>
            <w:r>
              <w:rPr>
                <w:rFonts w:ascii="Arial" w:cs="Arial" w:eastAsia="Arial" w:hAnsi="Arial"/>
                <w:sz w:val="20"/>
                <w:szCs w:val="20"/>
              </w:rPr>
              <w:t xml:space="preserve">SI (Substitutability)</w:t>
            </w:r>
          </w:p>
        </w:tc>
        <w:tc>
          <w:tcPr>
            <w:tcW w:type="dxa" w:w="586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pPr>
              <w:spacing w:after="0" w:before="0"/>
            </w:pPr>
            <w:r>
              <w:rPr>
                <w:rFonts w:ascii="Arial" w:cs="Arial" w:eastAsia="Arial" w:hAnsi="Arial"/>
                <w:sz w:val="20"/>
                <w:szCs w:val="20"/>
              </w:rPr>
              <w:t xml:space="preserve">Ahn &amp; Tan IMF (2025), Singh et al. (2019)</w:t>
            </w:r>
          </w:p>
        </w:tc>
      </w:tr>
    </w:tbl>
    <w:p>
      <w:r>
        <w:br w:type="page"/>
      </w:r>
    </w:p>
    <w:p>
      <w:pPr>
        <w:pStyle w:val="Heading1"/>
        <w:pBdr>
          <w:bottom w:val="single" w:color="185FA5" w:sz="6"/>
        </w:pBdr>
        <w:shd w:fill="1F4E79" w:val="clear"/>
        <w:spacing w:after="200" w:before="360"/>
        <w:ind w:left="200" w:right="200"/>
      </w:pPr>
      <w:r>
        <w:rPr>
          <w:rFonts w:ascii="Arial" w:cs="Arial" w:eastAsia="Arial" w:hAnsi="Arial"/>
          <w:b/>
          <w:bCs/>
          <w:color w:val="FFFFFF"/>
          <w:sz w:val="36"/>
          <w:szCs w:val="36"/>
        </w:rPr>
        <w:t xml:space="preserve">5. Novelty Assessment</w:t>
      </w:r>
    </w:p>
    <w:p>
      <w:pPr>
        <w:spacing w:after="100" w:before="60"/>
      </w:pPr>
      <w:r>
        <w:rPr>
          <w:rFonts w:ascii="Arial" w:cs="Arial" w:eastAsia="Arial" w:hAnsi="Arial"/>
          <w:sz w:val="22"/>
          <w:szCs w:val="22"/>
        </w:rPr>
        <w:t xml:space="preserve">An honest evaluation of whether the analytical formula (Section 3) constitutes original academic contribution.</w:t>
      </w:r>
    </w:p>
    <w:p>
      <w:pPr>
        <w:pStyle w:val="Heading2"/>
        <w:pBdr>
          <w:bottom w:val="single" w:color="D6E4F0" w:sz="4"/>
        </w:pBdr>
        <w:spacing w:after="120" w:before="300"/>
      </w:pPr>
      <w:r>
        <w:rPr>
          <w:rFonts w:ascii="Arial" w:cs="Arial" w:eastAsia="Arial" w:hAnsi="Arial"/>
          <w:b/>
          <w:bCs/>
          <w:color w:val="1F4E79"/>
          <w:sz w:val="28"/>
          <w:szCs w:val="28"/>
        </w:rPr>
        <w:t xml:space="preserve">5.1 Overall Verdict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EF3CD" w:val="clear"/>
            <w:tcMar>
              <w:top w:type="dxa" w:w="120"/>
              <w:left w:type="dxa" w:w="200"/>
              <w:bottom w:type="dxa" w:w="120"/>
              <w:right w:type="dxa" w:w="200"/>
            </w:tcMar>
          </w:tcPr>
          <w:p>
            <w:pPr>
              <w:spacing w:after="40" w:before="0"/>
            </w:pPr>
            <w:r>
              <w:rPr>
                <w:rFonts w:ascii="Arial" w:cs="Arial" w:eastAsia="Arial" w:hAnsi="Arial"/>
                <w:b/>
                <w:bCs/>
                <w:color w:val="854F0B"/>
                <w:sz w:val="20"/>
                <w:szCs w:val="20"/>
              </w:rPr>
              <w:t xml:space="preserve">Short answer</w:t>
            </w:r>
          </w:p>
          <w:p>
            <w:pPr>
              <w:spacing w:after="0" w:before="0"/>
            </w:pPr>
            <w:r>
              <w:rPr>
                <w:rFonts w:ascii="Arial" w:cs="Arial" w:eastAsia="Arial" w:hAnsi="Arial"/>
                <w:color w:val="1A1A1A"/>
                <w:sz w:val="20"/>
                <w:szCs w:val="20"/>
              </w:rPr>
              <w:t xml:space="preserve">Neither the original formula nor the improved version is fully novel on its own — but the specific combination and mathematical structure has meaningful novelty potential in its dual-logic architecture and ex-ante application.</w:t>
            </w:r>
          </w:p>
        </w:tc>
      </w:tr>
    </w:tbl>
    <w:p>
      <w:pPr>
        <w:spacing w:after="80" w:before="80"/>
      </w:pPr>
      <w:r>
        <w:t xml:space="preserve"/>
      </w:r>
    </w:p>
    <w:p>
      <w:pPr>
        <w:pStyle w:val="Heading2"/>
        <w:pBdr>
          <w:bottom w:val="single" w:color="D6E4F0" w:sz="4"/>
        </w:pBdr>
        <w:spacing w:after="120" w:before="300"/>
      </w:pPr>
      <w:r>
        <w:rPr>
          <w:rFonts w:ascii="Arial" w:cs="Arial" w:eastAsia="Arial" w:hAnsi="Arial"/>
          <w:b/>
          <w:bCs/>
          <w:color w:val="1F4E79"/>
          <w:sz w:val="28"/>
          <w:szCs w:val="28"/>
        </w:rPr>
        <w:t xml:space="preserve">5.2 Layer-by-Layer Analysis</w:t>
      </w:r>
    </w:p>
    <w:p>
      <w:pPr>
        <w:pStyle w:val="Heading3"/>
        <w:spacing w:after="80" w:before="200"/>
      </w:pPr>
      <w:r>
        <w:rPr>
          <w:rFonts w:ascii="Arial" w:cs="Arial" w:eastAsia="Arial" w:hAnsi="Arial"/>
          <w:b/>
          <w:bCs/>
          <w:color w:val="185FA5"/>
          <w:sz w:val="24"/>
          <w:szCs w:val="24"/>
        </w:rPr>
        <w:t xml:space="preserve">Layer 1 — Individual Components: Not Novel</w:t>
      </w:r>
    </w:p>
    <w:p>
      <w:pPr>
        <w:spacing w:after="100" w:before="60"/>
      </w:pPr>
      <w:r>
        <w:rPr>
          <w:rFonts w:ascii="Arial" w:cs="Arial" w:eastAsia="Arial" w:hAnsi="Arial"/>
          <w:sz w:val="22"/>
          <w:szCs w:val="22"/>
        </w:rPr>
        <w:t xml:space="preserve">Every single index used exists independently in the literature: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Component</w:t>
            </w:r>
          </w:p>
        </w:tc>
        <w:tc>
          <w:tcPr>
            <w:tcW w:type="dxa" w:w="6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Pre-existing in Literature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SCI via HHI</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Herfindahl (1950), Ahn &amp; Tan (2025)</w:t>
            </w:r>
          </w:p>
        </w:tc>
      </w:tr>
      <w:tr>
        <w:tc>
          <w:tcPr>
            <w:tcW w:type="dxa" w:w="30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pPr>
              <w:spacing w:after="0" w:before="0"/>
            </w:pPr>
            <w:r>
              <w:rPr>
                <w:rFonts w:ascii="Arial" w:cs="Arial" w:eastAsia="Arial" w:hAnsi="Arial"/>
                <w:sz w:val="20"/>
                <w:szCs w:val="20"/>
              </w:rPr>
              <w:t xml:space="preserve">LDI as CoV</w:t>
            </w:r>
          </w:p>
        </w:tc>
        <w:tc>
          <w:tcPr>
            <w:tcW w:type="dxa" w:w="636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pPr>
              <w:spacing w:after="0" w:before="0"/>
            </w:pPr>
            <w:r>
              <w:rPr>
                <w:rFonts w:ascii="Arial" w:cs="Arial" w:eastAsia="Arial" w:hAnsi="Arial"/>
                <w:sz w:val="20"/>
                <w:szCs w:val="20"/>
              </w:rPr>
              <w:t xml:space="preserve">Operations management literature since 1990s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SPOF ratio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Network reliability and systems engineering</w:t>
            </w:r>
          </w:p>
        </w:tc>
      </w:tr>
      <w:tr>
        <w:tc>
          <w:tcPr>
            <w:tcW w:type="dxa" w:w="30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pPr>
              <w:spacing w:after="0" w:before="0"/>
            </w:pPr>
            <w:r>
              <w:rPr>
                <w:rFonts w:ascii="Arial" w:cs="Arial" w:eastAsia="Arial" w:hAnsi="Arial"/>
                <w:sz w:val="20"/>
                <w:szCs w:val="20"/>
              </w:rPr>
              <w:t xml:space="preserve">GDI as inverse HHI</w:t>
            </w:r>
          </w:p>
        </w:tc>
        <w:tc>
          <w:tcPr>
            <w:tcW w:type="dxa" w:w="636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pPr>
              <w:spacing w:after="0" w:before="0"/>
            </w:pPr>
            <w:r>
              <w:rPr>
                <w:rFonts w:ascii="Arial" w:cs="Arial" w:eastAsia="Arial" w:hAnsi="Arial"/>
                <w:sz w:val="20"/>
                <w:szCs w:val="20"/>
              </w:rPr>
              <w:t xml:space="preserve">Ahn &amp; Tan (2025), OCC (2022)</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LTBI</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Pettit et al. (2010) financial strength capability</w:t>
            </w:r>
          </w:p>
        </w:tc>
      </w:tr>
      <w:tr>
        <w:tc>
          <w:tcPr>
            <w:tcW w:type="dxa" w:w="30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pPr>
              <w:spacing w:after="0" w:before="0"/>
            </w:pPr>
            <w:r>
              <w:rPr>
                <w:rFonts w:ascii="Arial" w:cs="Arial" w:eastAsia="Arial" w:hAnsi="Arial"/>
                <w:sz w:val="20"/>
                <w:szCs w:val="20"/>
              </w:rPr>
              <w:t xml:space="preserve">SI</w:t>
            </w:r>
          </w:p>
        </w:tc>
        <w:tc>
          <w:tcPr>
            <w:tcW w:type="dxa" w:w="636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pPr>
              <w:spacing w:after="0" w:before="0"/>
            </w:pPr>
            <w:r>
              <w:rPr>
                <w:rFonts w:ascii="Arial" w:cs="Arial" w:eastAsia="Arial" w:hAnsi="Arial"/>
                <w:sz w:val="20"/>
                <w:szCs w:val="20"/>
              </w:rPr>
              <w:t xml:space="preserve">Ahn &amp; Tan (2025), substitutability literature</w:t>
            </w:r>
          </w:p>
        </w:tc>
      </w:tr>
    </w:tbl>
    <w:p>
      <w:pPr>
        <w:spacing w:after="120" w:before="120"/>
      </w:pPr>
      <w:r>
        <w:t xml:space="preserve"/>
      </w:r>
    </w:p>
    <w:p>
      <w:pPr>
        <w:pStyle w:val="Heading3"/>
        <w:spacing w:after="80" w:before="200"/>
      </w:pPr>
      <w:r>
        <w:rPr>
          <w:rFonts w:ascii="Arial" w:cs="Arial" w:eastAsia="Arial" w:hAnsi="Arial"/>
          <w:b/>
          <w:bCs/>
          <w:color w:val="185FA5"/>
          <w:sz w:val="24"/>
          <w:szCs w:val="24"/>
        </w:rPr>
        <w:t xml:space="preserve">Layer 2 — Combination Structure: Partial Novelty</w:t>
      </w:r>
    </w:p>
    <w:p>
      <w:pPr>
        <w:spacing w:after="100" w:before="60"/>
      </w:pPr>
      <w:r>
        <w:rPr>
          <w:rFonts w:ascii="Arial" w:cs="Arial" w:eastAsia="Arial" w:hAnsi="Arial"/>
          <w:sz w:val="22"/>
          <w:szCs w:val="22"/>
        </w:rPr>
        <w:t xml:space="preserve">Most existing formulas fall into one of three camps:</w:t>
      </w:r>
    </w:p>
    <w:p>
      <w:pPr>
        <w:pStyle w:val="ListParagraph"/>
        <w:numPr>
          <w:ilvl w:val="0"/>
          <w:numId w:val="2"/>
        </w:numPr>
        <w:spacing w:after="40" w:before="40"/>
      </w:pPr>
      <w:r>
        <w:rPr>
          <w:rFonts w:ascii="Arial" w:cs="Arial" w:eastAsia="Arial" w:hAnsi="Arial"/>
          <w:b/>
          <w:bCs/>
          <w:sz w:val="22"/>
          <w:szCs w:val="22"/>
        </w:rPr>
        <w:t xml:space="preserve">Camp A — Pure capability scoring </w:t>
      </w:r>
      <w:r>
        <w:rPr>
          <w:rFonts w:ascii="Arial" w:cs="Arial" w:eastAsia="Arial" w:hAnsi="Arial"/>
          <w:sz w:val="22"/>
          <w:szCs w:val="22"/>
        </w:rPr>
        <w:t xml:space="preserve">(Pettit et al., 2010): Score resilience capabilities directly, no inversion.</w:t>
      </w:r>
    </w:p>
    <w:p>
      <w:pPr>
        <w:pStyle w:val="ListParagraph"/>
        <w:numPr>
          <w:ilvl w:val="0"/>
          <w:numId w:val="2"/>
        </w:numPr>
        <w:spacing w:after="40" w:before="40"/>
      </w:pPr>
      <w:r>
        <w:rPr>
          <w:rFonts w:ascii="Arial" w:cs="Arial" w:eastAsia="Arial" w:hAnsi="Arial"/>
          <w:b/>
          <w:bCs/>
          <w:sz w:val="22"/>
          <w:szCs w:val="22"/>
        </w:rPr>
        <w:t xml:space="preserve">Camp B — Pure risk scoring </w:t>
      </w:r>
      <w:r>
        <w:rPr>
          <w:rFonts w:ascii="Arial" w:cs="Arial" w:eastAsia="Arial" w:hAnsi="Arial"/>
          <w:sz w:val="22"/>
          <w:szCs w:val="22"/>
        </w:rPr>
        <w:t xml:space="preserve">(FMEA-based): Score risks directly, higher = worse.</w:t>
      </w:r>
    </w:p>
    <w:p>
      <w:pPr>
        <w:pStyle w:val="ListParagraph"/>
        <w:numPr>
          <w:ilvl w:val="0"/>
          <w:numId w:val="2"/>
        </w:numPr>
        <w:spacing w:after="40" w:before="40"/>
      </w:pPr>
      <w:r>
        <w:rPr>
          <w:rFonts w:ascii="Arial" w:cs="Arial" w:eastAsia="Arial" w:hAnsi="Arial"/>
          <w:b/>
          <w:bCs/>
          <w:sz w:val="22"/>
          <w:szCs w:val="22"/>
        </w:rPr>
        <w:t xml:space="preserve">Camp C — Hierarchical aggregation </w:t>
      </w:r>
      <w:r>
        <w:rPr>
          <w:rFonts w:ascii="Arial" w:cs="Arial" w:eastAsia="Arial" w:hAnsi="Arial"/>
          <w:sz w:val="22"/>
          <w:szCs w:val="22"/>
        </w:rPr>
        <w:t xml:space="preserve">(Barroso et al., 2015): Aggregate company-level indices.</w:t>
      </w:r>
    </w:p>
    <w:p>
      <w:pPr>
        <w:spacing w:after="100" w:before="60"/>
      </w:pPr>
      <w:r>
        <w:rPr>
          <w:rFonts w:ascii="Arial" w:cs="Arial" w:eastAsia="Arial" w:hAnsi="Arial"/>
          <w:sz w:val="22"/>
          <w:szCs w:val="22"/>
        </w:rPr>
        <w:t xml:space="preserve">The formula's hybrid inversion model — where some terms penalise risk (1-SCI) and others reward capability (GDI, LTBI, SI) in the same equation — is a structurally distinct approach not found verbatim in reviewed papers.</w:t>
      </w:r>
    </w:p>
    <w:p>
      <w:pPr>
        <w:spacing w:after="80" w:before="80"/>
      </w:pPr>
      <w:r>
        <w:t xml:space="preserve"/>
      </w:r>
    </w:p>
    <w:p>
      <w:pPr>
        <w:pStyle w:val="Heading3"/>
        <w:spacing w:after="80" w:before="200"/>
      </w:pPr>
      <w:r>
        <w:rPr>
          <w:rFonts w:ascii="Arial" w:cs="Arial" w:eastAsia="Arial" w:hAnsi="Arial"/>
          <w:b/>
          <w:bCs/>
          <w:color w:val="185FA5"/>
          <w:sz w:val="24"/>
          <w:szCs w:val="24"/>
        </w:rPr>
        <w:t xml:space="preserve">Layer 3 — Where True Novelty Can Be Claimed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Element</w:t>
            </w:r>
          </w:p>
        </w:tc>
        <w:tc>
          <w:tcPr>
            <w:tcW w:type="dxa" w:w="5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Novelty Verdict</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Dual-logic inversion architecture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Partially novel — uncommon structural choice</w:t>
            </w:r>
          </w:p>
        </w:tc>
      </w:tr>
      <w:tr>
        <w:tc>
          <w:tcPr>
            <w:tcW w:type="dxa" w:w="40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pPr>
              <w:spacing w:after="0" w:before="0"/>
            </w:pPr>
            <w:r>
              <w:rPr>
                <w:rFonts w:ascii="Arial" w:cs="Arial" w:eastAsia="Arial" w:hAnsi="Arial"/>
                <w:sz w:val="20"/>
                <w:szCs w:val="20"/>
              </w:rPr>
              <w:t xml:space="preserve">SPOF as dominant weight (30%)</w:t>
            </w:r>
          </w:p>
        </w:tc>
        <w:tc>
          <w:tcPr>
            <w:tcW w:type="dxa" w:w="536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pPr>
              <w:spacing w:after="0" w:before="0"/>
            </w:pPr>
            <w:r>
              <w:rPr>
                <w:rFonts w:ascii="Arial" w:cs="Arial" w:eastAsia="Arial" w:hAnsi="Arial"/>
                <w:sz w:val="20"/>
                <w:szCs w:val="20"/>
              </w:rPr>
              <w:t xml:space="preserve">Partially novel — distinct structural-fragility-first philosophy</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LTBI as standalone quantitative term</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Partially novel — rarely operationalised independently</w:t>
            </w:r>
          </w:p>
        </w:tc>
      </w:tr>
      <w:tr>
        <w:tc>
          <w:tcPr>
            <w:tcW w:type="dxa" w:w="40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pPr>
              <w:spacing w:after="0" w:before="0"/>
            </w:pPr>
            <w:r>
              <w:rPr>
                <w:rFonts w:ascii="Arial" w:cs="Arial" w:eastAsia="Arial" w:hAnsi="Arial"/>
                <w:sz w:val="20"/>
                <w:szCs w:val="20"/>
              </w:rPr>
              <w:t xml:space="preserve">Application to business plans (ex-ante)</w:t>
            </w:r>
          </w:p>
        </w:tc>
        <w:tc>
          <w:tcPr>
            <w:tcW w:type="dxa" w:w="536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pPr>
              <w:spacing w:after="0" w:before="0"/>
            </w:pPr>
            <w:r>
              <w:rPr>
                <w:rFonts w:ascii="Arial" w:cs="Arial" w:eastAsia="Arial" w:hAnsi="Arial"/>
                <w:sz w:val="20"/>
                <w:szCs w:val="20"/>
              </w:rPr>
              <w:t xml:space="preserve">Most novel claim available — no existing paper addresses this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Linear weighted aggregation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Not novel — standard method</w:t>
            </w:r>
          </w:p>
        </w:tc>
      </w:tr>
      <w:tr>
        <w:tc>
          <w:tcPr>
            <w:tcW w:type="dxa" w:w="40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pPr>
              <w:spacing w:after="0" w:before="0"/>
            </w:pPr>
            <w:r>
              <w:rPr>
                <w:rFonts w:ascii="Arial" w:cs="Arial" w:eastAsia="Arial" w:hAnsi="Arial"/>
                <w:sz w:val="20"/>
                <w:szCs w:val="20"/>
              </w:rPr>
              <w:t xml:space="preserve">Empirically validated</w:t>
            </w:r>
          </w:p>
        </w:tc>
        <w:tc>
          <w:tcPr>
            <w:tcW w:type="dxa" w:w="536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pPr>
              <w:spacing w:after="0" w:before="0"/>
            </w:pPr>
            <w:r>
              <w:rPr>
                <w:rFonts w:ascii="Arial" w:cs="Arial" w:eastAsia="Arial" w:hAnsi="Arial"/>
                <w:sz w:val="20"/>
                <w:szCs w:val="20"/>
              </w:rPr>
              <w:t xml:space="preserve">Not yet — required for full academic novelty</w:t>
            </w:r>
          </w:p>
        </w:tc>
      </w:tr>
    </w:tbl>
    <w:p>
      <w:pPr>
        <w:spacing w:after="120" w:before="120"/>
      </w:pPr>
      <w:r>
        <w:t xml:space="preserve"/>
      </w:r>
    </w:p>
    <w:p>
      <w:pPr>
        <w:pStyle w:val="Heading2"/>
        <w:pBdr>
          <w:bottom w:val="single" w:color="D6E4F0" w:sz="4"/>
        </w:pBdr>
        <w:spacing w:after="120" w:before="300"/>
      </w:pPr>
      <w:r>
        <w:rPr>
          <w:rFonts w:ascii="Arial" w:cs="Arial" w:eastAsia="Arial" w:hAnsi="Arial"/>
          <w:b/>
          <w:bCs/>
          <w:color w:val="1F4E79"/>
          <w:sz w:val="28"/>
          <w:szCs w:val="28"/>
        </w:rPr>
        <w:t xml:space="preserve">5.3 What Would Make It Genuinely Novel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Gap</w:t>
            </w:r>
          </w:p>
        </w:tc>
        <w:tc>
          <w:tcPr>
            <w:tcW w:type="dxa" w:w="6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Solution Required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Fixed weights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Dynamic weights shifting by disruption phase or industry</w:t>
            </w:r>
          </w:p>
        </w:tc>
      </w:tr>
      <w:tr>
        <w:tc>
          <w:tcPr>
            <w:tcW w:type="dxa" w:w="30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pPr>
              <w:spacing w:after="0" w:before="0"/>
            </w:pPr>
            <w:r>
              <w:rPr>
                <w:rFonts w:ascii="Arial" w:cs="Arial" w:eastAsia="Arial" w:hAnsi="Arial"/>
                <w:sz w:val="20"/>
                <w:szCs w:val="20"/>
              </w:rPr>
              <w:t xml:space="preserve">Linear independence assumption</w:t>
            </w:r>
          </w:p>
        </w:tc>
        <w:tc>
          <w:tcPr>
            <w:tcW w:type="dxa" w:w="636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pPr>
              <w:spacing w:after="0" w:before="0"/>
            </w:pPr>
            <w:r>
              <w:rPr>
                <w:rFonts w:ascii="Arial" w:cs="Arial" w:eastAsia="Arial" w:hAnsi="Arial"/>
                <w:sz w:val="20"/>
                <w:szCs w:val="20"/>
              </w:rPr>
              <w:t xml:space="preserve">Non-linear interaction terms between components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Point-in-time only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Temporal rate of change (delta) incorporated into formula</w:t>
            </w:r>
          </w:p>
        </w:tc>
      </w:tr>
      <w:tr>
        <w:tc>
          <w:tcPr>
            <w:tcW w:type="dxa" w:w="30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pPr>
              <w:spacing w:after="0" w:before="0"/>
            </w:pPr>
            <w:r>
              <w:rPr>
                <w:rFonts w:ascii="Arial" w:cs="Arial" w:eastAsia="Arial" w:hAnsi="Arial"/>
                <w:sz w:val="20"/>
                <w:szCs w:val="20"/>
              </w:rPr>
              <w:t xml:space="preserve">Operating chains only</w:t>
            </w:r>
          </w:p>
        </w:tc>
        <w:tc>
          <w:tcPr>
            <w:tcW w:type="dxa" w:w="636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pPr>
              <w:spacing w:after="0" w:before="0"/>
            </w:pPr>
            <w:r>
              <w:rPr>
                <w:rFonts w:ascii="Arial" w:cs="Arial" w:eastAsia="Arial" w:hAnsi="Arial"/>
                <w:sz w:val="20"/>
                <w:szCs w:val="20"/>
              </w:rPr>
              <w:t xml:space="preserve">Explicit ex-ante framework with evidence quality discount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1F5EE" w:val="clear"/>
            <w:tcMar>
              <w:top w:type="dxa" w:w="120"/>
              <w:left w:type="dxa" w:w="200"/>
              <w:bottom w:type="dxa" w:w="120"/>
              <w:right w:type="dxa" w:w="200"/>
            </w:tcMar>
          </w:tcPr>
          <w:p>
            <w:pPr>
              <w:spacing w:after="40" w:before="0"/>
            </w:pPr>
            <w:r>
              <w:rPr>
                <w:rFonts w:ascii="Arial" w:cs="Arial" w:eastAsia="Arial" w:hAnsi="Arial"/>
                <w:b/>
                <w:bCs/>
                <w:color w:val="0F6E56"/>
                <w:sz w:val="20"/>
                <w:szCs w:val="20"/>
              </w:rPr>
              <w:t xml:space="preserve">Strongest Novelty Claim</w:t>
            </w:r>
          </w:p>
          <w:p>
            <w:pPr>
              <w:spacing w:after="0" w:before="0"/>
            </w:pPr>
            <w:r>
              <w:rPr>
                <w:rFonts w:ascii="Arial" w:cs="Arial" w:eastAsia="Arial" w:hAnsi="Arial"/>
                <w:color w:val="1A1A1A"/>
                <w:sz w:val="20"/>
                <w:szCs w:val="20"/>
              </w:rPr>
              <w:t xml:space="preserve">A structurally distinct composite index combining risk-inversion and direct resilience scoring in a single formula, specifically designed for ex-ante evaluation of business plans — a use case existing literature does not directly address.</w:t>
            </w:r>
          </w:p>
        </w:tc>
      </w:tr>
    </w:tbl>
    <w:p>
      <w:r>
        <w:br w:type="page"/>
      </w:r>
    </w:p>
    <w:p>
      <w:pPr>
        <w:pStyle w:val="Heading1"/>
        <w:pBdr>
          <w:bottom w:val="single" w:color="185FA5" w:sz="6"/>
        </w:pBdr>
        <w:shd w:fill="1F4E79" w:val="clear"/>
        <w:spacing w:after="200" w:before="360"/>
        <w:ind w:left="200" w:right="200"/>
      </w:pPr>
      <w:r>
        <w:rPr>
          <w:rFonts w:ascii="Arial" w:cs="Arial" w:eastAsia="Arial" w:hAnsi="Arial"/>
          <w:b/>
          <w:bCs/>
          <w:color w:val="FFFFFF"/>
          <w:sz w:val="36"/>
          <w:szCs w:val="36"/>
        </w:rPr>
        <w:t xml:space="preserve">6. Improved Formula (SCRS v2)</w:t>
      </w:r>
    </w:p>
    <w:p>
      <w:pPr>
        <w:spacing w:after="100" w:before="60"/>
      </w:pPr>
      <w:r>
        <w:rPr>
          <w:rFonts w:ascii="Arial" w:cs="Arial" w:eastAsia="Arial" w:hAnsi="Arial"/>
          <w:sz w:val="22"/>
          <w:szCs w:val="22"/>
        </w:rPr>
        <w:t xml:space="preserve">Addressing identified weaknesses through rebalanced weights, new components, and a cascade risk multiplier.</w:t>
      </w:r>
    </w:p>
    <w:p>
      <w:pPr>
        <w:pStyle w:val="Heading2"/>
        <w:pBdr>
          <w:bottom w:val="single" w:color="D6E4F0" w:sz="4"/>
        </w:pBdr>
        <w:spacing w:after="120" w:before="300"/>
      </w:pPr>
      <w:r>
        <w:rPr>
          <w:rFonts w:ascii="Arial" w:cs="Arial" w:eastAsia="Arial" w:hAnsi="Arial"/>
          <w:b/>
          <w:bCs/>
          <w:color w:val="1F4E79"/>
          <w:sz w:val="28"/>
          <w:szCs w:val="28"/>
        </w:rPr>
        <w:t xml:space="preserve">6.1 Full Improved Formula</w:t>
      </w:r>
    </w:p>
    <w:p>
      <w:pPr>
        <w:pBdr>
          <w:left w:val="single" w:color="185FA5" w:sz="12"/>
        </w:pBdr>
        <w:shd w:fill="F5F5F3" w:val="clear"/>
        <w:spacing w:after="120" w:before="120"/>
        <w:ind w:left="720"/>
      </w:pPr>
      <w:r>
        <w:rPr>
          <w:rFonts w:ascii="Courier New" w:cs="Courier New" w:eastAsia="Courier New" w:hAnsi="Courier New"/>
          <w:b/>
          <w:bCs/>
          <w:color w:val="1F4E79"/>
          <w:sz w:val="20"/>
          <w:szCs w:val="20"/>
        </w:rPr>
        <w:t xml:space="preserve">SCRS_v2 = 100 x [0.22(1-SCI) + 0.15(1-LDI_tw) + 0.25(1-SPOF) + 0.13*GDI + 0.06*FSI + 0.04*VI + 0.08*LTBI + 0.07*SI] x (1 - 0.15*RCI)</w:t>
      </w:r>
    </w:p>
    <w:p>
      <w:pPr>
        <w:pStyle w:val="Heading2"/>
        <w:pBdr>
          <w:bottom w:val="single" w:color="D6E4F0" w:sz="4"/>
        </w:pBdr>
        <w:spacing w:after="120" w:before="300"/>
      </w:pPr>
      <w:r>
        <w:rPr>
          <w:rFonts w:ascii="Arial" w:cs="Arial" w:eastAsia="Arial" w:hAnsi="Arial"/>
          <w:b/>
          <w:bCs/>
          <w:color w:val="1F4E79"/>
          <w:sz w:val="28"/>
          <w:szCs w:val="28"/>
        </w:rPr>
        <w:t xml:space="preserve">6.2 Weight Changes and Rationale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600"/>
        <w:gridCol w:w="1600"/>
        <w:gridCol w:w="3660"/>
      </w:tblGrid>
      <w:tr>
        <w:trPr>
          <w:tblHeader/>
        </w:trP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Component</w:t>
            </w:r>
          </w:p>
        </w:tc>
        <w:tc>
          <w:tcPr>
            <w:tcW w:type="dxa" w:w="1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Original</w:t>
            </w:r>
          </w:p>
        </w:tc>
        <w:tc>
          <w:tcPr>
            <w:tcW w:type="dxa" w:w="1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Proposed</w:t>
            </w:r>
          </w:p>
        </w:tc>
        <w:tc>
          <w:tcPr>
            <w:tcW w:type="dxa" w:w="36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Rationale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SCI</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25%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22%</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Slightly reduced; absorbed into broader capacity model</w:t>
            </w:r>
          </w:p>
        </w:tc>
      </w:tr>
      <w:tr>
        <w:tc>
          <w:tcPr>
            <w:tcW w:type="dxa" w:w="25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pPr>
              <w:spacing w:after="0" w:before="0"/>
            </w:pPr>
            <w:r>
              <w:rPr>
                <w:rFonts w:ascii="Arial" w:cs="Arial" w:eastAsia="Arial" w:hAnsi="Arial"/>
                <w:sz w:val="20"/>
                <w:szCs w:val="20"/>
              </w:rPr>
              <w:t xml:space="preserve">LDI</w:t>
            </w:r>
          </w:p>
        </w:tc>
        <w:tc>
          <w:tcPr>
            <w:tcW w:type="dxa" w:w="16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pPr>
              <w:spacing w:after="0" w:before="0"/>
            </w:pPr>
            <w:r>
              <w:rPr>
                <w:rFonts w:ascii="Arial" w:cs="Arial" w:eastAsia="Arial" w:hAnsi="Arial"/>
                <w:sz w:val="20"/>
                <w:szCs w:val="20"/>
              </w:rPr>
              <w:t xml:space="preserve">20%</w:t>
            </w:r>
          </w:p>
        </w:tc>
        <w:tc>
          <w:tcPr>
            <w:tcW w:type="dxa" w:w="16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pPr>
              <w:spacing w:after="0" w:before="0"/>
            </w:pPr>
            <w:r>
              <w:rPr>
                <w:rFonts w:ascii="Arial" w:cs="Arial" w:eastAsia="Arial" w:hAnsi="Arial"/>
                <w:sz w:val="20"/>
                <w:szCs w:val="20"/>
              </w:rPr>
              <w:t xml:space="preserve">15%</w:t>
            </w:r>
          </w:p>
        </w:tc>
        <w:tc>
          <w:tcPr>
            <w:tcW w:type="dxa" w:w="366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pPr>
              <w:spacing w:after="0" w:before="0"/>
            </w:pPr>
            <w:r>
              <w:rPr>
                <w:rFonts w:ascii="Arial" w:cs="Arial" w:eastAsia="Arial" w:hAnsi="Arial"/>
                <w:sz w:val="20"/>
                <w:szCs w:val="20"/>
              </w:rPr>
              <w:t xml:space="preserve">Agility better captured by new VI component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SPOF</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30%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25%</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Still highest, balanced with new components</w:t>
            </w:r>
          </w:p>
        </w:tc>
      </w:tr>
      <w:tr>
        <w:tc>
          <w:tcPr>
            <w:tcW w:type="dxa" w:w="25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pPr>
              <w:spacing w:after="0" w:before="0"/>
            </w:pPr>
            <w:r>
              <w:rPr>
                <w:rFonts w:ascii="Arial" w:cs="Arial" w:eastAsia="Arial" w:hAnsi="Arial"/>
                <w:sz w:val="20"/>
                <w:szCs w:val="20"/>
              </w:rPr>
              <w:t xml:space="preserve">GDI</w:t>
            </w:r>
          </w:p>
        </w:tc>
        <w:tc>
          <w:tcPr>
            <w:tcW w:type="dxa" w:w="16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pPr>
              <w:spacing w:after="0" w:before="0"/>
            </w:pPr>
            <w:r>
              <w:rPr>
                <w:rFonts w:ascii="Arial" w:cs="Arial" w:eastAsia="Arial" w:hAnsi="Arial"/>
                <w:sz w:val="20"/>
                <w:szCs w:val="20"/>
              </w:rPr>
              <w:t xml:space="preserve">15%</w:t>
            </w:r>
          </w:p>
        </w:tc>
        <w:tc>
          <w:tcPr>
            <w:tcW w:type="dxa" w:w="16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pPr>
              <w:spacing w:after="0" w:before="0"/>
            </w:pPr>
            <w:r>
              <w:rPr>
                <w:rFonts w:ascii="Arial" w:cs="Arial" w:eastAsia="Arial" w:hAnsi="Arial"/>
                <w:sz w:val="20"/>
                <w:szCs w:val="20"/>
              </w:rPr>
              <w:t xml:space="preserve">13%</w:t>
            </w:r>
          </w:p>
        </w:tc>
        <w:tc>
          <w:tcPr>
            <w:tcW w:type="dxa" w:w="366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pPr>
              <w:spacing w:after="0" w:before="0"/>
            </w:pPr>
            <w:r>
              <w:rPr>
                <w:rFonts w:ascii="Arial" w:cs="Arial" w:eastAsia="Arial" w:hAnsi="Arial"/>
                <w:sz w:val="20"/>
                <w:szCs w:val="20"/>
              </w:rPr>
              <w:t xml:space="preserve">Complements new FSI component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LTBI</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7%</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8%</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Marginal increase per Pettit et al. (2019)</w:t>
            </w:r>
          </w:p>
        </w:tc>
      </w:tr>
      <w:tr>
        <w:tc>
          <w:tcPr>
            <w:tcW w:type="dxa" w:w="25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pPr>
              <w:spacing w:after="0" w:before="0"/>
            </w:pPr>
            <w:r>
              <w:rPr>
                <w:rFonts w:ascii="Arial" w:cs="Arial" w:eastAsia="Arial" w:hAnsi="Arial"/>
                <w:sz w:val="20"/>
                <w:szCs w:val="20"/>
              </w:rPr>
              <w:t xml:space="preserve">SI</w:t>
            </w:r>
          </w:p>
        </w:tc>
        <w:tc>
          <w:tcPr>
            <w:tcW w:type="dxa" w:w="16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pPr>
              <w:spacing w:after="0" w:before="0"/>
            </w:pPr>
            <w:r>
              <w:rPr>
                <w:rFonts w:ascii="Arial" w:cs="Arial" w:eastAsia="Arial" w:hAnsi="Arial"/>
                <w:sz w:val="20"/>
                <w:szCs w:val="20"/>
              </w:rPr>
              <w:t xml:space="preserve">3%</w:t>
            </w:r>
          </w:p>
        </w:tc>
        <w:tc>
          <w:tcPr>
            <w:tcW w:type="dxa" w:w="16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pPr>
              <w:spacing w:after="0" w:before="0"/>
            </w:pPr>
            <w:r>
              <w:rPr>
                <w:rFonts w:ascii="Arial" w:cs="Arial" w:eastAsia="Arial" w:hAnsi="Arial"/>
                <w:sz w:val="20"/>
                <w:szCs w:val="20"/>
              </w:rPr>
              <w:t xml:space="preserve">7%</w:t>
            </w:r>
          </w:p>
        </w:tc>
        <w:tc>
          <w:tcPr>
            <w:tcW w:type="dxa" w:w="366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pPr>
              <w:spacing w:after="0" w:before="0"/>
            </w:pPr>
            <w:r>
              <w:rPr>
                <w:rFonts w:ascii="Arial" w:cs="Arial" w:eastAsia="Arial" w:hAnsi="Arial"/>
                <w:sz w:val="20"/>
                <w:szCs w:val="20"/>
              </w:rPr>
              <w:t xml:space="preserve">Major increase per Ahn &amp; Tan (2025)</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FSI (new)</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6%</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Financial Strength Index added</w:t>
            </w:r>
          </w:p>
        </w:tc>
      </w:tr>
      <w:tr>
        <w:tc>
          <w:tcPr>
            <w:tcW w:type="dxa" w:w="25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pPr>
              <w:spacing w:after="0" w:before="0"/>
            </w:pPr>
            <w:r>
              <w:rPr>
                <w:rFonts w:ascii="Arial" w:cs="Arial" w:eastAsia="Arial" w:hAnsi="Arial"/>
                <w:sz w:val="20"/>
                <w:szCs w:val="20"/>
              </w:rPr>
              <w:t xml:space="preserve">VI (new)</w:t>
            </w:r>
          </w:p>
        </w:tc>
        <w:tc>
          <w:tcPr>
            <w:tcW w:type="dxa" w:w="16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pPr>
              <w:spacing w:after="0" w:before="0"/>
            </w:pPr>
            <w:r>
              <w:rPr>
                <w:rFonts w:ascii="Arial" w:cs="Arial" w:eastAsia="Arial" w:hAnsi="Arial"/>
                <w:sz w:val="20"/>
                <w:szCs w:val="20"/>
              </w:rPr>
              <w:t xml:space="preserve">--</w:t>
            </w:r>
          </w:p>
        </w:tc>
        <w:tc>
          <w:tcPr>
            <w:tcW w:type="dxa" w:w="16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pPr>
              <w:spacing w:after="0" w:before="0"/>
            </w:pPr>
            <w:r>
              <w:rPr>
                <w:rFonts w:ascii="Arial" w:cs="Arial" w:eastAsia="Arial" w:hAnsi="Arial"/>
                <w:sz w:val="20"/>
                <w:szCs w:val="20"/>
              </w:rPr>
              <w:t xml:space="preserve">4%</w:t>
            </w:r>
          </w:p>
        </w:tc>
        <w:tc>
          <w:tcPr>
            <w:tcW w:type="dxa" w:w="366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pPr>
              <w:spacing w:after="0" w:before="0"/>
            </w:pPr>
            <w:r>
              <w:rPr>
                <w:rFonts w:ascii="Arial" w:cs="Arial" w:eastAsia="Arial" w:hAnsi="Arial"/>
                <w:sz w:val="20"/>
                <w:szCs w:val="20"/>
              </w:rPr>
              <w:t xml:space="preserve">Visibility Index added</w:t>
            </w:r>
          </w:p>
        </w:tc>
      </w:tr>
    </w:tbl>
    <w:p>
      <w:pPr>
        <w:spacing w:after="120" w:before="120"/>
      </w:pPr>
      <w:r>
        <w:t xml:space="preserve"/>
      </w:r>
    </w:p>
    <w:p>
      <w:pPr>
        <w:pStyle w:val="Heading2"/>
        <w:pBdr>
          <w:bottom w:val="single" w:color="D6E4F0" w:sz="4"/>
        </w:pBdr>
        <w:spacing w:after="120" w:before="300"/>
      </w:pPr>
      <w:r>
        <w:rPr>
          <w:rFonts w:ascii="Arial" w:cs="Arial" w:eastAsia="Arial" w:hAnsi="Arial"/>
          <w:b/>
          <w:bCs/>
          <w:color w:val="1F4E79"/>
          <w:sz w:val="28"/>
          <w:szCs w:val="28"/>
        </w:rPr>
        <w:t xml:space="preserve">6.3 New Component: FSI — Financial Strength Index</w:t>
      </w:r>
    </w:p>
    <w:p>
      <w:pPr>
        <w:spacing w:after="100" w:before="60"/>
      </w:pPr>
      <w:r>
        <w:rPr>
          <w:rFonts w:ascii="Arial" w:cs="Arial" w:eastAsia="Arial" w:hAnsi="Arial"/>
          <w:sz w:val="22"/>
          <w:szCs w:val="22"/>
        </w:rPr>
        <w:t xml:space="preserve">Drawn from Pettit et al. (2010), who identify financial strength as a key resilience capability. A supply chain with structural resilience but thin working capital can still collapse.</w:t>
      </w:r>
    </w:p>
    <w:p>
      <w:pPr>
        <w:pBdr>
          <w:left w:val="single" w:color="185FA5" w:sz="12"/>
        </w:pBdr>
        <w:shd w:fill="F5F5F3" w:val="clear"/>
        <w:spacing w:after="120" w:before="120"/>
        <w:ind w:left="720"/>
      </w:pPr>
      <w:r>
        <w:rPr>
          <w:rFonts w:ascii="Courier New" w:cs="Courier New" w:eastAsia="Courier New" w:hAnsi="Courier New"/>
          <w:b/>
          <w:bCs/>
          <w:color w:val="1F4E79"/>
          <w:sz w:val="20"/>
          <w:szCs w:val="20"/>
        </w:rPr>
        <w:t xml:space="preserve">FSI = a*(min(CR,2)/2) + b*(Cash Runway months / 12) + g*(Creditworthy Suppliers / Total Key Suppliers)</w:t>
      </w:r>
    </w:p>
    <w:p>
      <w:pPr>
        <w:spacing w:after="100" w:before="60"/>
      </w:pPr>
      <w:r>
        <w:rPr>
          <w:rFonts w:ascii="Arial" w:cs="Arial" w:eastAsia="Arial" w:hAnsi="Arial"/>
          <w:sz w:val="22"/>
          <w:szCs w:val="22"/>
        </w:rPr>
        <w:t xml:space="preserve">Where a=0.4, b=0.3, g=0.3. Suggested cap at 1.0.</w:t>
      </w:r>
    </w:p>
    <w:p>
      <w:pPr>
        <w:spacing w:after="80" w:before="80"/>
      </w:pPr>
      <w:r>
        <w:t xml:space="preserve"/>
      </w:r>
    </w:p>
    <w:p>
      <w:pPr>
        <w:pStyle w:val="Heading2"/>
        <w:pBdr>
          <w:bottom w:val="single" w:color="D6E4F0" w:sz="4"/>
        </w:pBdr>
        <w:spacing w:after="120" w:before="300"/>
      </w:pPr>
      <w:r>
        <w:rPr>
          <w:rFonts w:ascii="Arial" w:cs="Arial" w:eastAsia="Arial" w:hAnsi="Arial"/>
          <w:b/>
          <w:bCs/>
          <w:color w:val="1F4E79"/>
          <w:sz w:val="28"/>
          <w:szCs w:val="28"/>
        </w:rPr>
        <w:t xml:space="preserve">6.4 New Component: VI — Visibility Index</w:t>
      </w:r>
    </w:p>
    <w:p>
      <w:pPr>
        <w:spacing w:after="100" w:before="60"/>
      </w:pPr>
      <w:r>
        <w:rPr>
          <w:rFonts w:ascii="Arial" w:cs="Arial" w:eastAsia="Arial" w:hAnsi="Arial"/>
          <w:sz w:val="22"/>
          <w:szCs w:val="22"/>
        </w:rPr>
        <w:t xml:space="preserve">Drawn from Singh et al. (2019) and Pettit et al. (2010). You cannot manage what you cannot see — especially for SPOF identification at deeper tiers.</w:t>
      </w:r>
    </w:p>
    <w:p>
      <w:pPr>
        <w:pBdr>
          <w:left w:val="single" w:color="185FA5" w:sz="12"/>
        </w:pBdr>
        <w:shd w:fill="F5F5F3" w:val="clear"/>
        <w:spacing w:after="120" w:before="120"/>
        <w:ind w:left="720"/>
      </w:pPr>
      <w:r>
        <w:rPr>
          <w:rFonts w:ascii="Courier New" w:cs="Courier New" w:eastAsia="Courier New" w:hAnsi="Courier New"/>
          <w:b/>
          <w:bCs/>
          <w:color w:val="1F4E79"/>
          <w:sz w:val="20"/>
          <w:szCs w:val="20"/>
        </w:rPr>
        <w:t xml:space="preserve">VI = (T1_vis x 0.50 + T2_vis x 0.30 + T3_vis x 0.20) / 100</w:t>
      </w:r>
    </w:p>
    <w:p>
      <w:pPr>
        <w:spacing w:after="80" w:before="80"/>
      </w:pPr>
      <w:r>
        <w:t xml:space="preserve"/>
      </w:r>
    </w:p>
    <w:p>
      <w:pPr>
        <w:pStyle w:val="Heading2"/>
        <w:pBdr>
          <w:bottom w:val="single" w:color="D6E4F0" w:sz="4"/>
        </w:pBdr>
        <w:spacing w:after="120" w:before="300"/>
      </w:pPr>
      <w:r>
        <w:rPr>
          <w:rFonts w:ascii="Arial" w:cs="Arial" w:eastAsia="Arial" w:hAnsi="Arial"/>
          <w:b/>
          <w:bCs/>
          <w:color w:val="1F4E79"/>
          <w:sz w:val="28"/>
          <w:szCs w:val="28"/>
        </w:rPr>
        <w:t xml:space="preserve">6.5 Multiplier: RCI — Ripple Cascade Index</w:t>
      </w:r>
    </w:p>
    <w:p>
      <w:pPr>
        <w:spacing w:after="100" w:before="60"/>
      </w:pPr>
      <w:r>
        <w:rPr>
          <w:rFonts w:ascii="Arial" w:cs="Arial" w:eastAsia="Arial" w:hAnsi="Arial"/>
          <w:sz w:val="22"/>
          <w:szCs w:val="22"/>
        </w:rPr>
        <w:t xml:space="preserve">Drawn from Barroso et al. (2015). Applies a penalty when hidden cascade vulnerabilities exist, as structural resilience scores can be misleading.</w:t>
      </w:r>
    </w:p>
    <w:p>
      <w:pPr>
        <w:pBdr>
          <w:left w:val="single" w:color="185FA5" w:sz="12"/>
        </w:pBdr>
        <w:shd w:fill="F5F5F3" w:val="clear"/>
        <w:spacing w:after="120" w:before="120"/>
        <w:ind w:left="720"/>
      </w:pPr>
      <w:r>
        <w:rPr>
          <w:rFonts w:ascii="Courier New" w:cs="Courier New" w:eastAsia="Courier New" w:hAnsi="Courier New"/>
          <w:b/>
          <w:bCs/>
          <w:color w:val="1F4E79"/>
          <w:sz w:val="20"/>
          <w:szCs w:val="20"/>
        </w:rPr>
        <w:t xml:space="preserve">RCI = (Nodes with single-tier dependencies feeding multiple downstream nodes) / (Total critical nodes)</w:t>
      </w:r>
    </w:p>
    <w:p>
      <w:pPr>
        <w:spacing w:after="100" w:before="60"/>
      </w:pPr>
      <w:r>
        <w:rPr>
          <w:rFonts w:ascii="Arial" w:cs="Arial" w:eastAsia="Arial" w:hAnsi="Arial"/>
          <w:sz w:val="22"/>
          <w:szCs w:val="22"/>
        </w:rPr>
        <w:t xml:space="preserve">The multiplier (1 − 0.15×RCI) applies up to a 15% score reduction for fully cascading chains.</w:t>
      </w:r>
    </w:p>
    <w:p>
      <w:pPr>
        <w:spacing w:after="80" w:before="80"/>
      </w:pPr>
      <w:r>
        <w:t xml:space="preserve"/>
      </w:r>
    </w:p>
    <w:p>
      <w:pPr>
        <w:pStyle w:val="Heading2"/>
        <w:pBdr>
          <w:bottom w:val="single" w:color="D6E4F0" w:sz="4"/>
        </w:pBdr>
        <w:spacing w:after="120" w:before="300"/>
      </w:pPr>
      <w:r>
        <w:rPr>
          <w:rFonts w:ascii="Arial" w:cs="Arial" w:eastAsia="Arial" w:hAnsi="Arial"/>
          <w:b/>
          <w:bCs/>
          <w:color w:val="1F4E79"/>
          <w:sz w:val="28"/>
          <w:szCs w:val="28"/>
        </w:rPr>
        <w:t xml:space="preserve">6.6 Tier-Weighted LDI</w:t>
      </w:r>
    </w:p>
    <w:p>
      <w:pPr>
        <w:spacing w:after="100" w:before="60"/>
      </w:pPr>
      <w:r>
        <w:rPr>
          <w:rFonts w:ascii="Arial" w:cs="Arial" w:eastAsia="Arial" w:hAnsi="Arial"/>
          <w:sz w:val="22"/>
          <w:szCs w:val="22"/>
        </w:rPr>
        <w:t xml:space="preserve">Replace flat LDI with a tier-weighted version to capture upstream propagation and the bullwhip effect in reverse:</w:t>
      </w:r>
    </w:p>
    <w:p>
      <w:pPr>
        <w:pBdr>
          <w:left w:val="single" w:color="185FA5" w:sz="12"/>
        </w:pBdr>
        <w:shd w:fill="F5F5F3" w:val="clear"/>
        <w:spacing w:after="120" w:before="120"/>
        <w:ind w:left="720"/>
      </w:pPr>
      <w:r>
        <w:rPr>
          <w:rFonts w:ascii="Courier New" w:cs="Courier New" w:eastAsia="Courier New" w:hAnsi="Courier New"/>
          <w:b/>
          <w:bCs/>
          <w:color w:val="1F4E79"/>
          <w:sz w:val="20"/>
          <w:szCs w:val="20"/>
        </w:rPr>
        <w:t xml:space="preserve">LDI_tw = (sigma_T1 x 0.50 + sigma_T2 x 0.30 + sigma_T3 x 0.20) / mu_overall</w:t>
      </w:r>
    </w:p>
    <w:p>
      <w:pPr>
        <w:spacing w:after="120" w:before="120"/>
      </w:pPr>
      <w:r>
        <w:t xml:space="preserve"/>
      </w:r>
    </w:p>
    <w:p>
      <w:pPr>
        <w:pStyle w:val="Heading2"/>
        <w:pBdr>
          <w:bottom w:val="single" w:color="D6E4F0" w:sz="4"/>
        </w:pBdr>
        <w:spacing w:after="120" w:before="300"/>
      </w:pPr>
      <w:r>
        <w:rPr>
          <w:rFonts w:ascii="Arial" w:cs="Arial" w:eastAsia="Arial" w:hAnsi="Arial"/>
          <w:b/>
          <w:bCs/>
          <w:color w:val="1F4E79"/>
          <w:sz w:val="28"/>
          <w:szCs w:val="28"/>
        </w:rPr>
        <w:t xml:space="preserve">6.7 Summary: Original vs Improved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rPr>
          <w:tblHeader/>
        </w:trPr>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Dimension</w:t>
            </w:r>
          </w:p>
        </w:tc>
        <w:tc>
          <w:tcPr>
            <w:tcW w:type="dxa" w:w="31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Original</w:t>
            </w:r>
          </w:p>
        </w:tc>
        <w:tc>
          <w:tcPr>
            <w:tcW w:type="dxa" w:w="31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Improved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Supplier concentration</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SCI</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SCI (reweighted)</w:t>
            </w:r>
          </w:p>
        </w:tc>
      </w:tr>
      <w:tr>
        <w:tc>
          <w:tcPr>
            <w:tcW w:type="dxa" w:w="30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pPr>
              <w:spacing w:after="0" w:before="0"/>
            </w:pPr>
            <w:r>
              <w:rPr>
                <w:rFonts w:ascii="Arial" w:cs="Arial" w:eastAsia="Arial" w:hAnsi="Arial"/>
                <w:sz w:val="20"/>
                <w:szCs w:val="20"/>
              </w:rPr>
              <w:t xml:space="preserve">Lead time volatility</w:t>
            </w:r>
          </w:p>
        </w:tc>
        <w:tc>
          <w:tcPr>
            <w:tcW w:type="dxa" w:w="318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pPr>
              <w:spacing w:after="0" w:before="0"/>
            </w:pPr>
            <w:r>
              <w:rPr>
                <w:rFonts w:ascii="Arial" w:cs="Arial" w:eastAsia="Arial" w:hAnsi="Arial"/>
                <w:sz w:val="20"/>
                <w:szCs w:val="20"/>
              </w:rPr>
              <w:t xml:space="preserve">LDI (flat)</w:t>
            </w:r>
          </w:p>
        </w:tc>
        <w:tc>
          <w:tcPr>
            <w:tcW w:type="dxa" w:w="318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pPr>
              <w:spacing w:after="0" w:before="0"/>
            </w:pPr>
            <w:r>
              <w:rPr>
                <w:rFonts w:ascii="Arial" w:cs="Arial" w:eastAsia="Arial" w:hAnsi="Arial"/>
                <w:sz w:val="20"/>
                <w:szCs w:val="20"/>
              </w:rPr>
              <w:t xml:space="preserve">Tier-weighted LDI</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Structural fragility</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SPOF</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SPOF + RCI multiplier</w:t>
            </w:r>
          </w:p>
        </w:tc>
      </w:tr>
      <w:tr>
        <w:tc>
          <w:tcPr>
            <w:tcW w:type="dxa" w:w="30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pPr>
              <w:spacing w:after="0" w:before="0"/>
            </w:pPr>
            <w:r>
              <w:rPr>
                <w:rFonts w:ascii="Arial" w:cs="Arial" w:eastAsia="Arial" w:hAnsi="Arial"/>
                <w:sz w:val="20"/>
                <w:szCs w:val="20"/>
              </w:rPr>
              <w:t xml:space="preserve">Geographic spread</w:t>
            </w:r>
          </w:p>
        </w:tc>
        <w:tc>
          <w:tcPr>
            <w:tcW w:type="dxa" w:w="318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pPr>
              <w:spacing w:after="0" w:before="0"/>
            </w:pPr>
            <w:r>
              <w:rPr>
                <w:rFonts w:ascii="Arial" w:cs="Arial" w:eastAsia="Arial" w:hAnsi="Arial"/>
                <w:sz w:val="20"/>
                <w:szCs w:val="20"/>
              </w:rPr>
              <w:t xml:space="preserve">GDI</w:t>
            </w:r>
          </w:p>
        </w:tc>
        <w:tc>
          <w:tcPr>
            <w:tcW w:type="dxa" w:w="318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pPr>
              <w:spacing w:after="0" w:before="0"/>
            </w:pPr>
            <w:r>
              <w:rPr>
                <w:rFonts w:ascii="Arial" w:cs="Arial" w:eastAsia="Arial" w:hAnsi="Arial"/>
                <w:sz w:val="20"/>
                <w:szCs w:val="20"/>
              </w:rPr>
              <w:t xml:space="preserve">GDI (reweighted)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Financial health</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Missing</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FSI added</w:t>
            </w:r>
          </w:p>
        </w:tc>
      </w:tr>
      <w:tr>
        <w:tc>
          <w:tcPr>
            <w:tcW w:type="dxa" w:w="30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pPr>
              <w:spacing w:after="0" w:before="0"/>
            </w:pPr>
            <w:r>
              <w:rPr>
                <w:rFonts w:ascii="Arial" w:cs="Arial" w:eastAsia="Arial" w:hAnsi="Arial"/>
                <w:sz w:val="20"/>
                <w:szCs w:val="20"/>
              </w:rPr>
              <w:t xml:space="preserve">Information visibility</w:t>
            </w:r>
          </w:p>
        </w:tc>
        <w:tc>
          <w:tcPr>
            <w:tcW w:type="dxa" w:w="318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pPr>
              <w:spacing w:after="0" w:before="0"/>
            </w:pPr>
            <w:r>
              <w:rPr>
                <w:rFonts w:ascii="Arial" w:cs="Arial" w:eastAsia="Arial" w:hAnsi="Arial"/>
                <w:sz w:val="20"/>
                <w:szCs w:val="20"/>
              </w:rPr>
              <w:t xml:space="preserve">Missing</w:t>
            </w:r>
          </w:p>
        </w:tc>
        <w:tc>
          <w:tcPr>
            <w:tcW w:type="dxa" w:w="318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pPr>
              <w:spacing w:after="0" w:before="0"/>
            </w:pPr>
            <w:r>
              <w:rPr>
                <w:rFonts w:ascii="Arial" w:cs="Arial" w:eastAsia="Arial" w:hAnsi="Arial"/>
                <w:sz w:val="20"/>
                <w:szCs w:val="20"/>
              </w:rPr>
              <w:t xml:space="preserve">VI added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Relationships</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LTBI 7%</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LTBI 8%</w:t>
            </w:r>
          </w:p>
        </w:tc>
      </w:tr>
      <w:tr>
        <w:tc>
          <w:tcPr>
            <w:tcW w:type="dxa" w:w="30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pPr>
              <w:spacing w:after="0" w:before="0"/>
            </w:pPr>
            <w:r>
              <w:rPr>
                <w:rFonts w:ascii="Arial" w:cs="Arial" w:eastAsia="Arial" w:hAnsi="Arial"/>
                <w:sz w:val="20"/>
                <w:szCs w:val="20"/>
              </w:rPr>
              <w:t xml:space="preserve">Substitutability</w:t>
            </w:r>
          </w:p>
        </w:tc>
        <w:tc>
          <w:tcPr>
            <w:tcW w:type="dxa" w:w="318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pPr>
              <w:spacing w:after="0" w:before="0"/>
            </w:pPr>
            <w:r>
              <w:rPr>
                <w:rFonts w:ascii="Arial" w:cs="Arial" w:eastAsia="Arial" w:hAnsi="Arial"/>
                <w:sz w:val="20"/>
                <w:szCs w:val="20"/>
              </w:rPr>
              <w:t xml:space="preserve">SI 3%</w:t>
            </w:r>
          </w:p>
        </w:tc>
        <w:tc>
          <w:tcPr>
            <w:tcW w:type="dxa" w:w="318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pPr>
              <w:spacing w:after="0" w:before="0"/>
            </w:pPr>
            <w:r>
              <w:rPr>
                <w:rFonts w:ascii="Arial" w:cs="Arial" w:eastAsia="Arial" w:hAnsi="Arial"/>
                <w:sz w:val="20"/>
                <w:szCs w:val="20"/>
              </w:rPr>
              <w:t xml:space="preserve">SI 7%</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Cascade risk</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Missing</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RCI multiplier</w:t>
            </w:r>
          </w:p>
        </w:tc>
      </w:tr>
    </w:tbl>
    <w:p>
      <w:r>
        <w:br w:type="page"/>
      </w:r>
    </w:p>
    <w:p>
      <w:pPr>
        <w:pStyle w:val="Heading1"/>
        <w:pBdr>
          <w:bottom w:val="single" w:color="185FA5" w:sz="6"/>
        </w:pBdr>
        <w:shd w:fill="1F4E79" w:val="clear"/>
        <w:spacing w:after="200" w:before="360"/>
        <w:ind w:left="200" w:right="200"/>
      </w:pPr>
      <w:r>
        <w:rPr>
          <w:rFonts w:ascii="Arial" w:cs="Arial" w:eastAsia="Arial" w:hAnsi="Arial"/>
          <w:b/>
          <w:bCs/>
          <w:color w:val="FFFFFF"/>
          <w:sz w:val="36"/>
          <w:szCs w:val="36"/>
        </w:rPr>
        <w:t xml:space="preserve">7. DAIRS — Dynamic Adaptive Index for Resilience Scoring</w:t>
      </w:r>
    </w:p>
    <w:p>
      <w:pPr>
        <w:spacing w:after="100" w:before="60"/>
      </w:pPr>
      <w:r>
        <w:rPr>
          <w:rFonts w:ascii="Arial" w:cs="Arial" w:eastAsia="Arial" w:hAnsi="Arial"/>
          <w:sz w:val="22"/>
          <w:szCs w:val="22"/>
        </w:rPr>
        <w:t xml:space="preserve">A novel formula addressing all four identified gaps: dynamic weights, non-linear interaction terms, temporal dimension, and ex-ante business plan application.</w:t>
      </w:r>
    </w:p>
    <w:p>
      <w:pPr>
        <w:pStyle w:val="Heading2"/>
        <w:pBdr>
          <w:bottom w:val="single" w:color="D6E4F0" w:sz="4"/>
        </w:pBdr>
        <w:spacing w:after="120" w:before="300"/>
      </w:pPr>
      <w:r>
        <w:rPr>
          <w:rFonts w:ascii="Arial" w:cs="Arial" w:eastAsia="Arial" w:hAnsi="Arial"/>
          <w:b/>
          <w:bCs/>
          <w:color w:val="1F4E79"/>
          <w:sz w:val="28"/>
          <w:szCs w:val="28"/>
        </w:rPr>
        <w:t xml:space="preserve">7.1 Full DAIRS Formula</w:t>
      </w:r>
    </w:p>
    <w:p>
      <w:pPr>
        <w:pBdr>
          <w:left w:val="single" w:color="185FA5" w:sz="12"/>
        </w:pBdr>
        <w:shd w:fill="F5F5F3" w:val="clear"/>
        <w:spacing w:after="120" w:before="120"/>
        <w:ind w:left="720"/>
      </w:pPr>
      <w:r>
        <w:rPr>
          <w:rFonts w:ascii="Courier New" w:cs="Courier New" w:eastAsia="Courier New" w:hAnsi="Courier New"/>
          <w:b/>
          <w:bCs/>
          <w:color w:val="1F4E79"/>
          <w:sz w:val="20"/>
          <w:szCs w:val="20"/>
        </w:rPr>
        <w:t xml:space="preserve">DAIRS_plan = 100 x Phi(tau) x [Sum_i w_i(tau)*C_i] x [1 - lambda*Omega(C)] x [1 + mu*dDAIRS/dt] x Psi</w:t>
      </w:r>
    </w:p>
    <w:p>
      <w:pPr>
        <w:pStyle w:val="Heading2"/>
        <w:pBdr>
          <w:bottom w:val="single" w:color="D6E4F0" w:sz="4"/>
        </w:pBdr>
        <w:spacing w:after="120" w:before="300"/>
      </w:pPr>
      <w:r>
        <w:rPr>
          <w:rFonts w:ascii="Arial" w:cs="Arial" w:eastAsia="Arial" w:hAnsi="Arial"/>
          <w:b/>
          <w:bCs/>
          <w:color w:val="1F4E79"/>
          <w:sz w:val="28"/>
          <w:szCs w:val="28"/>
        </w:rPr>
        <w:t xml:space="preserve">7.2 Term 1 — Phase Modulator Phi(tau)</w:t>
      </w:r>
    </w:p>
    <w:p>
      <w:pPr>
        <w:spacing w:after="100" w:before="60"/>
      </w:pPr>
      <w:r>
        <w:rPr>
          <w:rFonts w:ascii="Arial" w:cs="Arial" w:eastAsia="Arial" w:hAnsi="Arial"/>
          <w:sz w:val="22"/>
          <w:szCs w:val="22"/>
        </w:rPr>
        <w:t xml:space="preserve">Addresses Gap 1: Weights vary by disruption phase. Scales the entire score by lifecycle 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3860"/>
      </w:tblGrid>
      <w:tr>
        <w:trPr>
          <w:tblHeader/>
        </w:trPr>
        <w:tc>
          <w:tcPr>
            <w:tcW w:type="dxa" w:w="3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Phase</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Phi Value</w:t>
            </w:r>
          </w:p>
        </w:tc>
        <w:tc>
          <w:tcPr>
            <w:tcW w:type="dxa" w:w="3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Description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Readiness (pre-disruption)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1.00</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Standard baseline evaluation</w:t>
            </w:r>
          </w:p>
        </w:tc>
      </w:tr>
      <w:tr>
        <w:tc>
          <w:tcPr>
            <w:tcW w:type="dxa" w:w="35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pPr>
              <w:spacing w:after="0" w:before="0"/>
            </w:pPr>
            <w:r>
              <w:rPr>
                <w:rFonts w:ascii="Arial" w:cs="Arial" w:eastAsia="Arial" w:hAnsi="Arial"/>
                <w:sz w:val="20"/>
                <w:szCs w:val="20"/>
              </w:rPr>
              <w:t xml:space="preserve">Response (active disruption)</w:t>
            </w:r>
          </w:p>
        </w:tc>
        <w:tc>
          <w:tcPr>
            <w:tcW w:type="dxa" w:w="20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pPr>
              <w:spacing w:after="0" w:before="0"/>
            </w:pPr>
            <w:r>
              <w:rPr>
                <w:rFonts w:ascii="Arial" w:cs="Arial" w:eastAsia="Arial" w:hAnsi="Arial"/>
                <w:sz w:val="20"/>
                <w:szCs w:val="20"/>
              </w:rPr>
              <w:t xml:space="preserve">0.85</w:t>
            </w:r>
          </w:p>
        </w:tc>
        <w:tc>
          <w:tcPr>
            <w:tcW w:type="dxa" w:w="386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pPr>
              <w:spacing w:after="0" w:before="0"/>
            </w:pPr>
            <w:r>
              <w:rPr>
                <w:rFonts w:ascii="Arial" w:cs="Arial" w:eastAsia="Arial" w:hAnsi="Arial"/>
                <w:sz w:val="20"/>
                <w:szCs w:val="20"/>
              </w:rPr>
              <w:t xml:space="preserve">Discounted: chain under stress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Recovery (post-disruption)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0.90</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Partial recovery underway</w:t>
            </w:r>
          </w:p>
        </w:tc>
      </w:tr>
      <w:tr>
        <w:tc>
          <w:tcPr>
            <w:tcW w:type="dxa" w:w="35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pPr>
              <w:spacing w:after="0" w:before="0"/>
            </w:pPr>
            <w:r>
              <w:rPr>
                <w:rFonts w:ascii="Arial" w:cs="Arial" w:eastAsia="Arial" w:hAnsi="Arial"/>
                <w:sz w:val="20"/>
                <w:szCs w:val="20"/>
              </w:rPr>
              <w:t xml:space="preserve">Growth (post-recovery)</w:t>
            </w:r>
          </w:p>
        </w:tc>
        <w:tc>
          <w:tcPr>
            <w:tcW w:type="dxa" w:w="20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pPr>
              <w:spacing w:after="0" w:before="0"/>
            </w:pPr>
            <w:r>
              <w:rPr>
                <w:rFonts w:ascii="Arial" w:cs="Arial" w:eastAsia="Arial" w:hAnsi="Arial"/>
                <w:sz w:val="20"/>
                <w:szCs w:val="20"/>
              </w:rPr>
              <w:t xml:space="preserve">1.10</w:t>
            </w:r>
          </w:p>
        </w:tc>
        <w:tc>
          <w:tcPr>
            <w:tcW w:type="dxa" w:w="386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pPr>
              <w:spacing w:after="0" w:before="0"/>
            </w:pPr>
            <w:r>
              <w:rPr>
                <w:rFonts w:ascii="Arial" w:cs="Arial" w:eastAsia="Arial" w:hAnsi="Arial"/>
                <w:sz w:val="20"/>
                <w:szCs w:val="20"/>
              </w:rPr>
              <w:t xml:space="preserve">Premium for sustained improvement</w:t>
            </w:r>
          </w:p>
        </w:tc>
      </w:tr>
    </w:tbl>
    <w:p>
      <w:pPr>
        <w:spacing w:after="100" w:before="60"/>
      </w:pPr>
      <w:r>
        <w:rPr>
          <w:rFonts w:ascii="Arial" w:cs="Arial" w:eastAsia="Arial" w:hAnsi="Arial"/>
          <w:sz w:val="22"/>
          <w:szCs w:val="22"/>
        </w:rPr>
        <w:t xml:space="preserve">A business plan is always evaluated at Readiness phase, so Phi = 1.00 — but the formula remains applicable across the full lifecycle.</w:t>
      </w:r>
    </w:p>
    <w:p>
      <w:pPr>
        <w:spacing w:after="80" w:before="80"/>
      </w:pPr>
      <w:r>
        <w:t xml:space="preserve"/>
      </w:r>
    </w:p>
    <w:p>
      <w:pPr>
        <w:pStyle w:val="Heading2"/>
        <w:pBdr>
          <w:bottom w:val="single" w:color="D6E4F0" w:sz="4"/>
        </w:pBdr>
        <w:spacing w:after="120" w:before="300"/>
      </w:pPr>
      <w:r>
        <w:rPr>
          <w:rFonts w:ascii="Arial" w:cs="Arial" w:eastAsia="Arial" w:hAnsi="Arial"/>
          <w:b/>
          <w:bCs/>
          <w:color w:val="1F4E79"/>
          <w:sz w:val="28"/>
          <w:szCs w:val="28"/>
        </w:rPr>
        <w:t xml:space="preserve">7.3 Term 2 — Weighted Component Scores with Phase-Dynamic Weights</w:t>
      </w:r>
    </w:p>
    <w:p>
      <w:pPr>
        <w:spacing w:after="100" w:before="60"/>
      </w:pPr>
      <w:r>
        <w:rPr>
          <w:rFonts w:ascii="Arial" w:cs="Arial" w:eastAsia="Arial" w:hAnsi="Arial"/>
          <w:sz w:val="22"/>
          <w:szCs w:val="22"/>
        </w:rPr>
        <w:t xml:space="preserve">Eight components scored 0–1. Weights shift by phase to reflect what matters most at each stage:</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2800"/>
        <w:gridCol w:w="1740"/>
        <w:gridCol w:w="1740"/>
        <w:gridCol w:w="1740"/>
        <w:gridCol w:w="1740"/>
      </w:tblGrid>
      <w:tr>
        <w:trPr>
          <w:tblHeader/>
        </w:trPr>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Component</w:t>
            </w:r>
          </w:p>
        </w:tc>
        <w:tc>
          <w:tcPr>
            <w:tcW w:type="dxa" w:w="17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Readiness</w:t>
            </w:r>
          </w:p>
        </w:tc>
        <w:tc>
          <w:tcPr>
            <w:tcW w:type="dxa" w:w="17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Response</w:t>
            </w:r>
          </w:p>
        </w:tc>
        <w:tc>
          <w:tcPr>
            <w:tcW w:type="dxa" w:w="17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Recovery</w:t>
            </w:r>
          </w:p>
        </w:tc>
        <w:tc>
          <w:tcPr>
            <w:tcW w:type="dxa" w:w="17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Growth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(1-SCI) Supplier concentration</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20%</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15%</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12%</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10%</w:t>
            </w:r>
          </w:p>
        </w:tc>
      </w:tr>
      <w:tr>
        <w:tc>
          <w:tcPr>
            <w:tcW w:type="dxa" w:w="28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pPr>
              <w:spacing w:after="0" w:before="0"/>
            </w:pPr>
            <w:r>
              <w:rPr>
                <w:rFonts w:ascii="Arial" w:cs="Arial" w:eastAsia="Arial" w:hAnsi="Arial"/>
                <w:sz w:val="20"/>
                <w:szCs w:val="20"/>
              </w:rPr>
              <w:t xml:space="preserve">(1-LDI_tw) Lead time dispersion</w:t>
            </w:r>
          </w:p>
        </w:tc>
        <w:tc>
          <w:tcPr>
            <w:tcW w:type="dxa" w:w="174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pPr>
              <w:spacing w:after="0" w:before="0"/>
            </w:pPr>
            <w:r>
              <w:rPr>
                <w:rFonts w:ascii="Arial" w:cs="Arial" w:eastAsia="Arial" w:hAnsi="Arial"/>
                <w:sz w:val="20"/>
                <w:szCs w:val="20"/>
              </w:rPr>
              <w:t xml:space="preserve">13%</w:t>
            </w:r>
          </w:p>
        </w:tc>
        <w:tc>
          <w:tcPr>
            <w:tcW w:type="dxa" w:w="174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pPr>
              <w:spacing w:after="0" w:before="0"/>
            </w:pPr>
            <w:r>
              <w:rPr>
                <w:rFonts w:ascii="Arial" w:cs="Arial" w:eastAsia="Arial" w:hAnsi="Arial"/>
                <w:sz w:val="20"/>
                <w:szCs w:val="20"/>
              </w:rPr>
              <w:t xml:space="preserve">20%</w:t>
            </w:r>
          </w:p>
        </w:tc>
        <w:tc>
          <w:tcPr>
            <w:tcW w:type="dxa" w:w="174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pPr>
              <w:spacing w:after="0" w:before="0"/>
            </w:pPr>
            <w:r>
              <w:rPr>
                <w:rFonts w:ascii="Arial" w:cs="Arial" w:eastAsia="Arial" w:hAnsi="Arial"/>
                <w:sz w:val="20"/>
                <w:szCs w:val="20"/>
              </w:rPr>
              <w:t xml:space="preserve">18%</w:t>
            </w:r>
          </w:p>
        </w:tc>
        <w:tc>
          <w:tcPr>
            <w:tcW w:type="dxa" w:w="174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pPr>
              <w:spacing w:after="0" w:before="0"/>
            </w:pPr>
            <w:r>
              <w:rPr>
                <w:rFonts w:ascii="Arial" w:cs="Arial" w:eastAsia="Arial" w:hAnsi="Arial"/>
                <w:sz w:val="20"/>
                <w:szCs w:val="20"/>
              </w:rPr>
              <w:t xml:space="preserve">10%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(1-SPOF) Structural fragility</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22%</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25%</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20%</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15%</w:t>
            </w:r>
          </w:p>
        </w:tc>
      </w:tr>
      <w:tr>
        <w:tc>
          <w:tcPr>
            <w:tcW w:type="dxa" w:w="28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pPr>
              <w:spacing w:after="0" w:before="0"/>
            </w:pPr>
            <w:r>
              <w:rPr>
                <w:rFonts w:ascii="Arial" w:cs="Arial" w:eastAsia="Arial" w:hAnsi="Arial"/>
                <w:sz w:val="20"/>
                <w:szCs w:val="20"/>
              </w:rPr>
              <w:t xml:space="preserve">GDI Geographic diversity</w:t>
            </w:r>
          </w:p>
        </w:tc>
        <w:tc>
          <w:tcPr>
            <w:tcW w:type="dxa" w:w="174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pPr>
              <w:spacing w:after="0" w:before="0"/>
            </w:pPr>
            <w:r>
              <w:rPr>
                <w:rFonts w:ascii="Arial" w:cs="Arial" w:eastAsia="Arial" w:hAnsi="Arial"/>
                <w:sz w:val="20"/>
                <w:szCs w:val="20"/>
              </w:rPr>
              <w:t xml:space="preserve">13%</w:t>
            </w:r>
          </w:p>
        </w:tc>
        <w:tc>
          <w:tcPr>
            <w:tcW w:type="dxa" w:w="174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pPr>
              <w:spacing w:after="0" w:before="0"/>
            </w:pPr>
            <w:r>
              <w:rPr>
                <w:rFonts w:ascii="Arial" w:cs="Arial" w:eastAsia="Arial" w:hAnsi="Arial"/>
                <w:sz w:val="20"/>
                <w:szCs w:val="20"/>
              </w:rPr>
              <w:t xml:space="preserve">10%</w:t>
            </w:r>
          </w:p>
        </w:tc>
        <w:tc>
          <w:tcPr>
            <w:tcW w:type="dxa" w:w="174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pPr>
              <w:spacing w:after="0" w:before="0"/>
            </w:pPr>
            <w:r>
              <w:rPr>
                <w:rFonts w:ascii="Arial" w:cs="Arial" w:eastAsia="Arial" w:hAnsi="Arial"/>
                <w:sz w:val="20"/>
                <w:szCs w:val="20"/>
              </w:rPr>
              <w:t xml:space="preserve">12%</w:t>
            </w:r>
          </w:p>
        </w:tc>
        <w:tc>
          <w:tcPr>
            <w:tcW w:type="dxa" w:w="174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pPr>
              <w:spacing w:after="0" w:before="0"/>
            </w:pPr>
            <w:r>
              <w:rPr>
                <w:rFonts w:ascii="Arial" w:cs="Arial" w:eastAsia="Arial" w:hAnsi="Arial"/>
                <w:sz w:val="20"/>
                <w:szCs w:val="20"/>
              </w:rPr>
              <w:t xml:space="preserve">13%</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FSI Financial strength</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12%</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15%</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18%</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20%</w:t>
            </w:r>
          </w:p>
        </w:tc>
      </w:tr>
      <w:tr>
        <w:tc>
          <w:tcPr>
            <w:tcW w:type="dxa" w:w="28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pPr>
              <w:spacing w:after="0" w:before="0"/>
            </w:pPr>
            <w:r>
              <w:rPr>
                <w:rFonts w:ascii="Arial" w:cs="Arial" w:eastAsia="Arial" w:hAnsi="Arial"/>
                <w:sz w:val="20"/>
                <w:szCs w:val="20"/>
              </w:rPr>
              <w:t xml:space="preserve">VI Visibility index</w:t>
            </w:r>
          </w:p>
        </w:tc>
        <w:tc>
          <w:tcPr>
            <w:tcW w:type="dxa" w:w="174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pPr>
              <w:spacing w:after="0" w:before="0"/>
            </w:pPr>
            <w:r>
              <w:rPr>
                <w:rFonts w:ascii="Arial" w:cs="Arial" w:eastAsia="Arial" w:hAnsi="Arial"/>
                <w:sz w:val="20"/>
                <w:szCs w:val="20"/>
              </w:rPr>
              <w:t xml:space="preserve">8%</w:t>
            </w:r>
          </w:p>
        </w:tc>
        <w:tc>
          <w:tcPr>
            <w:tcW w:type="dxa" w:w="174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pPr>
              <w:spacing w:after="0" w:before="0"/>
            </w:pPr>
            <w:r>
              <w:rPr>
                <w:rFonts w:ascii="Arial" w:cs="Arial" w:eastAsia="Arial" w:hAnsi="Arial"/>
                <w:sz w:val="20"/>
                <w:szCs w:val="20"/>
              </w:rPr>
              <w:t xml:space="preserve">10%</w:t>
            </w:r>
          </w:p>
        </w:tc>
        <w:tc>
          <w:tcPr>
            <w:tcW w:type="dxa" w:w="174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pPr>
              <w:spacing w:after="0" w:before="0"/>
            </w:pPr>
            <w:r>
              <w:rPr>
                <w:rFonts w:ascii="Arial" w:cs="Arial" w:eastAsia="Arial" w:hAnsi="Arial"/>
                <w:sz w:val="20"/>
                <w:szCs w:val="20"/>
              </w:rPr>
              <w:t xml:space="preserve">10%</w:t>
            </w:r>
          </w:p>
        </w:tc>
        <w:tc>
          <w:tcPr>
            <w:tcW w:type="dxa" w:w="174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pPr>
              <w:spacing w:after="0" w:before="0"/>
            </w:pPr>
            <w:r>
              <w:rPr>
                <w:rFonts w:ascii="Arial" w:cs="Arial" w:eastAsia="Arial" w:hAnsi="Arial"/>
                <w:sz w:val="20"/>
                <w:szCs w:val="20"/>
              </w:rPr>
              <w:t xml:space="preserve">12%</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LTBI Long-term buyer index</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7%</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3%</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6%</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12%</w:t>
            </w:r>
          </w:p>
        </w:tc>
      </w:tr>
      <w:tr>
        <w:tc>
          <w:tcPr>
            <w:tcW w:type="dxa" w:w="28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pPr>
              <w:spacing w:after="0" w:before="0"/>
            </w:pPr>
            <w:r>
              <w:rPr>
                <w:rFonts w:ascii="Arial" w:cs="Arial" w:eastAsia="Arial" w:hAnsi="Arial"/>
                <w:sz w:val="20"/>
                <w:szCs w:val="20"/>
              </w:rPr>
              <w:t xml:space="preserve">SI Substitutability index</w:t>
            </w:r>
          </w:p>
        </w:tc>
        <w:tc>
          <w:tcPr>
            <w:tcW w:type="dxa" w:w="174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pPr>
              <w:spacing w:after="0" w:before="0"/>
            </w:pPr>
            <w:r>
              <w:rPr>
                <w:rFonts w:ascii="Arial" w:cs="Arial" w:eastAsia="Arial" w:hAnsi="Arial"/>
                <w:sz w:val="20"/>
                <w:szCs w:val="20"/>
              </w:rPr>
              <w:t xml:space="preserve">5%</w:t>
            </w:r>
          </w:p>
        </w:tc>
        <w:tc>
          <w:tcPr>
            <w:tcW w:type="dxa" w:w="174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pPr>
              <w:spacing w:after="0" w:before="0"/>
            </w:pPr>
            <w:r>
              <w:rPr>
                <w:rFonts w:ascii="Arial" w:cs="Arial" w:eastAsia="Arial" w:hAnsi="Arial"/>
                <w:sz w:val="20"/>
                <w:szCs w:val="20"/>
              </w:rPr>
              <w:t xml:space="preserve">2%</w:t>
            </w:r>
          </w:p>
        </w:tc>
        <w:tc>
          <w:tcPr>
            <w:tcW w:type="dxa" w:w="174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pPr>
              <w:spacing w:after="0" w:before="0"/>
            </w:pPr>
            <w:r>
              <w:rPr>
                <w:rFonts w:ascii="Arial" w:cs="Arial" w:eastAsia="Arial" w:hAnsi="Arial"/>
                <w:sz w:val="20"/>
                <w:szCs w:val="20"/>
              </w:rPr>
              <w:t xml:space="preserve">4%</w:t>
            </w:r>
          </w:p>
        </w:tc>
        <w:tc>
          <w:tcPr>
            <w:tcW w:type="dxa" w:w="174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pPr>
              <w:spacing w:after="0" w:before="0"/>
            </w:pPr>
            <w:r>
              <w:rPr>
                <w:rFonts w:ascii="Arial" w:cs="Arial" w:eastAsia="Arial" w:hAnsi="Arial"/>
                <w:sz w:val="20"/>
                <w:szCs w:val="20"/>
              </w:rPr>
              <w:t xml:space="preserve">8%</w:t>
            </w:r>
          </w:p>
        </w:tc>
      </w:tr>
    </w:tbl>
    <w:p>
      <w:pPr>
        <w:spacing w:after="80" w:before="80"/>
      </w:pPr>
      <w:r>
        <w:t xml:space="preserve"/>
      </w:r>
    </w:p>
    <w:p>
      <w:pPr>
        <w:pStyle w:val="Heading2"/>
        <w:pBdr>
          <w:bottom w:val="single" w:color="D6E4F0" w:sz="4"/>
        </w:pBdr>
        <w:spacing w:after="120" w:before="300"/>
      </w:pPr>
      <w:r>
        <w:rPr>
          <w:rFonts w:ascii="Arial" w:cs="Arial" w:eastAsia="Arial" w:hAnsi="Arial"/>
          <w:b/>
          <w:bCs/>
          <w:color w:val="1F4E79"/>
          <w:sz w:val="28"/>
          <w:szCs w:val="28"/>
        </w:rPr>
        <w:t xml:space="preserve">7.4 Term 3 — Interaction Penalty Omega(C)</w:t>
      </w:r>
    </w:p>
    <w:p>
      <w:pPr>
        <w:spacing w:after="100" w:before="60"/>
      </w:pPr>
      <w:r>
        <w:rPr>
          <w:rFonts w:ascii="Arial" w:cs="Arial" w:eastAsia="Arial" w:hAnsi="Arial"/>
          <w:sz w:val="22"/>
          <w:szCs w:val="22"/>
        </w:rPr>
        <w:t xml:space="preserve">Addresses Gap 2: Non-linear interaction between risk components. Linear models assume independence; this term captures dangerous combinations.</w:t>
      </w:r>
    </w:p>
    <w:p>
      <w:pPr>
        <w:pBdr>
          <w:left w:val="single" w:color="185FA5" w:sz="12"/>
        </w:pBdr>
        <w:shd w:fill="F5F5F3" w:val="clear"/>
        <w:spacing w:after="120" w:before="120"/>
        <w:ind w:left="720"/>
      </w:pPr>
      <w:r>
        <w:rPr>
          <w:rFonts w:ascii="Courier New" w:cs="Courier New" w:eastAsia="Courier New" w:hAnsi="Courier New"/>
          <w:b/>
          <w:bCs/>
          <w:color w:val="1F4E79"/>
          <w:sz w:val="20"/>
          <w:szCs w:val="20"/>
        </w:rPr>
        <w:t xml:space="preserve">Omega(C) = a1*(SCI x SPOF) + a2*(SCI x (1-GDI)) + a3*(SPOF x LDI_tw)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200"/>
        <w:gridCol w:w="4660"/>
      </w:tblGrid>
      <w:tr>
        <w:trPr>
          <w:tblHeader/>
        </w:trPr>
        <w:tc>
          <w:tcPr>
            <w:tcW w:type="dxa" w:w="3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Interaction</w:t>
            </w:r>
          </w:p>
        </w:tc>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Alpha</w:t>
            </w:r>
          </w:p>
        </w:tc>
        <w:tc>
          <w:tcPr>
            <w:tcW w:type="dxa" w:w="46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Rationale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SCI x SPOF</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0.15</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Concentrated suppliers + structural fragility compound catastrophically</w:t>
            </w:r>
          </w:p>
        </w:tc>
      </w:tr>
      <w:tr>
        <w:tc>
          <w:tcPr>
            <w:tcW w:type="dxa" w:w="35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pPr>
              <w:spacing w:after="0" w:before="0"/>
            </w:pPr>
            <w:r>
              <w:rPr>
                <w:rFonts w:ascii="Arial" w:cs="Arial" w:eastAsia="Arial" w:hAnsi="Arial"/>
                <w:sz w:val="20"/>
                <w:szCs w:val="20"/>
              </w:rPr>
              <w:t xml:space="preserve">SCI x (1-GDI)</w:t>
            </w:r>
          </w:p>
        </w:tc>
        <w:tc>
          <w:tcPr>
            <w:tcW w:type="dxa" w:w="12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pPr>
              <w:spacing w:after="0" w:before="0"/>
            </w:pPr>
            <w:r>
              <w:rPr>
                <w:rFonts w:ascii="Arial" w:cs="Arial" w:eastAsia="Arial" w:hAnsi="Arial"/>
                <w:sz w:val="20"/>
                <w:szCs w:val="20"/>
              </w:rPr>
              <w:t xml:space="preserve">0.10</w:t>
            </w:r>
          </w:p>
        </w:tc>
        <w:tc>
          <w:tcPr>
            <w:tcW w:type="dxa" w:w="466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pPr>
              <w:spacing w:after="0" w:before="0"/>
            </w:pPr>
            <w:r>
              <w:rPr>
                <w:rFonts w:ascii="Arial" w:cs="Arial" w:eastAsia="Arial" w:hAnsi="Arial"/>
                <w:sz w:val="20"/>
                <w:szCs w:val="20"/>
              </w:rPr>
              <w:t xml:space="preserve">Concentrated suppliers in one geography double the exposure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SPOF x LDI_tw</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0.08</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Structural fragility with volatile lead times prevents recovery</w:t>
            </w:r>
          </w:p>
        </w:tc>
      </w:tr>
    </w:tbl>
    <w:p>
      <w:pPr>
        <w:spacing w:after="100" w:before="60"/>
      </w:pPr>
      <w:r>
        <w:rPr>
          <w:rFonts w:ascii="Arial" w:cs="Arial" w:eastAsia="Arial" w:hAnsi="Arial"/>
          <w:sz w:val="22"/>
          <w:szCs w:val="22"/>
        </w:rPr>
        <w:t xml:space="preserve">Lambda = 0.20 controls how strongly the interaction penalty discounts the score. Maximum penalty: 20% score reduction beyond the linear model.</w:t>
      </w:r>
    </w:p>
    <w:p>
      <w:pPr>
        <w:spacing w:after="80" w:before="80"/>
      </w:pPr>
      <w:r>
        <w:t xml:space="preserve"/>
      </w:r>
    </w:p>
    <w:p>
      <w:pPr>
        <w:pStyle w:val="Heading2"/>
        <w:pBdr>
          <w:bottom w:val="single" w:color="D6E4F0" w:sz="4"/>
        </w:pBdr>
        <w:spacing w:after="120" w:before="300"/>
      </w:pPr>
      <w:r>
        <w:rPr>
          <w:rFonts w:ascii="Arial" w:cs="Arial" w:eastAsia="Arial" w:hAnsi="Arial"/>
          <w:b/>
          <w:bCs/>
          <w:color w:val="1F4E79"/>
          <w:sz w:val="28"/>
          <w:szCs w:val="28"/>
        </w:rPr>
        <w:t xml:space="preserve">7.5 Term 4 — Trajectory Multiplier</w:t>
      </w:r>
    </w:p>
    <w:p>
      <w:pPr>
        <w:spacing w:after="100" w:before="60"/>
      </w:pPr>
      <w:r>
        <w:rPr>
          <w:rFonts w:ascii="Arial" w:cs="Arial" w:eastAsia="Arial" w:hAnsi="Arial"/>
          <w:sz w:val="22"/>
          <w:szCs w:val="22"/>
        </w:rPr>
        <w:t xml:space="preserve">Addresses Gap 3: Temporal rate of change. Dynamic resilience research shows supply chains follow a 'first decline, then rise' trajectory.</w:t>
      </w:r>
    </w:p>
    <w:p>
      <w:pPr>
        <w:pBdr>
          <w:left w:val="single" w:color="185FA5" w:sz="12"/>
        </w:pBdr>
        <w:shd w:fill="F5F5F3" w:val="clear"/>
        <w:spacing w:after="120" w:before="120"/>
        <w:ind w:left="720"/>
      </w:pPr>
      <w:r>
        <w:rPr>
          <w:rFonts w:ascii="Courier New" w:cs="Courier New" w:eastAsia="Courier New" w:hAnsi="Courier New"/>
          <w:b/>
          <w:bCs/>
          <w:color w:val="1F4E79"/>
          <w:sz w:val="20"/>
          <w:szCs w:val="20"/>
        </w:rPr>
        <w:t xml:space="preserve">Trajectory Multiplier = 1 + mu * (delta_DAIRS / delta_t)</w:t>
      </w:r>
    </w:p>
    <w:p>
      <w:pPr>
        <w:spacing w:after="100" w:before="60"/>
      </w:pPr>
      <w:r>
        <w:rPr>
          <w:rFonts w:ascii="Arial" w:cs="Arial" w:eastAsia="Arial" w:hAnsi="Arial"/>
          <w:sz w:val="22"/>
          <w:szCs w:val="22"/>
        </w:rPr>
        <w:t xml:space="preserve">Where mu = 0.05 (dampening factor, +-5% per period). For business plan evaluation, substitute planned milestone targets from the plan itself.</w:t>
      </w:r>
    </w:p>
    <w:p>
      <w:pPr>
        <w:spacing w:after="80" w:before="80"/>
      </w:pPr>
      <w:r>
        <w:t xml:space="preserve"/>
      </w:r>
    </w:p>
    <w:p>
      <w:pPr>
        <w:pStyle w:val="Heading2"/>
        <w:pBdr>
          <w:bottom w:val="single" w:color="D6E4F0" w:sz="4"/>
        </w:pBdr>
        <w:spacing w:after="120" w:before="300"/>
      </w:pPr>
      <w:r>
        <w:rPr>
          <w:rFonts w:ascii="Arial" w:cs="Arial" w:eastAsia="Arial" w:hAnsi="Arial"/>
          <w:b/>
          <w:bCs/>
          <w:color w:val="1F4E79"/>
          <w:sz w:val="28"/>
          <w:szCs w:val="28"/>
        </w:rPr>
        <w:t xml:space="preserve">7.6 Term 5 — Ex-Ante Confidence Discount Psi</w:t>
      </w:r>
    </w:p>
    <w:p>
      <w:pPr>
        <w:spacing w:after="100" w:before="60"/>
      </w:pPr>
      <w:r>
        <w:rPr>
          <w:rFonts w:ascii="Arial" w:cs="Arial" w:eastAsia="Arial" w:hAnsi="Arial"/>
          <w:sz w:val="22"/>
          <w:szCs w:val="22"/>
        </w:rPr>
        <w:t xml:space="preserve">Addresses Gap 4: Business plan-specific application. Since plans contain stated intentions rather than operational data, each component carries an evidence quality discount.</w:t>
      </w:r>
    </w:p>
    <w:p>
      <w:pPr>
        <w:pBdr>
          <w:left w:val="single" w:color="185FA5" w:sz="12"/>
        </w:pBdr>
        <w:shd w:fill="F5F5F3" w:val="clear"/>
        <w:spacing w:after="120" w:before="120"/>
        <w:ind w:left="720"/>
      </w:pPr>
      <w:r>
        <w:rPr>
          <w:rFonts w:ascii="Courier New" w:cs="Courier New" w:eastAsia="Courier New" w:hAnsi="Courier New"/>
          <w:b/>
          <w:bCs/>
          <w:color w:val="1F4E79"/>
          <w:sz w:val="20"/>
          <w:szCs w:val="20"/>
        </w:rPr>
        <w:t xml:space="preserve">Psi = exp( sum_i(w_i * ln(e_i)) / sum_i(w_i) )</w:t>
      </w:r>
    </w:p>
    <w:p>
      <w:pPr>
        <w:spacing w:after="100" w:before="60"/>
      </w:pPr>
      <w:r>
        <w:rPr>
          <w:rFonts w:ascii="Arial" w:cs="Arial" w:eastAsia="Arial" w:hAnsi="Arial"/>
          <w:sz w:val="22"/>
          <w:szCs w:val="22"/>
        </w:rPr>
        <w:t xml:space="preserve">Psi is a geometric weighted mean — a single dimension with near-zero evidence significantly depresses the entire score.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4360"/>
      </w:tblGrid>
      <w:tr>
        <w:trPr>
          <w:tblHeader/>
        </w:trPr>
        <w:tc>
          <w:tcPr>
            <w:tcW w:type="dxa" w:w="3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Evidence Quality Level</w:t>
            </w:r>
          </w:p>
        </w:tc>
        <w:tc>
          <w:tcPr>
            <w:tcW w:type="dxa" w:w="1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e_i Score</w:t>
            </w:r>
          </w:p>
        </w:tc>
        <w:tc>
          <w:tcPr>
            <w:tcW w:type="dxa" w:w="4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Description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Quantified with named suppliers/contracts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1.00</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Signed agreements with named parties</w:t>
            </w:r>
          </w:p>
        </w:tc>
      </w:tr>
      <w:tr>
        <w:tc>
          <w:tcPr>
            <w:tcW w:type="dxa" w:w="35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pPr>
              <w:spacing w:after="0" w:before="0"/>
            </w:pPr>
            <w:r>
              <w:rPr>
                <w:rFonts w:ascii="Arial" w:cs="Arial" w:eastAsia="Arial" w:hAnsi="Arial"/>
                <w:sz w:val="20"/>
                <w:szCs w:val="20"/>
              </w:rPr>
              <w:t xml:space="preserve">Quantified but unverified</w:t>
            </w:r>
          </w:p>
        </w:tc>
        <w:tc>
          <w:tcPr>
            <w:tcW w:type="dxa" w:w="15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pPr>
              <w:spacing w:after="0" w:before="0"/>
            </w:pPr>
            <w:r>
              <w:rPr>
                <w:rFonts w:ascii="Arial" w:cs="Arial" w:eastAsia="Arial" w:hAnsi="Arial"/>
                <w:sz w:val="20"/>
                <w:szCs w:val="20"/>
              </w:rPr>
              <w:t xml:space="preserve">0.80</w:t>
            </w:r>
          </w:p>
        </w:tc>
        <w:tc>
          <w:tcPr>
            <w:tcW w:type="dxa" w:w="436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pPr>
              <w:spacing w:after="0" w:before="0"/>
            </w:pPr>
            <w:r>
              <w:rPr>
                <w:rFonts w:ascii="Arial" w:cs="Arial" w:eastAsia="Arial" w:hAnsi="Arial"/>
                <w:sz w:val="20"/>
                <w:szCs w:val="20"/>
              </w:rPr>
              <w:t xml:space="preserve">Specific numbers stated but unconfirmed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Qualitative strategy stated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0.60</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Direction clear but no specifics</w:t>
            </w:r>
          </w:p>
        </w:tc>
      </w:tr>
      <w:tr>
        <w:tc>
          <w:tcPr>
            <w:tcW w:type="dxa" w:w="35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pPr>
              <w:spacing w:after="0" w:before="0"/>
            </w:pPr>
            <w:r>
              <w:rPr>
                <w:rFonts w:ascii="Arial" w:cs="Arial" w:eastAsia="Arial" w:hAnsi="Arial"/>
                <w:sz w:val="20"/>
                <w:szCs w:val="20"/>
              </w:rPr>
              <w:t xml:space="preserve">Mentioned as risk, no plan</w:t>
            </w:r>
          </w:p>
        </w:tc>
        <w:tc>
          <w:tcPr>
            <w:tcW w:type="dxa" w:w="15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pPr>
              <w:spacing w:after="0" w:before="0"/>
            </w:pPr>
            <w:r>
              <w:rPr>
                <w:rFonts w:ascii="Arial" w:cs="Arial" w:eastAsia="Arial" w:hAnsi="Arial"/>
                <w:sz w:val="20"/>
                <w:szCs w:val="20"/>
              </w:rPr>
              <w:t xml:space="preserve">0.35</w:t>
            </w:r>
          </w:p>
        </w:tc>
        <w:tc>
          <w:tcPr>
            <w:tcW w:type="dxa" w:w="436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pPr>
              <w:spacing w:after="0" w:before="0"/>
            </w:pPr>
            <w:r>
              <w:rPr>
                <w:rFonts w:ascii="Arial" w:cs="Arial" w:eastAsia="Arial" w:hAnsi="Arial"/>
                <w:sz w:val="20"/>
                <w:szCs w:val="20"/>
              </w:rPr>
              <w:t xml:space="preserve">Acknowledged but unaddressed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Not addressed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0.10</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Dimension absent from business plan</w:t>
            </w:r>
          </w:p>
        </w:tc>
      </w:tr>
    </w:tbl>
    <w:p>
      <w:pPr>
        <w:spacing w:after="120" w:before="120"/>
      </w:pPr>
      <w:r>
        <w:t xml:space="preserve"/>
      </w:r>
    </w:p>
    <w:p>
      <w:pPr>
        <w:pStyle w:val="Heading2"/>
        <w:pBdr>
          <w:bottom w:val="single" w:color="D6E4F0" w:sz="4"/>
        </w:pBdr>
        <w:spacing w:after="120" w:before="300"/>
      </w:pPr>
      <w:r>
        <w:rPr>
          <w:rFonts w:ascii="Arial" w:cs="Arial" w:eastAsia="Arial" w:hAnsi="Arial"/>
          <w:b/>
          <w:bCs/>
          <w:color w:val="1F4E79"/>
          <w:sz w:val="28"/>
          <w:szCs w:val="28"/>
        </w:rPr>
        <w:t xml:space="preserve">7.7 Novelty vs Existing Literature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800"/>
        <w:gridCol w:w="4060"/>
      </w:tblGrid>
      <w:tr>
        <w:trPr>
          <w:tblHeader/>
        </w:trP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Gap Addressed</w:t>
            </w:r>
          </w:p>
        </w:tc>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DAIRS Solution</w:t>
            </w:r>
          </w:p>
        </w:tc>
        <w:tc>
          <w:tcPr>
            <w:tcW w:type="dxa" w:w="40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What Existing Formulas Do</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Fixed weights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w_i(tau) shifts by phase</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All reviewed formulas use static weights</w:t>
            </w:r>
          </w:p>
        </w:tc>
      </w:tr>
      <w:tr>
        <w:tc>
          <w:tcPr>
            <w:tcW w:type="dxa" w:w="25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pPr>
              <w:spacing w:after="0" w:before="0"/>
            </w:pPr>
            <w:r>
              <w:rPr>
                <w:rFonts w:ascii="Arial" w:cs="Arial" w:eastAsia="Arial" w:hAnsi="Arial"/>
                <w:sz w:val="20"/>
                <w:szCs w:val="20"/>
              </w:rPr>
              <w:t xml:space="preserve">Linear independence</w:t>
            </w:r>
          </w:p>
        </w:tc>
        <w:tc>
          <w:tcPr>
            <w:tcW w:type="dxa" w:w="28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pPr>
              <w:spacing w:after="0" w:before="0"/>
            </w:pPr>
            <w:r>
              <w:rPr>
                <w:rFonts w:ascii="Arial" w:cs="Arial" w:eastAsia="Arial" w:hAnsi="Arial"/>
                <w:sz w:val="20"/>
                <w:szCs w:val="20"/>
              </w:rPr>
              <w:t xml:space="preserve">Omega(C) penalises dangerous combinations</w:t>
            </w:r>
          </w:p>
        </w:tc>
        <w:tc>
          <w:tcPr>
            <w:tcW w:type="dxa" w:w="406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pPr>
              <w:spacing w:after="0" w:before="0"/>
            </w:pPr>
            <w:r>
              <w:rPr>
                <w:rFonts w:ascii="Arial" w:cs="Arial" w:eastAsia="Arial" w:hAnsi="Arial"/>
                <w:sz w:val="20"/>
                <w:szCs w:val="20"/>
              </w:rPr>
              <w:t xml:space="preserve">All reviewed formulas assume independence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Point-in-time only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Delta DAIRS/Delta t rewards improving trajectories</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No reviewed formula incorporates rate of change</w:t>
            </w:r>
          </w:p>
        </w:tc>
      </w:tr>
      <w:tr>
        <w:tc>
          <w:tcPr>
            <w:tcW w:type="dxa" w:w="25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pPr>
              <w:spacing w:after="0" w:before="0"/>
            </w:pPr>
            <w:r>
              <w:rPr>
                <w:rFonts w:ascii="Arial" w:cs="Arial" w:eastAsia="Arial" w:hAnsi="Arial"/>
                <w:sz w:val="20"/>
                <w:szCs w:val="20"/>
              </w:rPr>
              <w:t xml:space="preserve">Operating chains only</w:t>
            </w:r>
          </w:p>
        </w:tc>
        <w:tc>
          <w:tcPr>
            <w:tcW w:type="dxa" w:w="28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pPr>
              <w:spacing w:after="0" w:before="0"/>
            </w:pPr>
            <w:r>
              <w:rPr>
                <w:rFonts w:ascii="Arial" w:cs="Arial" w:eastAsia="Arial" w:hAnsi="Arial"/>
                <w:sz w:val="20"/>
                <w:szCs w:val="20"/>
              </w:rPr>
              <w:t xml:space="preserve">Psi discounts by evidence quality for business plans</w:t>
            </w:r>
          </w:p>
        </w:tc>
        <w:tc>
          <w:tcPr>
            <w:tcW w:type="dxa" w:w="406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pPr>
              <w:spacing w:after="0" w:before="0"/>
            </w:pPr>
            <w:r>
              <w:rPr>
                <w:rFonts w:ascii="Arial" w:cs="Arial" w:eastAsia="Arial" w:hAnsi="Arial"/>
                <w:sz w:val="20"/>
                <w:szCs w:val="20"/>
              </w:rPr>
              <w:t xml:space="preserve">No reviewed formula addresses ex-ante evaluation</w:t>
            </w:r>
          </w:p>
        </w:tc>
      </w:tr>
    </w:tbl>
    <w:p>
      <w:pPr>
        <w:spacing w:after="120" w:before="120"/>
      </w:pPr>
      <w:r>
        <w:t xml:space="preserve"/>
      </w:r>
    </w:p>
    <w:p>
      <w:pPr>
        <w:pStyle w:val="Heading2"/>
        <w:pBdr>
          <w:bottom w:val="single" w:color="D6E4F0" w:sz="4"/>
        </w:pBdr>
        <w:spacing w:after="120" w:before="300"/>
      </w:pPr>
      <w:r>
        <w:rPr>
          <w:rFonts w:ascii="Arial" w:cs="Arial" w:eastAsia="Arial" w:hAnsi="Arial"/>
          <w:b/>
          <w:bCs/>
          <w:color w:val="1F4E79"/>
          <w:sz w:val="28"/>
          <w:szCs w:val="28"/>
        </w:rPr>
        <w:t xml:space="preserve">7.8 DAIRS Score Interpretation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rPr>
          <w:tblHeader/>
        </w:trPr>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DAIRS Score</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Grade</w:t>
            </w:r>
          </w:p>
        </w:tc>
        <w:tc>
          <w:tcPr>
            <w:tcW w:type="dxa" w:w="5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Meaning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85–100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Exceptional</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Phase-appropriate, improving trajectory, strong evidence</w:t>
            </w:r>
          </w:p>
        </w:tc>
      </w:tr>
      <w:tr>
        <w:tc>
          <w:tcPr>
            <w:tcW w:type="dxa" w:w="20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pPr>
              <w:spacing w:after="0" w:before="0"/>
            </w:pPr>
            <w:r>
              <w:rPr>
                <w:rFonts w:ascii="Arial" w:cs="Arial" w:eastAsia="Arial" w:hAnsi="Arial"/>
                <w:sz w:val="20"/>
                <w:szCs w:val="20"/>
              </w:rPr>
              <w:t xml:space="preserve">70–84</w:t>
            </w:r>
          </w:p>
        </w:tc>
        <w:tc>
          <w:tcPr>
            <w:tcW w:type="dxa" w:w="20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pPr>
              <w:spacing w:after="0" w:before="0"/>
            </w:pPr>
            <w:r>
              <w:rPr>
                <w:rFonts w:ascii="Arial" w:cs="Arial" w:eastAsia="Arial" w:hAnsi="Arial"/>
                <w:sz w:val="20"/>
                <w:szCs w:val="20"/>
              </w:rPr>
              <w:t xml:space="preserve">Strong</w:t>
            </w:r>
          </w:p>
        </w:tc>
        <w:tc>
          <w:tcPr>
            <w:tcW w:type="dxa" w:w="536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pPr>
              <w:spacing w:after="0" w:before="0"/>
            </w:pPr>
            <w:r>
              <w:rPr>
                <w:rFonts w:ascii="Arial" w:cs="Arial" w:eastAsia="Arial" w:hAnsi="Arial"/>
                <w:sz w:val="20"/>
                <w:szCs w:val="20"/>
              </w:rPr>
              <w:t xml:space="preserve">Minor interaction risks or evidence gaps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55–69</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Moderate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Dangerous component interactions present</w:t>
            </w:r>
          </w:p>
        </w:tc>
      </w:tr>
      <w:tr>
        <w:tc>
          <w:tcPr>
            <w:tcW w:type="dxa" w:w="20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pPr>
              <w:spacing w:after="0" w:before="0"/>
            </w:pPr>
            <w:r>
              <w:rPr>
                <w:rFonts w:ascii="Arial" w:cs="Arial" w:eastAsia="Arial" w:hAnsi="Arial"/>
                <w:sz w:val="20"/>
                <w:szCs w:val="20"/>
              </w:rPr>
              <w:t xml:space="preserve">40–54</w:t>
            </w:r>
          </w:p>
        </w:tc>
        <w:tc>
          <w:tcPr>
            <w:tcW w:type="dxa" w:w="20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pPr>
              <w:spacing w:after="0" w:before="0"/>
            </w:pPr>
            <w:r>
              <w:rPr>
                <w:rFonts w:ascii="Arial" w:cs="Arial" w:eastAsia="Arial" w:hAnsi="Arial"/>
                <w:sz w:val="20"/>
                <w:szCs w:val="20"/>
              </w:rPr>
              <w:t xml:space="preserve">Fragile</w:t>
            </w:r>
          </w:p>
        </w:tc>
        <w:tc>
          <w:tcPr>
            <w:tcW w:type="dxa" w:w="536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pPr>
              <w:spacing w:after="0" w:before="0"/>
            </w:pPr>
            <w:r>
              <w:rPr>
                <w:rFonts w:ascii="Arial" w:cs="Arial" w:eastAsia="Arial" w:hAnsi="Arial"/>
                <w:sz w:val="20"/>
                <w:szCs w:val="20"/>
              </w:rPr>
              <w:t xml:space="preserve">Weak evidence quality or deteriorating trajectory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Below 40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Critical</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Multiple compounding failures; structural redesign needed</w:t>
            </w:r>
          </w:p>
        </w:tc>
      </w:tr>
    </w:tbl>
    <w:p>
      <w:r>
        <w:br w:type="page"/>
      </w:r>
    </w:p>
    <w:p>
      <w:pPr>
        <w:pStyle w:val="Heading1"/>
        <w:pBdr>
          <w:bottom w:val="single" w:color="185FA5" w:sz="6"/>
        </w:pBdr>
        <w:shd w:fill="1F4E79" w:val="clear"/>
        <w:spacing w:after="200" w:before="360"/>
        <w:ind w:left="200" w:right="200"/>
      </w:pPr>
      <w:r>
        <w:rPr>
          <w:rFonts w:ascii="Arial" w:cs="Arial" w:eastAsia="Arial" w:hAnsi="Arial"/>
          <w:b/>
          <w:bCs/>
          <w:color w:val="FFFFFF"/>
          <w:sz w:val="36"/>
          <w:szCs w:val="36"/>
        </w:rPr>
        <w:t xml:space="preserve">8. Worked Numerical Example: NutriFlow Pvt Ltd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5F5F3" w:val="clear"/>
            <w:tcMar>
              <w:top w:type="dxa" w:w="120"/>
              <w:left w:type="dxa" w:w="200"/>
              <w:bottom w:type="dxa" w:w="120"/>
              <w:right w:type="dxa" w:w="200"/>
            </w:tcMar>
          </w:tcPr>
          <w:p>
            <w:pPr>
              <w:spacing w:after="40" w:before="0"/>
            </w:pPr>
            <w:r>
              <w:rPr>
                <w:rFonts w:ascii="Arial" w:cs="Arial" w:eastAsia="Arial" w:hAnsi="Arial"/>
                <w:b/>
                <w:bCs/>
                <w:color w:val="1A1A1A"/>
                <w:sz w:val="20"/>
                <w:szCs w:val="20"/>
              </w:rPr>
              <w:t xml:space="preserve">Company Profile</w:t>
            </w:r>
          </w:p>
          <w:p>
            <w:pPr>
              <w:spacing w:after="0" w:before="0"/>
            </w:pPr>
            <w:r>
              <w:rPr>
                <w:rFonts w:ascii="Arial" w:cs="Arial" w:eastAsia="Arial" w:hAnsi="Arial"/>
                <w:color w:val="1A1A1A"/>
                <w:sz w:val="20"/>
                <w:szCs w:val="20"/>
              </w:rPr>
              <w:t xml:space="preserve">NutriFlow Pvt Ltd | Nutraceutical Manufacturing | Series A (Pre-revenue)
Manufactures plant-based protein supplements. Sources from Canada (65%), Netherlands (20%), India (15%). Single manufacturing site in Pune. No ERP system. Evaluated at Readiness phase, Phi = 1.00.</w:t>
            </w:r>
          </w:p>
        </w:tc>
      </w:tr>
    </w:tbl>
    <w:p>
      <w:pPr>
        <w:spacing w:after="80" w:before="80"/>
      </w:pPr>
      <w:r>
        <w:t xml:space="preserve"/>
      </w:r>
    </w:p>
    <w:p>
      <w:pPr>
        <w:pStyle w:val="Heading2"/>
        <w:pBdr>
          <w:bottom w:val="single" w:color="D6E4F0" w:sz="4"/>
        </w:pBdr>
        <w:spacing w:after="120" w:before="300"/>
      </w:pPr>
      <w:r>
        <w:rPr>
          <w:rFonts w:ascii="Arial" w:cs="Arial" w:eastAsia="Arial" w:hAnsi="Arial"/>
          <w:b/>
          <w:bCs/>
          <w:color w:val="1F4E79"/>
          <w:sz w:val="28"/>
          <w:szCs w:val="28"/>
        </w:rPr>
        <w:t xml:space="preserve">8.1 Component Scores</w:t>
      </w:r>
    </w:p>
    <w:p>
      <w:pPr>
        <w:spacing w:after="100" w:before="60"/>
      </w:pPr>
      <w:r>
        <w:rPr>
          <w:rFonts w:ascii="Arial" w:cs="Arial" w:eastAsia="Arial" w:hAnsi="Arial"/>
          <w:sz w:val="22"/>
          <w:szCs w:val="22"/>
        </w:rPr>
        <w:t xml:space="preserve">Each component is scored 0–1 from the business plan text, with evidence quality assessed independently.</w:t>
      </w:r>
    </w:p>
    <w:p>
      <w:pPr>
        <w:pStyle w:val="Heading3"/>
        <w:spacing w:after="80" w:before="200"/>
      </w:pPr>
      <w:r>
        <w:rPr>
          <w:rFonts w:ascii="Arial" w:cs="Arial" w:eastAsia="Arial" w:hAnsi="Arial"/>
          <w:b/>
          <w:bCs/>
          <w:color w:val="185FA5"/>
          <w:sz w:val="24"/>
          <w:szCs w:val="24"/>
        </w:rPr>
        <w:t xml:space="preserve">C1: SCI — Supplier Concentration Index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5F5F3" w:val="clear"/>
            <w:tcMar>
              <w:top w:type="dxa" w:w="120"/>
              <w:left w:type="dxa" w:w="200"/>
              <w:bottom w:type="dxa" w:w="120"/>
              <w:right w:type="dxa" w:w="200"/>
            </w:tcMar>
          </w:tcPr>
          <w:p>
            <w:pPr>
              <w:spacing w:after="40" w:before="0"/>
            </w:pPr>
            <w:r>
              <w:rPr>
                <w:rFonts w:ascii="Arial" w:cs="Arial" w:eastAsia="Arial" w:hAnsi="Arial"/>
                <w:b/>
                <w:bCs/>
                <w:color w:val="5F5E5A"/>
                <w:sz w:val="20"/>
                <w:szCs w:val="20"/>
              </w:rPr>
              <w:t xml:space="preserve">From Business Plan</w:t>
            </w:r>
          </w:p>
          <w:p>
            <w:pPr>
              <w:spacing w:after="0" w:before="0"/>
            </w:pPr>
            <w:r>
              <w:rPr>
                <w:rFonts w:ascii="Arial" w:cs="Arial" w:eastAsia="Arial" w:hAnsi="Arial"/>
                <w:color w:val="1A1A1A"/>
                <w:sz w:val="20"/>
                <w:szCs w:val="20"/>
              </w:rPr>
              <w:t xml:space="preserve">"We source 65% of pea protein from a single supplier in Canada, with two secondary suppliers in Netherlands and India accounting for the remaining 35%."</w:t>
            </w:r>
          </w:p>
        </w:tc>
      </w:tr>
    </w:tbl>
    <w:p>
      <w:pPr>
        <w:spacing w:after="100" w:before="60"/>
      </w:pPr>
      <w:r>
        <w:rPr>
          <w:rFonts w:ascii="Arial" w:cs="Arial" w:eastAsia="Arial" w:hAnsi="Arial"/>
          <w:sz w:val="22"/>
          <w:szCs w:val="22"/>
        </w:rPr>
        <w:t xml:space="preserve">HHI = 0.65² + 0.20² + 0.15² = 0.4225 + 0.0400 + 0.0225 = 0.485</w:t>
      </w:r>
    </w:p>
    <w:p>
      <w:pPr>
        <w:pBdr>
          <w:left w:val="single" w:color="185FA5" w:sz="12"/>
        </w:pBdr>
        <w:shd w:fill="F5F5F3" w:val="clear"/>
        <w:spacing w:after="120" w:before="120"/>
        <w:ind w:left="720"/>
      </w:pPr>
      <w:r>
        <w:rPr>
          <w:rFonts w:ascii="Courier New" w:cs="Courier New" w:eastAsia="Courier New" w:hAnsi="Courier New"/>
          <w:b/>
          <w:bCs/>
          <w:color w:val="1F4E79"/>
          <w:sz w:val="20"/>
          <w:szCs w:val="20"/>
        </w:rPr>
        <w:t xml:space="preserve">SCI = 0.485    (1 - SCI) = 0.515</w:t>
      </w:r>
    </w:p>
    <w:p>
      <w:pPr>
        <w:spacing w:after="100" w:before="60"/>
      </w:pPr>
      <w:r>
        <w:rPr>
          <w:rFonts w:ascii="Arial" w:cs="Arial" w:eastAsia="Arial" w:hAnsi="Arial"/>
          <w:sz w:val="22"/>
          <w:szCs w:val="22"/>
        </w:rPr>
        <w:t xml:space="preserve">Evidence quality: 0.80 (quantified, unverified) | Weight: 20% | Contribution: 0.20 x 0.515 = 0.1030</w:t>
      </w:r>
    </w:p>
    <w:p>
      <w:pPr>
        <w:spacing w:after="80" w:before="80"/>
      </w:pPr>
      <w:r>
        <w:t xml:space="preserve"/>
      </w:r>
    </w:p>
    <w:p>
      <w:pPr>
        <w:pStyle w:val="Heading3"/>
        <w:spacing w:after="80" w:before="200"/>
      </w:pPr>
      <w:r>
        <w:rPr>
          <w:rFonts w:ascii="Arial" w:cs="Arial" w:eastAsia="Arial" w:hAnsi="Arial"/>
          <w:b/>
          <w:bCs/>
          <w:color w:val="185FA5"/>
          <w:sz w:val="24"/>
          <w:szCs w:val="24"/>
        </w:rPr>
        <w:t xml:space="preserve">C2: LDI — Lead Time Dispersion Index (Tier-Weighted)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5F5F3" w:val="clear"/>
            <w:tcMar>
              <w:top w:type="dxa" w:w="120"/>
              <w:left w:type="dxa" w:w="200"/>
              <w:bottom w:type="dxa" w:w="120"/>
              <w:right w:type="dxa" w:w="200"/>
            </w:tcMar>
          </w:tcPr>
          <w:p>
            <w:pPr>
              <w:spacing w:after="40" w:before="0"/>
            </w:pPr>
            <w:r>
              <w:rPr>
                <w:rFonts w:ascii="Arial" w:cs="Arial" w:eastAsia="Arial" w:hAnsi="Arial"/>
                <w:b/>
                <w:bCs/>
                <w:color w:val="5F5E5A"/>
                <w:sz w:val="20"/>
                <w:szCs w:val="20"/>
              </w:rPr>
              <w:t xml:space="preserve">From Business Plan</w:t>
            </w:r>
          </w:p>
          <w:p>
            <w:pPr>
              <w:spacing w:after="0" w:before="0"/>
            </w:pPr>
            <w:r>
              <w:rPr>
                <w:rFonts w:ascii="Arial" w:cs="Arial" w:eastAsia="Arial" w:hAnsi="Arial"/>
                <w:color w:val="1A1A1A"/>
                <w:sz w:val="20"/>
                <w:szCs w:val="20"/>
              </w:rPr>
              <w:t xml:space="preserve">"Lead times vary from 3 weeks (India) to 12 weeks (Canada). We plan to hold 6 weeks of safety stock."</w:t>
            </w:r>
          </w:p>
        </w:tc>
      </w:tr>
    </w:tbl>
    <w:p>
      <w:pPr>
        <w:spacing w:after="100" w:before="60"/>
      </w:pPr>
      <w:r>
        <w:rPr>
          <w:rFonts w:ascii="Arial" w:cs="Arial" w:eastAsia="Arial" w:hAnsi="Arial"/>
          <w:sz w:val="22"/>
          <w:szCs w:val="22"/>
        </w:rPr>
        <w:t xml:space="preserve">CoV = sigma/mu. Estimated sigma=3.5 weeks, mu=6 weeks. LDI = 0.58. Tier-weighted: T1=0.58x0.5 + T2=0.65x0.3 + T3=0.70x0.2 = 0.50</w:t>
      </w:r>
    </w:p>
    <w:p>
      <w:pPr>
        <w:pBdr>
          <w:left w:val="single" w:color="185FA5" w:sz="12"/>
        </w:pBdr>
        <w:shd w:fill="F5F5F3" w:val="clear"/>
        <w:spacing w:after="120" w:before="120"/>
        <w:ind w:left="720"/>
      </w:pPr>
      <w:r>
        <w:rPr>
          <w:rFonts w:ascii="Courier New" w:cs="Courier New" w:eastAsia="Courier New" w:hAnsi="Courier New"/>
          <w:b/>
          <w:bCs/>
          <w:color w:val="1F4E79"/>
          <w:sz w:val="20"/>
          <w:szCs w:val="20"/>
        </w:rPr>
        <w:t xml:space="preserve">LDI_tw = 0.50    (1 - LDI_tw) = 0.50</w:t>
      </w:r>
    </w:p>
    <w:p>
      <w:pPr>
        <w:spacing w:after="100" w:before="60"/>
      </w:pPr>
      <w:r>
        <w:rPr>
          <w:rFonts w:ascii="Arial" w:cs="Arial" w:eastAsia="Arial" w:hAnsi="Arial"/>
          <w:sz w:val="22"/>
          <w:szCs w:val="22"/>
        </w:rPr>
        <w:t xml:space="preserve">Evidence quality: 0.60 (qualitative) | Weight: 13% | Contribution: 0.13 x 0.50 = 0.0650</w:t>
      </w:r>
    </w:p>
    <w:p>
      <w:pPr>
        <w:spacing w:after="80" w:before="80"/>
      </w:pPr>
      <w:r>
        <w:t xml:space="preserve"/>
      </w:r>
    </w:p>
    <w:p>
      <w:pPr>
        <w:pStyle w:val="Heading3"/>
        <w:spacing w:after="80" w:before="200"/>
      </w:pPr>
      <w:r>
        <w:rPr>
          <w:rFonts w:ascii="Arial" w:cs="Arial" w:eastAsia="Arial" w:hAnsi="Arial"/>
          <w:b/>
          <w:bCs/>
          <w:color w:val="185FA5"/>
          <w:sz w:val="24"/>
          <w:szCs w:val="24"/>
        </w:rPr>
        <w:t xml:space="preserve">C3: SPOF — Single Point of Failure Index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5F5F3" w:val="clear"/>
            <w:tcMar>
              <w:top w:type="dxa" w:w="120"/>
              <w:left w:type="dxa" w:w="200"/>
              <w:bottom w:type="dxa" w:w="120"/>
              <w:right w:type="dxa" w:w="200"/>
            </w:tcMar>
          </w:tcPr>
          <w:p>
            <w:pPr>
              <w:spacing w:after="40" w:before="0"/>
            </w:pPr>
            <w:r>
              <w:rPr>
                <w:rFonts w:ascii="Arial" w:cs="Arial" w:eastAsia="Arial" w:hAnsi="Arial"/>
                <w:b/>
                <w:bCs/>
                <w:color w:val="5F5E5A"/>
                <w:sz w:val="20"/>
                <w:szCs w:val="20"/>
              </w:rPr>
              <w:t xml:space="preserve">From Business Plan</w:t>
            </w:r>
          </w:p>
          <w:p>
            <w:pPr>
              <w:spacing w:after="0" w:before="0"/>
            </w:pPr>
            <w:r>
              <w:rPr>
                <w:rFonts w:ascii="Arial" w:cs="Arial" w:eastAsia="Arial" w:hAnsi="Arial"/>
                <w:color w:val="1A1A1A"/>
                <w:sz w:val="20"/>
                <w:szCs w:val="20"/>
              </w:rPr>
              <w:t xml:space="preserve">"Manufacturing is consolidated at our Pune facility. We have one cold-chain logistics partner and one contract packager. No backup arrangements are in place yet."</w:t>
            </w:r>
          </w:p>
        </w:tc>
      </w:tr>
    </w:tbl>
    <w:p>
      <w:pPr>
        <w:spacing w:after="100" w:before="60"/>
      </w:pPr>
      <w:r>
        <w:rPr>
          <w:rFonts w:ascii="Arial" w:cs="Arial" w:eastAsia="Arial" w:hAnsi="Arial"/>
          <w:sz w:val="22"/>
          <w:szCs w:val="22"/>
        </w:rPr>
        <w:t xml:space="preserve">Critical nodes: Pune mfg, cold-chain partner, packager, Canada supplier = 4 nodes. SPOFs (no backup): 3 of 4.</w:t>
      </w:r>
    </w:p>
    <w:p>
      <w:pPr>
        <w:pBdr>
          <w:left w:val="single" w:color="185FA5" w:sz="12"/>
        </w:pBdr>
        <w:shd w:fill="F5F5F3" w:val="clear"/>
        <w:spacing w:after="120" w:before="120"/>
        <w:ind w:left="720"/>
      </w:pPr>
      <w:r>
        <w:rPr>
          <w:rFonts w:ascii="Courier New" w:cs="Courier New" w:eastAsia="Courier New" w:hAnsi="Courier New"/>
          <w:b/>
          <w:bCs/>
          <w:color w:val="1F4E79"/>
          <w:sz w:val="20"/>
          <w:szCs w:val="20"/>
        </w:rPr>
        <w:t xml:space="preserve">SPOF = 3/4 = 0.75    (1 - SPOF) = 0.25</w:t>
      </w:r>
    </w:p>
    <w:p>
      <w:pPr>
        <w:spacing w:after="100" w:before="60"/>
      </w:pPr>
      <w:r>
        <w:rPr>
          <w:rFonts w:ascii="Arial" w:cs="Arial" w:eastAsia="Arial" w:hAnsi="Arial"/>
          <w:sz w:val="22"/>
          <w:szCs w:val="22"/>
        </w:rPr>
        <w:t xml:space="preserve">Evidence quality: 0.60 (qualitative) | Weight: 22% | Contribution: 0.22 x 0.25 = 0.0550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DECEA" w:val="clear"/>
            <w:tcMar>
              <w:top w:type="dxa" w:w="120"/>
              <w:left w:type="dxa" w:w="200"/>
              <w:bottom w:type="dxa" w:w="120"/>
              <w:right w:type="dxa" w:w="200"/>
            </w:tcMar>
          </w:tcPr>
          <w:p>
            <w:pPr>
              <w:spacing w:after="40" w:before="0"/>
            </w:pPr>
            <w:r>
              <w:rPr>
                <w:rFonts w:ascii="Arial" w:cs="Arial" w:eastAsia="Arial" w:hAnsi="Arial"/>
                <w:b/>
                <w:bCs/>
                <w:color w:val="A32D2D"/>
                <w:sz w:val="20"/>
                <w:szCs w:val="20"/>
              </w:rPr>
              <w:t xml:space="preserve">Critical Alert</w:t>
            </w:r>
          </w:p>
          <w:p>
            <w:pPr>
              <w:spacing w:after="0" w:before="0"/>
            </w:pPr>
            <w:r>
              <w:rPr>
                <w:rFonts w:ascii="Arial" w:cs="Arial" w:eastAsia="Arial" w:hAnsi="Arial"/>
                <w:color w:val="1A1A1A"/>
                <w:sz w:val="20"/>
                <w:szCs w:val="20"/>
              </w:rPr>
              <w:t xml:space="preserve">SPOF score of 0.25 is the weakest dimension — three of four critical nodes have zero backup. This is the single highest-priority remediation item.</w:t>
            </w:r>
          </w:p>
        </w:tc>
      </w:tr>
    </w:tbl>
    <w:p>
      <w:pPr>
        <w:spacing w:after="80" w:before="80"/>
      </w:pPr>
      <w:r>
        <w:t xml:space="preserve"/>
      </w:r>
    </w:p>
    <w:p>
      <w:pPr>
        <w:pStyle w:val="Heading3"/>
        <w:spacing w:after="80" w:before="200"/>
      </w:pPr>
      <w:r>
        <w:rPr>
          <w:rFonts w:ascii="Arial" w:cs="Arial" w:eastAsia="Arial" w:hAnsi="Arial"/>
          <w:b/>
          <w:bCs/>
          <w:color w:val="185FA5"/>
          <w:sz w:val="24"/>
          <w:szCs w:val="24"/>
        </w:rPr>
        <w:t xml:space="preserve">C4: GDI — Geographic Diversification Index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5F5F3" w:val="clear"/>
            <w:tcMar>
              <w:top w:type="dxa" w:w="120"/>
              <w:left w:type="dxa" w:w="200"/>
              <w:bottom w:type="dxa" w:w="120"/>
              <w:right w:type="dxa" w:w="200"/>
            </w:tcMar>
          </w:tcPr>
          <w:p>
            <w:pPr>
              <w:spacing w:after="40" w:before="0"/>
            </w:pPr>
            <w:r>
              <w:rPr>
                <w:rFonts w:ascii="Arial" w:cs="Arial" w:eastAsia="Arial" w:hAnsi="Arial"/>
                <w:b/>
                <w:bCs/>
                <w:color w:val="5F5E5A"/>
                <w:sz w:val="20"/>
                <w:szCs w:val="20"/>
              </w:rPr>
              <w:t xml:space="preserve">From Business Plan</w:t>
            </w:r>
          </w:p>
          <w:p>
            <w:pPr>
              <w:spacing w:after="0" w:before="0"/>
            </w:pPr>
            <w:r>
              <w:rPr>
                <w:rFonts w:ascii="Arial" w:cs="Arial" w:eastAsia="Arial" w:hAnsi="Arial"/>
                <w:color w:val="1A1A1A"/>
                <w:sz w:val="20"/>
                <w:szCs w:val="20"/>
              </w:rPr>
              <w:t xml:space="preserve">"Suppliers are located in Canada (65%), Netherlands (20%), and India (15%). All sales will be in South/Southeast Asia initially."</w:t>
            </w:r>
          </w:p>
        </w:tc>
      </w:tr>
    </w:tbl>
    <w:p>
      <w:pPr>
        <w:spacing w:after="100" w:before="60"/>
      </w:pPr>
      <w:r>
        <w:rPr>
          <w:rFonts w:ascii="Arial" w:cs="Arial" w:eastAsia="Arial" w:hAnsi="Arial"/>
          <w:sz w:val="22"/>
          <w:szCs w:val="22"/>
        </w:rPr>
        <w:t xml:space="preserve">Inverse HHI = 1 − (0.65²+0.20²+0.15²) = 1 − 0.485 = 0.515. Demand-side single region penalty applied.</w:t>
      </w:r>
    </w:p>
    <w:p>
      <w:pPr>
        <w:pBdr>
          <w:left w:val="single" w:color="185FA5" w:sz="12"/>
        </w:pBdr>
        <w:shd w:fill="F5F5F3" w:val="clear"/>
        <w:spacing w:after="120" w:before="120"/>
        <w:ind w:left="720"/>
      </w:pPr>
      <w:r>
        <w:rPr>
          <w:rFonts w:ascii="Courier New" w:cs="Courier New" w:eastAsia="Courier New" w:hAnsi="Courier New"/>
          <w:b/>
          <w:bCs/>
          <w:color w:val="1F4E79"/>
          <w:sz w:val="20"/>
          <w:szCs w:val="20"/>
        </w:rPr>
        <w:t xml:space="preserve">GDI = 0.48</w:t>
      </w:r>
    </w:p>
    <w:p>
      <w:pPr>
        <w:spacing w:after="100" w:before="60"/>
      </w:pPr>
      <w:r>
        <w:rPr>
          <w:rFonts w:ascii="Arial" w:cs="Arial" w:eastAsia="Arial" w:hAnsi="Arial"/>
          <w:sz w:val="22"/>
          <w:szCs w:val="22"/>
        </w:rPr>
        <w:t xml:space="preserve">Evidence quality: 0.80 | Weight: 13% | Contribution: 0.13 x 0.48 = 0.0624</w:t>
      </w:r>
    </w:p>
    <w:p>
      <w:pPr>
        <w:spacing w:after="80" w:before="80"/>
      </w:pPr>
      <w:r>
        <w:t xml:space="preserve"/>
      </w:r>
    </w:p>
    <w:p>
      <w:pPr>
        <w:pStyle w:val="Heading3"/>
        <w:spacing w:after="80" w:before="200"/>
      </w:pPr>
      <w:r>
        <w:rPr>
          <w:rFonts w:ascii="Arial" w:cs="Arial" w:eastAsia="Arial" w:hAnsi="Arial"/>
          <w:b/>
          <w:bCs/>
          <w:color w:val="185FA5"/>
          <w:sz w:val="24"/>
          <w:szCs w:val="24"/>
        </w:rPr>
        <w:t xml:space="preserve">C5: FSI — Financial Strength Index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5F5F3" w:val="clear"/>
            <w:tcMar>
              <w:top w:type="dxa" w:w="120"/>
              <w:left w:type="dxa" w:w="200"/>
              <w:bottom w:type="dxa" w:w="120"/>
              <w:right w:type="dxa" w:w="200"/>
            </w:tcMar>
          </w:tcPr>
          <w:p>
            <w:pPr>
              <w:spacing w:after="40" w:before="0"/>
            </w:pPr>
            <w:r>
              <w:rPr>
                <w:rFonts w:ascii="Arial" w:cs="Arial" w:eastAsia="Arial" w:hAnsi="Arial"/>
                <w:b/>
                <w:bCs/>
                <w:color w:val="5F5E5A"/>
                <w:sz w:val="20"/>
                <w:szCs w:val="20"/>
              </w:rPr>
              <w:t xml:space="preserve">From Business Plan</w:t>
            </w:r>
          </w:p>
          <w:p>
            <w:pPr>
              <w:spacing w:after="0" w:before="0"/>
            </w:pPr>
            <w:r>
              <w:rPr>
                <w:rFonts w:ascii="Arial" w:cs="Arial" w:eastAsia="Arial" w:hAnsi="Arial"/>
                <w:color w:val="1A1A1A"/>
                <w:sz w:val="20"/>
                <w:szCs w:val="20"/>
              </w:rPr>
              <w:t xml:space="preserve">"Series A of INR 12 Cr raised. Current ratio projected at 1.4 in Year 1. 18-month cash runway. 2 of 3 key suppliers are investment grade."</w:t>
            </w:r>
          </w:p>
        </w:tc>
      </w:tr>
    </w:tbl>
    <w:p>
      <w:pPr>
        <w:spacing w:after="100" w:before="60"/>
      </w:pPr>
      <w:r>
        <w:rPr>
          <w:rFonts w:ascii="Arial" w:cs="Arial" w:eastAsia="Arial" w:hAnsi="Arial"/>
          <w:sz w:val="22"/>
          <w:szCs w:val="22"/>
        </w:rPr>
        <w:t xml:space="preserve">FSI = 0.4x(1.4/2) + 0.3x(18/24) + 0.3x(2/3) = 0.280 + 0.225 + 0.200 = 0.705</w:t>
      </w:r>
    </w:p>
    <w:p>
      <w:pPr>
        <w:pBdr>
          <w:left w:val="single" w:color="185FA5" w:sz="12"/>
        </w:pBdr>
        <w:shd w:fill="F5F5F3" w:val="clear"/>
        <w:spacing w:after="120" w:before="120"/>
        <w:ind w:left="720"/>
      </w:pPr>
      <w:r>
        <w:rPr>
          <w:rFonts w:ascii="Courier New" w:cs="Courier New" w:eastAsia="Courier New" w:hAnsi="Courier New"/>
          <w:b/>
          <w:bCs/>
          <w:color w:val="1F4E79"/>
          <w:sz w:val="20"/>
          <w:szCs w:val="20"/>
        </w:rPr>
        <w:t xml:space="preserve">FSI = 0.705</w:t>
      </w:r>
    </w:p>
    <w:p>
      <w:pPr>
        <w:spacing w:after="100" w:before="60"/>
      </w:pPr>
      <w:r>
        <w:rPr>
          <w:rFonts w:ascii="Arial" w:cs="Arial" w:eastAsia="Arial" w:hAnsi="Arial"/>
          <w:sz w:val="22"/>
          <w:szCs w:val="22"/>
        </w:rPr>
        <w:t xml:space="preserve">Evidence quality: 1.00 (signed/verified financials) | Weight: 12% | Contribution: 0.12 x 0.705 = 0.0846</w:t>
      </w:r>
    </w:p>
    <w:p>
      <w:pPr>
        <w:spacing w:after="80" w:before="80"/>
      </w:pPr>
      <w:r>
        <w:t xml:space="preserve"/>
      </w:r>
    </w:p>
    <w:p>
      <w:pPr>
        <w:pStyle w:val="Heading3"/>
        <w:spacing w:after="80" w:before="200"/>
      </w:pPr>
      <w:r>
        <w:rPr>
          <w:rFonts w:ascii="Arial" w:cs="Arial" w:eastAsia="Arial" w:hAnsi="Arial"/>
          <w:b/>
          <w:bCs/>
          <w:color w:val="185FA5"/>
          <w:sz w:val="24"/>
          <w:szCs w:val="24"/>
        </w:rPr>
        <w:t xml:space="preserve">C6: VI — Visibility Index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5F5F3" w:val="clear"/>
            <w:tcMar>
              <w:top w:type="dxa" w:w="120"/>
              <w:left w:type="dxa" w:w="200"/>
              <w:bottom w:type="dxa" w:w="120"/>
              <w:right w:type="dxa" w:w="200"/>
            </w:tcMar>
          </w:tcPr>
          <w:p>
            <w:pPr>
              <w:spacing w:after="40" w:before="0"/>
            </w:pPr>
            <w:r>
              <w:rPr>
                <w:rFonts w:ascii="Arial" w:cs="Arial" w:eastAsia="Arial" w:hAnsi="Arial"/>
                <w:b/>
                <w:bCs/>
                <w:color w:val="5F5E5A"/>
                <w:sz w:val="20"/>
                <w:szCs w:val="20"/>
              </w:rPr>
              <w:t xml:space="preserve">From Business Plan</w:t>
            </w:r>
          </w:p>
          <w:p>
            <w:pPr>
              <w:spacing w:after="0" w:before="0"/>
            </w:pPr>
            <w:r>
              <w:rPr>
                <w:rFonts w:ascii="Arial" w:cs="Arial" w:eastAsia="Arial" w:hAnsi="Arial"/>
                <w:color w:val="1A1A1A"/>
                <w:sz w:val="20"/>
                <w:szCs w:val="20"/>
              </w:rPr>
              <w:t xml:space="preserve">"We use Tally for accounting. Supply chain tracking is manual. We acknowledge limited visibility into Tier 2 suppliers. No ERP planned in Year 1."</w:t>
            </w:r>
          </w:p>
        </w:tc>
      </w:tr>
    </w:tbl>
    <w:p>
      <w:pPr>
        <w:spacing w:after="100" w:before="60"/>
      </w:pPr>
      <w:r>
        <w:rPr>
          <w:rFonts w:ascii="Arial" w:cs="Arial" w:eastAsia="Arial" w:hAnsi="Arial"/>
          <w:sz w:val="22"/>
          <w:szCs w:val="22"/>
        </w:rPr>
        <w:t xml:space="preserve">T1 visibility=50%, T2=10%, T3=0%. VI = (50x0.5 + 10x0.3 + 0x0.2)/100 = 0.28</w:t>
      </w:r>
    </w:p>
    <w:p>
      <w:pPr>
        <w:pBdr>
          <w:left w:val="single" w:color="185FA5" w:sz="12"/>
        </w:pBdr>
        <w:shd w:fill="F5F5F3" w:val="clear"/>
        <w:spacing w:after="120" w:before="120"/>
        <w:ind w:left="720"/>
      </w:pPr>
      <w:r>
        <w:rPr>
          <w:rFonts w:ascii="Courier New" w:cs="Courier New" w:eastAsia="Courier New" w:hAnsi="Courier New"/>
          <w:b/>
          <w:bCs/>
          <w:color w:val="1F4E79"/>
          <w:sz w:val="20"/>
          <w:szCs w:val="20"/>
        </w:rPr>
        <w:t xml:space="preserve">VI = 0.28</w:t>
      </w:r>
    </w:p>
    <w:p>
      <w:pPr>
        <w:spacing w:after="100" w:before="60"/>
      </w:pPr>
      <w:r>
        <w:rPr>
          <w:rFonts w:ascii="Arial" w:cs="Arial" w:eastAsia="Arial" w:hAnsi="Arial"/>
          <w:sz w:val="22"/>
          <w:szCs w:val="22"/>
        </w:rPr>
        <w:t xml:space="preserve">Evidence quality: 0.35 (risk mentioned, no plan) | Weight: 8% | Contribution: 0.08 x 0.28 = 0.0224</w:t>
      </w:r>
    </w:p>
    <w:p>
      <w:pPr>
        <w:spacing w:after="80" w:before="80"/>
      </w:pPr>
      <w:r>
        <w:t xml:space="preserve"/>
      </w:r>
    </w:p>
    <w:p>
      <w:pPr>
        <w:pStyle w:val="Heading3"/>
        <w:spacing w:after="80" w:before="200"/>
      </w:pPr>
      <w:r>
        <w:rPr>
          <w:rFonts w:ascii="Arial" w:cs="Arial" w:eastAsia="Arial" w:hAnsi="Arial"/>
          <w:b/>
          <w:bCs/>
          <w:color w:val="185FA5"/>
          <w:sz w:val="24"/>
          <w:szCs w:val="24"/>
        </w:rPr>
        <w:t xml:space="preserve">C7: LTBI — Long-Term Buyer Index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5F5F3" w:val="clear"/>
            <w:tcMar>
              <w:top w:type="dxa" w:w="120"/>
              <w:left w:type="dxa" w:w="200"/>
              <w:bottom w:type="dxa" w:w="120"/>
              <w:right w:type="dxa" w:w="200"/>
            </w:tcMar>
          </w:tcPr>
          <w:p>
            <w:pPr>
              <w:spacing w:after="40" w:before="0"/>
            </w:pPr>
            <w:r>
              <w:rPr>
                <w:rFonts w:ascii="Arial" w:cs="Arial" w:eastAsia="Arial" w:hAnsi="Arial"/>
                <w:b/>
                <w:bCs/>
                <w:color w:val="5F5E5A"/>
                <w:sz w:val="20"/>
                <w:szCs w:val="20"/>
              </w:rPr>
              <w:t xml:space="preserve">From Business Plan</w:t>
            </w:r>
          </w:p>
          <w:p>
            <w:pPr>
              <w:spacing w:after="0" w:before="0"/>
            </w:pPr>
            <w:r>
              <w:rPr>
                <w:rFonts w:ascii="Arial" w:cs="Arial" w:eastAsia="Arial" w:hAnsi="Arial"/>
                <w:color w:val="1A1A1A"/>
                <w:sz w:val="20"/>
                <w:szCs w:val="20"/>
              </w:rPr>
              <w:t xml:space="preserve">"We have a 1-year MOU with our Canadian supplier. Relationships with Netherlands and India suppliers are spot-market at present."</w:t>
            </w:r>
          </w:p>
        </w:tc>
      </w:tr>
    </w:tbl>
    <w:p>
      <w:pPr>
        <w:spacing w:after="100" w:before="60"/>
      </w:pPr>
      <w:r>
        <w:rPr>
          <w:rFonts w:ascii="Arial" w:cs="Arial" w:eastAsia="Arial" w:hAnsi="Arial"/>
          <w:sz w:val="22"/>
          <w:szCs w:val="22"/>
        </w:rPr>
        <w:t xml:space="preserve">MOU treated as partial (&lt;2yr contract) = 0.5. LTBI = 0.5/3 = 0.17. Conservative round = 0.20</w:t>
      </w:r>
    </w:p>
    <w:p>
      <w:pPr>
        <w:pBdr>
          <w:left w:val="single" w:color="185FA5" w:sz="12"/>
        </w:pBdr>
        <w:shd w:fill="F5F5F3" w:val="clear"/>
        <w:spacing w:after="120" w:before="120"/>
        <w:ind w:left="720"/>
      </w:pPr>
      <w:r>
        <w:rPr>
          <w:rFonts w:ascii="Courier New" w:cs="Courier New" w:eastAsia="Courier New" w:hAnsi="Courier New"/>
          <w:b/>
          <w:bCs/>
          <w:color w:val="1F4E79"/>
          <w:sz w:val="20"/>
          <w:szCs w:val="20"/>
        </w:rPr>
        <w:t xml:space="preserve">LTBI = 0.20</w:t>
      </w:r>
    </w:p>
    <w:p>
      <w:pPr>
        <w:spacing w:after="100" w:before="60"/>
      </w:pPr>
      <w:r>
        <w:rPr>
          <w:rFonts w:ascii="Arial" w:cs="Arial" w:eastAsia="Arial" w:hAnsi="Arial"/>
          <w:sz w:val="22"/>
          <w:szCs w:val="22"/>
        </w:rPr>
        <w:t xml:space="preserve">Evidence quality: 0.60 | Weight: 7% | Contribution: 0.07 x 0.20 = 0.0140</w:t>
      </w:r>
    </w:p>
    <w:p>
      <w:pPr>
        <w:spacing w:after="80" w:before="80"/>
      </w:pPr>
      <w:r>
        <w:t xml:space="preserve"/>
      </w:r>
    </w:p>
    <w:p>
      <w:pPr>
        <w:pStyle w:val="Heading3"/>
        <w:spacing w:after="80" w:before="200"/>
      </w:pPr>
      <w:r>
        <w:rPr>
          <w:rFonts w:ascii="Arial" w:cs="Arial" w:eastAsia="Arial" w:hAnsi="Arial"/>
          <w:b/>
          <w:bCs/>
          <w:color w:val="185FA5"/>
          <w:sz w:val="24"/>
          <w:szCs w:val="24"/>
        </w:rPr>
        <w:t xml:space="preserve">C8: SI — Substitutability Index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5F5F3" w:val="clear"/>
            <w:tcMar>
              <w:top w:type="dxa" w:w="120"/>
              <w:left w:type="dxa" w:w="200"/>
              <w:bottom w:type="dxa" w:w="120"/>
              <w:right w:type="dxa" w:w="200"/>
            </w:tcMar>
          </w:tcPr>
          <w:p>
            <w:pPr>
              <w:spacing w:after="40" w:before="0"/>
            </w:pPr>
            <w:r>
              <w:rPr>
                <w:rFonts w:ascii="Arial" w:cs="Arial" w:eastAsia="Arial" w:hAnsi="Arial"/>
                <w:b/>
                <w:bCs/>
                <w:color w:val="5F5E5A"/>
                <w:sz w:val="20"/>
                <w:szCs w:val="20"/>
              </w:rPr>
              <w:t xml:space="preserve">From Business Plan</w:t>
            </w:r>
          </w:p>
          <w:p>
            <w:pPr>
              <w:spacing w:after="0" w:before="0"/>
            </w:pPr>
            <w:r>
              <w:rPr>
                <w:rFonts w:ascii="Arial" w:cs="Arial" w:eastAsia="Arial" w:hAnsi="Arial"/>
                <w:color w:val="1A1A1A"/>
                <w:sz w:val="20"/>
                <w:szCs w:val="20"/>
              </w:rPr>
              <w:t xml:space="preserve">"Pea protein can be substituted with soy protein (widely available). Flavour compounds are proprietary blends with limited alternate sources."</w:t>
            </w:r>
          </w:p>
        </w:tc>
      </w:tr>
    </w:tbl>
    <w:p>
      <w:pPr>
        <w:spacing w:after="100" w:before="60"/>
      </w:pPr>
      <w:r>
        <w:rPr>
          <w:rFonts w:ascii="Arial" w:cs="Arial" w:eastAsia="Arial" w:hAnsi="Arial"/>
          <w:sz w:val="22"/>
          <w:szCs w:val="22"/>
        </w:rPr>
        <w:t xml:space="preserve">2 of 5 critical components have qualified alternates (pea protein + one flavour base).</w:t>
      </w:r>
    </w:p>
    <w:p>
      <w:pPr>
        <w:pBdr>
          <w:left w:val="single" w:color="185FA5" w:sz="12"/>
        </w:pBdr>
        <w:shd w:fill="F5F5F3" w:val="clear"/>
        <w:spacing w:after="120" w:before="120"/>
        <w:ind w:left="720"/>
      </w:pPr>
      <w:r>
        <w:rPr>
          <w:rFonts w:ascii="Courier New" w:cs="Courier New" w:eastAsia="Courier New" w:hAnsi="Courier New"/>
          <w:b/>
          <w:bCs/>
          <w:color w:val="1F4E79"/>
          <w:sz w:val="20"/>
          <w:szCs w:val="20"/>
        </w:rPr>
        <w:t xml:space="preserve">SI = 2/5 = 0.40</w:t>
      </w:r>
    </w:p>
    <w:p>
      <w:pPr>
        <w:spacing w:after="100" w:before="60"/>
      </w:pPr>
      <w:r>
        <w:rPr>
          <w:rFonts w:ascii="Arial" w:cs="Arial" w:eastAsia="Arial" w:hAnsi="Arial"/>
          <w:sz w:val="22"/>
          <w:szCs w:val="22"/>
        </w:rPr>
        <w:t xml:space="preserve">Evidence quality: 0.60 | Weight: 5% | Contribution: 0.05 x 0.40 = 0.0200</w:t>
      </w:r>
    </w:p>
    <w:p>
      <w:pPr>
        <w:spacing w:after="120" w:before="120"/>
      </w:pPr>
      <w:r>
        <w:t xml:space="preserve"/>
      </w:r>
    </w:p>
    <w:p>
      <w:pPr>
        <w:pStyle w:val="Heading2"/>
        <w:pBdr>
          <w:bottom w:val="single" w:color="D6E4F0" w:sz="4"/>
        </w:pBdr>
        <w:spacing w:after="120" w:before="300"/>
      </w:pPr>
      <w:r>
        <w:rPr>
          <w:rFonts w:ascii="Arial" w:cs="Arial" w:eastAsia="Arial" w:hAnsi="Arial"/>
          <w:b/>
          <w:bCs/>
          <w:color w:val="1F4E79"/>
          <w:sz w:val="28"/>
          <w:szCs w:val="28"/>
        </w:rPr>
        <w:t xml:space="preserve">8.2 Weighted Base Score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000"/>
        <w:gridCol w:w="1000"/>
        <w:gridCol w:w="1100"/>
        <w:gridCol w:w="1200"/>
        <w:gridCol w:w="3260"/>
      </w:tblGrid>
      <w:tr>
        <w:trPr>
          <w:tblHeader/>
        </w:trPr>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Component</w:t>
            </w:r>
          </w:p>
        </w:tc>
        <w:tc>
          <w:tcPr>
            <w:tcW w:type="dxa" w:w="1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Weight</w:t>
            </w:r>
          </w:p>
        </w:tc>
        <w:tc>
          <w:tcPr>
            <w:tcW w:type="dxa" w:w="1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Score</w:t>
            </w:r>
          </w:p>
        </w:tc>
        <w:tc>
          <w:tcPr>
            <w:tcW w:type="dxa" w:w="11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w x C</w:t>
            </w:r>
          </w:p>
        </w:tc>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Evidence e_i</w:t>
            </w:r>
          </w:p>
        </w:tc>
        <w:tc>
          <w:tcPr>
            <w:tcW w:type="dxa" w:w="32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w x ln(e_i)</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(1-SCI)</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0.20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0.515</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0.1030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0.80</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-0.0446</w:t>
            </w:r>
          </w:p>
        </w:tc>
      </w:tr>
      <w:tr>
        <w:tc>
          <w:tcPr>
            <w:tcW w:type="dxa" w:w="18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pPr>
              <w:spacing w:after="0" w:before="0"/>
            </w:pPr>
            <w:r>
              <w:rPr>
                <w:rFonts w:ascii="Arial" w:cs="Arial" w:eastAsia="Arial" w:hAnsi="Arial"/>
                <w:sz w:val="20"/>
                <w:szCs w:val="20"/>
              </w:rPr>
              <w:t xml:space="preserve">(1-LDI_tw)</w:t>
            </w:r>
          </w:p>
        </w:tc>
        <w:tc>
          <w:tcPr>
            <w:tcW w:type="dxa" w:w="10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pPr>
              <w:spacing w:after="0" w:before="0"/>
            </w:pPr>
            <w:r>
              <w:rPr>
                <w:rFonts w:ascii="Arial" w:cs="Arial" w:eastAsia="Arial" w:hAnsi="Arial"/>
                <w:sz w:val="20"/>
                <w:szCs w:val="20"/>
              </w:rPr>
              <w:t xml:space="preserve">0.13</w:t>
            </w:r>
          </w:p>
        </w:tc>
        <w:tc>
          <w:tcPr>
            <w:tcW w:type="dxa" w:w="10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pPr>
              <w:spacing w:after="0" w:before="0"/>
            </w:pPr>
            <w:r>
              <w:rPr>
                <w:rFonts w:ascii="Arial" w:cs="Arial" w:eastAsia="Arial" w:hAnsi="Arial"/>
                <w:sz w:val="20"/>
                <w:szCs w:val="20"/>
              </w:rPr>
              <w:t xml:space="preserve">0.500</w:t>
            </w:r>
          </w:p>
        </w:tc>
        <w:tc>
          <w:tcPr>
            <w:tcW w:type="dxa" w:w="11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pPr>
              <w:spacing w:after="0" w:before="0"/>
            </w:pPr>
            <w:r>
              <w:rPr>
                <w:rFonts w:ascii="Arial" w:cs="Arial" w:eastAsia="Arial" w:hAnsi="Arial"/>
                <w:sz w:val="20"/>
                <w:szCs w:val="20"/>
              </w:rPr>
              <w:t xml:space="preserve">0.0650</w:t>
            </w:r>
          </w:p>
        </w:tc>
        <w:tc>
          <w:tcPr>
            <w:tcW w:type="dxa" w:w="12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pPr>
              <w:spacing w:after="0" w:before="0"/>
            </w:pPr>
            <w:r>
              <w:rPr>
                <w:rFonts w:ascii="Arial" w:cs="Arial" w:eastAsia="Arial" w:hAnsi="Arial"/>
                <w:sz w:val="20"/>
                <w:szCs w:val="20"/>
              </w:rPr>
              <w:t xml:space="preserve">0.60</w:t>
            </w:r>
          </w:p>
        </w:tc>
        <w:tc>
          <w:tcPr>
            <w:tcW w:type="dxa" w:w="326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pPr>
              <w:spacing w:after="0" w:before="0"/>
            </w:pPr>
            <w:r>
              <w:rPr>
                <w:rFonts w:ascii="Arial" w:cs="Arial" w:eastAsia="Arial" w:hAnsi="Arial"/>
                <w:sz w:val="20"/>
                <w:szCs w:val="20"/>
              </w:rPr>
              <w:t xml:space="preserve">-0.0680</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(1-SPOF)</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0.22</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0.250</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0.0550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0.60</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-0.1151</w:t>
            </w:r>
          </w:p>
        </w:tc>
      </w:tr>
      <w:tr>
        <w:tc>
          <w:tcPr>
            <w:tcW w:type="dxa" w:w="18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pPr>
              <w:spacing w:after="0" w:before="0"/>
            </w:pPr>
            <w:r>
              <w:rPr>
                <w:rFonts w:ascii="Arial" w:cs="Arial" w:eastAsia="Arial" w:hAnsi="Arial"/>
                <w:sz w:val="20"/>
                <w:szCs w:val="20"/>
              </w:rPr>
              <w:t xml:space="preserve">GDI</w:t>
            </w:r>
          </w:p>
        </w:tc>
        <w:tc>
          <w:tcPr>
            <w:tcW w:type="dxa" w:w="10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pPr>
              <w:spacing w:after="0" w:before="0"/>
            </w:pPr>
            <w:r>
              <w:rPr>
                <w:rFonts w:ascii="Arial" w:cs="Arial" w:eastAsia="Arial" w:hAnsi="Arial"/>
                <w:sz w:val="20"/>
                <w:szCs w:val="20"/>
              </w:rPr>
              <w:t xml:space="preserve">0.13</w:t>
            </w:r>
          </w:p>
        </w:tc>
        <w:tc>
          <w:tcPr>
            <w:tcW w:type="dxa" w:w="10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pPr>
              <w:spacing w:after="0" w:before="0"/>
            </w:pPr>
            <w:r>
              <w:rPr>
                <w:rFonts w:ascii="Arial" w:cs="Arial" w:eastAsia="Arial" w:hAnsi="Arial"/>
                <w:sz w:val="20"/>
                <w:szCs w:val="20"/>
              </w:rPr>
              <w:t xml:space="preserve">0.480</w:t>
            </w:r>
          </w:p>
        </w:tc>
        <w:tc>
          <w:tcPr>
            <w:tcW w:type="dxa" w:w="11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pPr>
              <w:spacing w:after="0" w:before="0"/>
            </w:pPr>
            <w:r>
              <w:rPr>
                <w:rFonts w:ascii="Arial" w:cs="Arial" w:eastAsia="Arial" w:hAnsi="Arial"/>
                <w:sz w:val="20"/>
                <w:szCs w:val="20"/>
              </w:rPr>
              <w:t xml:space="preserve">0.0624</w:t>
            </w:r>
          </w:p>
        </w:tc>
        <w:tc>
          <w:tcPr>
            <w:tcW w:type="dxa" w:w="12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pPr>
              <w:spacing w:after="0" w:before="0"/>
            </w:pPr>
            <w:r>
              <w:rPr>
                <w:rFonts w:ascii="Arial" w:cs="Arial" w:eastAsia="Arial" w:hAnsi="Arial"/>
                <w:sz w:val="20"/>
                <w:szCs w:val="20"/>
              </w:rPr>
              <w:t xml:space="preserve">0.80</w:t>
            </w:r>
          </w:p>
        </w:tc>
        <w:tc>
          <w:tcPr>
            <w:tcW w:type="dxa" w:w="326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pPr>
              <w:spacing w:after="0" w:before="0"/>
            </w:pPr>
            <w:r>
              <w:rPr>
                <w:rFonts w:ascii="Arial" w:cs="Arial" w:eastAsia="Arial" w:hAnsi="Arial"/>
                <w:sz w:val="20"/>
                <w:szCs w:val="20"/>
              </w:rPr>
              <w:t xml:space="preserve">-0.0290</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FSI</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0.12</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0.705</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0.0846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1.00</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0.0000</w:t>
            </w:r>
          </w:p>
        </w:tc>
      </w:tr>
      <w:tr>
        <w:tc>
          <w:tcPr>
            <w:tcW w:type="dxa" w:w="18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pPr>
              <w:spacing w:after="0" w:before="0"/>
            </w:pPr>
            <w:r>
              <w:rPr>
                <w:rFonts w:ascii="Arial" w:cs="Arial" w:eastAsia="Arial" w:hAnsi="Arial"/>
                <w:sz w:val="20"/>
                <w:szCs w:val="20"/>
              </w:rPr>
              <w:t xml:space="preserve">VI</w:t>
            </w:r>
          </w:p>
        </w:tc>
        <w:tc>
          <w:tcPr>
            <w:tcW w:type="dxa" w:w="10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pPr>
              <w:spacing w:after="0" w:before="0"/>
            </w:pPr>
            <w:r>
              <w:rPr>
                <w:rFonts w:ascii="Arial" w:cs="Arial" w:eastAsia="Arial" w:hAnsi="Arial"/>
                <w:sz w:val="20"/>
                <w:szCs w:val="20"/>
              </w:rPr>
              <w:t xml:space="preserve">0.08</w:t>
            </w:r>
          </w:p>
        </w:tc>
        <w:tc>
          <w:tcPr>
            <w:tcW w:type="dxa" w:w="10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pPr>
              <w:spacing w:after="0" w:before="0"/>
            </w:pPr>
            <w:r>
              <w:rPr>
                <w:rFonts w:ascii="Arial" w:cs="Arial" w:eastAsia="Arial" w:hAnsi="Arial"/>
                <w:sz w:val="20"/>
                <w:szCs w:val="20"/>
              </w:rPr>
              <w:t xml:space="preserve">0.280</w:t>
            </w:r>
          </w:p>
        </w:tc>
        <w:tc>
          <w:tcPr>
            <w:tcW w:type="dxa" w:w="11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pPr>
              <w:spacing w:after="0" w:before="0"/>
            </w:pPr>
            <w:r>
              <w:rPr>
                <w:rFonts w:ascii="Arial" w:cs="Arial" w:eastAsia="Arial" w:hAnsi="Arial"/>
                <w:sz w:val="20"/>
                <w:szCs w:val="20"/>
              </w:rPr>
              <w:t xml:space="preserve">0.0224</w:t>
            </w:r>
          </w:p>
        </w:tc>
        <w:tc>
          <w:tcPr>
            <w:tcW w:type="dxa" w:w="12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pPr>
              <w:spacing w:after="0" w:before="0"/>
            </w:pPr>
            <w:r>
              <w:rPr>
                <w:rFonts w:ascii="Arial" w:cs="Arial" w:eastAsia="Arial" w:hAnsi="Arial"/>
                <w:sz w:val="20"/>
                <w:szCs w:val="20"/>
              </w:rPr>
              <w:t xml:space="preserve">0.35</w:t>
            </w:r>
          </w:p>
        </w:tc>
        <w:tc>
          <w:tcPr>
            <w:tcW w:type="dxa" w:w="326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pPr>
              <w:spacing w:after="0" w:before="0"/>
            </w:pPr>
            <w:r>
              <w:rPr>
                <w:rFonts w:ascii="Arial" w:cs="Arial" w:eastAsia="Arial" w:hAnsi="Arial"/>
                <w:sz w:val="20"/>
                <w:szCs w:val="20"/>
              </w:rPr>
              <w:t xml:space="preserve">-0.0839</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LTBI</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0.07</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0.200</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0.0140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0.60</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-0.0367</w:t>
            </w:r>
          </w:p>
        </w:tc>
      </w:tr>
      <w:tr>
        <w:tc>
          <w:tcPr>
            <w:tcW w:type="dxa" w:w="18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pPr>
              <w:spacing w:after="0" w:before="0"/>
            </w:pPr>
            <w:r>
              <w:rPr>
                <w:rFonts w:ascii="Arial" w:cs="Arial" w:eastAsia="Arial" w:hAnsi="Arial"/>
                <w:sz w:val="20"/>
                <w:szCs w:val="20"/>
              </w:rPr>
              <w:t xml:space="preserve">SI</w:t>
            </w:r>
          </w:p>
        </w:tc>
        <w:tc>
          <w:tcPr>
            <w:tcW w:type="dxa" w:w="10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pPr>
              <w:spacing w:after="0" w:before="0"/>
            </w:pPr>
            <w:r>
              <w:rPr>
                <w:rFonts w:ascii="Arial" w:cs="Arial" w:eastAsia="Arial" w:hAnsi="Arial"/>
                <w:sz w:val="20"/>
                <w:szCs w:val="20"/>
              </w:rPr>
              <w:t xml:space="preserve">0.05</w:t>
            </w:r>
          </w:p>
        </w:tc>
        <w:tc>
          <w:tcPr>
            <w:tcW w:type="dxa" w:w="10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pPr>
              <w:spacing w:after="0" w:before="0"/>
            </w:pPr>
            <w:r>
              <w:rPr>
                <w:rFonts w:ascii="Arial" w:cs="Arial" w:eastAsia="Arial" w:hAnsi="Arial"/>
                <w:sz w:val="20"/>
                <w:szCs w:val="20"/>
              </w:rPr>
              <w:t xml:space="preserve">0.400</w:t>
            </w:r>
          </w:p>
        </w:tc>
        <w:tc>
          <w:tcPr>
            <w:tcW w:type="dxa" w:w="11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pPr>
              <w:spacing w:after="0" w:before="0"/>
            </w:pPr>
            <w:r>
              <w:rPr>
                <w:rFonts w:ascii="Arial" w:cs="Arial" w:eastAsia="Arial" w:hAnsi="Arial"/>
                <w:sz w:val="20"/>
                <w:szCs w:val="20"/>
              </w:rPr>
              <w:t xml:space="preserve">0.0200</w:t>
            </w:r>
          </w:p>
        </w:tc>
        <w:tc>
          <w:tcPr>
            <w:tcW w:type="dxa" w:w="12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pPr>
              <w:spacing w:after="0" w:before="0"/>
            </w:pPr>
            <w:r>
              <w:rPr>
                <w:rFonts w:ascii="Arial" w:cs="Arial" w:eastAsia="Arial" w:hAnsi="Arial"/>
                <w:sz w:val="20"/>
                <w:szCs w:val="20"/>
              </w:rPr>
              <w:t xml:space="preserve">0.60</w:t>
            </w:r>
          </w:p>
        </w:tc>
        <w:tc>
          <w:tcPr>
            <w:tcW w:type="dxa" w:w="326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pPr>
              <w:spacing w:after="0" w:before="0"/>
            </w:pPr>
            <w:r>
              <w:rPr>
                <w:rFonts w:ascii="Arial" w:cs="Arial" w:eastAsia="Arial" w:hAnsi="Arial"/>
                <w:sz w:val="20"/>
                <w:szCs w:val="20"/>
              </w:rPr>
              <w:t xml:space="preserve">-0.0255</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TOTAL</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1.00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0.3264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-0.4028</w:t>
            </w:r>
          </w:p>
        </w:tc>
      </w:tr>
    </w:tbl>
    <w:p>
      <w:pPr>
        <w:spacing w:after="100" w:before="60"/>
      </w:pPr>
      <w:r>
        <w:rPr>
          <w:rFonts w:ascii="Arial" w:cs="Arial" w:eastAsia="Arial" w:hAnsi="Arial"/>
          <w:sz w:val="22"/>
          <w:szCs w:val="22"/>
        </w:rPr>
        <w:t xml:space="preserve">Base score: 100 x Phi(1.00) x 0.3264 = 32.64 points</w:t>
      </w:r>
    </w:p>
    <w:p>
      <w:pPr>
        <w:spacing w:after="80" w:before="80"/>
      </w:pPr>
      <w:r>
        <w:t xml:space="preserve"/>
      </w:r>
    </w:p>
    <w:p>
      <w:pPr>
        <w:pStyle w:val="Heading2"/>
        <w:pBdr>
          <w:bottom w:val="single" w:color="D6E4F0" w:sz="4"/>
        </w:pBdr>
        <w:spacing w:after="120" w:before="300"/>
      </w:pPr>
      <w:r>
        <w:rPr>
          <w:rFonts w:ascii="Arial" w:cs="Arial" w:eastAsia="Arial" w:hAnsi="Arial"/>
          <w:b/>
          <w:bCs/>
          <w:color w:val="1F4E79"/>
          <w:sz w:val="28"/>
          <w:szCs w:val="28"/>
        </w:rPr>
        <w:t xml:space="preserve">8.3 Interaction Penalty</w:t>
      </w:r>
    </w:p>
    <w:p>
      <w:pPr>
        <w:spacing w:after="100" w:before="60"/>
      </w:pPr>
      <w:r>
        <w:rPr>
          <w:rFonts w:ascii="Arial" w:cs="Arial" w:eastAsia="Arial" w:hAnsi="Arial"/>
          <w:sz w:val="22"/>
          <w:szCs w:val="22"/>
        </w:rPr>
        <w:t xml:space="preserve">Three dangerous component combinations identified: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800"/>
        <w:gridCol w:w="2560"/>
      </w:tblGrid>
      <w:tr>
        <w:trPr>
          <w:tblHeader/>
        </w:trPr>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Interaction</w:t>
            </w:r>
          </w:p>
        </w:tc>
        <w:tc>
          <w:tcPr>
            <w:tcW w:type="dxa" w:w="3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Calculation</w:t>
            </w:r>
          </w:p>
        </w:tc>
        <w:tc>
          <w:tcPr>
            <w:tcW w:type="dxa" w:w="2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a1: SCI x SPOF</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0.15 x 0.485 x 0.75</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0.0546</w:t>
            </w:r>
          </w:p>
        </w:tc>
      </w:tr>
      <w:tr>
        <w:tc>
          <w:tcPr>
            <w:tcW w:type="dxa" w:w="30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pPr>
              <w:spacing w:after="0" w:before="0"/>
            </w:pPr>
            <w:r>
              <w:rPr>
                <w:rFonts w:ascii="Arial" w:cs="Arial" w:eastAsia="Arial" w:hAnsi="Arial"/>
                <w:sz w:val="20"/>
                <w:szCs w:val="20"/>
              </w:rPr>
              <w:t xml:space="preserve">a2: SCI x (1-GDI)</w:t>
            </w:r>
          </w:p>
        </w:tc>
        <w:tc>
          <w:tcPr>
            <w:tcW w:type="dxa" w:w="38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pPr>
              <w:spacing w:after="0" w:before="0"/>
            </w:pPr>
            <w:r>
              <w:rPr>
                <w:rFonts w:ascii="Arial" w:cs="Arial" w:eastAsia="Arial" w:hAnsi="Arial"/>
                <w:sz w:val="20"/>
                <w:szCs w:val="20"/>
              </w:rPr>
              <w:t xml:space="preserve">0.10 x 0.485 x 0.52</w:t>
            </w:r>
          </w:p>
        </w:tc>
        <w:tc>
          <w:tcPr>
            <w:tcW w:type="dxa" w:w="256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pPr>
              <w:spacing w:after="0" w:before="0"/>
            </w:pPr>
            <w:r>
              <w:rPr>
                <w:rFonts w:ascii="Arial" w:cs="Arial" w:eastAsia="Arial" w:hAnsi="Arial"/>
                <w:sz w:val="20"/>
                <w:szCs w:val="20"/>
              </w:rPr>
              <w:t xml:space="preserve">0.0252</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a3: SPOF x LDI_tw</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0.08 x 0.75 x 0.50</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0.0300</w:t>
            </w:r>
          </w:p>
        </w:tc>
      </w:tr>
      <w:tr>
        <w:tc>
          <w:tcPr>
            <w:tcW w:type="dxa" w:w="30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pPr>
              <w:spacing w:after="0" w:before="0"/>
            </w:pPr>
            <w:r>
              <w:rPr>
                <w:rFonts w:ascii="Arial" w:cs="Arial" w:eastAsia="Arial" w:hAnsi="Arial"/>
                <w:sz w:val="20"/>
                <w:szCs w:val="20"/>
              </w:rPr>
              <w:t xml:space="preserve">Omega(C) total</w:t>
            </w:r>
          </w:p>
        </w:tc>
        <w:tc>
          <w:tcPr>
            <w:tcW w:type="dxa" w:w="38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pPr>
              <w:spacing w:after="0" w:before="0"/>
            </w:pPr>
            <w:r>
              <w:rPr>
                <w:rFonts w:ascii="Arial" w:cs="Arial" w:eastAsia="Arial" w:hAnsi="Arial"/>
                <w:sz w:val="20"/>
                <w:szCs w:val="20"/>
              </w:rPr>
              <w:t xml:space="preserve">0.0546 + 0.0252 + 0.0300</w:t>
            </w:r>
          </w:p>
        </w:tc>
        <w:tc>
          <w:tcPr>
            <w:tcW w:type="dxa" w:w="256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pPr>
              <w:spacing w:after="0" w:before="0"/>
            </w:pPr>
            <w:r>
              <w:rPr>
                <w:rFonts w:ascii="Arial" w:cs="Arial" w:eastAsia="Arial" w:hAnsi="Arial"/>
                <w:sz w:val="20"/>
                <w:szCs w:val="20"/>
              </w:rPr>
              <w:t xml:space="preserve">0.1098</w:t>
            </w:r>
          </w:p>
        </w:tc>
      </w:tr>
    </w:tbl>
    <w:p>
      <w:pPr>
        <w:pBdr>
          <w:left w:val="single" w:color="185FA5" w:sz="12"/>
        </w:pBdr>
        <w:shd w:fill="F5F5F3" w:val="clear"/>
        <w:spacing w:after="120" w:before="120"/>
        <w:ind w:left="720"/>
      </w:pPr>
      <w:r>
        <w:rPr>
          <w:rFonts w:ascii="Courier New" w:cs="Courier New" w:eastAsia="Courier New" w:hAnsi="Courier New"/>
          <w:b/>
          <w:bCs/>
          <w:color w:val="1F4E79"/>
          <w:sz w:val="20"/>
          <w:szCs w:val="20"/>
        </w:rPr>
        <w:t xml:space="preserve">Interaction penalty = 1 - 0.20 x 0.1098 = 1 - 0.02196 = 0.97804</w:t>
      </w:r>
    </w:p>
    <w:p>
      <w:pPr>
        <w:spacing w:after="100" w:before="60"/>
      </w:pPr>
      <w:r>
        <w:rPr>
          <w:rFonts w:ascii="Arial" w:cs="Arial" w:eastAsia="Arial" w:hAnsi="Arial"/>
          <w:sz w:val="22"/>
          <w:szCs w:val="22"/>
        </w:rPr>
        <w:t xml:space="preserve">Score after penalty: 32.64 x 0.97804 = 31.93 points (−0.71 pts from interactions)</w:t>
      </w:r>
    </w:p>
    <w:p>
      <w:pPr>
        <w:spacing w:after="80" w:before="80"/>
      </w:pPr>
      <w:r>
        <w:t xml:space="preserve"/>
      </w:r>
    </w:p>
    <w:p>
      <w:pPr>
        <w:pStyle w:val="Heading2"/>
        <w:pBdr>
          <w:bottom w:val="single" w:color="D6E4F0" w:sz="4"/>
        </w:pBdr>
        <w:spacing w:after="120" w:before="300"/>
      </w:pPr>
      <w:r>
        <w:rPr>
          <w:rFonts w:ascii="Arial" w:cs="Arial" w:eastAsia="Arial" w:hAnsi="Arial"/>
          <w:b/>
          <w:bCs/>
          <w:color w:val="1F4E79"/>
          <w:sz w:val="28"/>
          <w:szCs w:val="28"/>
        </w:rPr>
        <w:t xml:space="preserve">8.4 Trajectory Multiplier</w:t>
      </w:r>
    </w:p>
    <w:p>
      <w:pPr>
        <w:spacing w:after="100" w:before="60"/>
      </w:pPr>
      <w:r>
        <w:rPr>
          <w:rFonts w:ascii="Arial" w:cs="Arial" w:eastAsia="Arial" w:hAnsi="Arial"/>
          <w:sz w:val="22"/>
          <w:szCs w:val="22"/>
        </w:rPr>
        <w:t xml:space="preserve">NutriFlow projects dual-sourcing by Q3 Year 1 and ERP visibility by Q2 Year 2. Estimated improvement: +8.5 DAIRS points by Year 2 end.</w:t>
      </w:r>
    </w:p>
    <w:p>
      <w:pPr>
        <w:pBdr>
          <w:left w:val="single" w:color="185FA5" w:sz="12"/>
        </w:pBdr>
        <w:shd w:fill="F5F5F3" w:val="clear"/>
        <w:spacing w:after="120" w:before="120"/>
        <w:ind w:left="720"/>
      </w:pPr>
      <w:r>
        <w:rPr>
          <w:rFonts w:ascii="Courier New" w:cs="Courier New" w:eastAsia="Courier New" w:hAnsi="Courier New"/>
          <w:b/>
          <w:bCs/>
          <w:color w:val="1F4E79"/>
          <w:sz w:val="20"/>
          <w:szCs w:val="20"/>
        </w:rPr>
        <w:t xml:space="preserve">Trajectory multiplier = 1 + 0.05 x (8.5/100) = 1 + 0.00425 = 1.00425</w:t>
      </w:r>
    </w:p>
    <w:p>
      <w:pPr>
        <w:spacing w:after="100" w:before="60"/>
      </w:pPr>
      <w:r>
        <w:rPr>
          <w:rFonts w:ascii="Arial" w:cs="Arial" w:eastAsia="Arial" w:hAnsi="Arial"/>
          <w:sz w:val="22"/>
          <w:szCs w:val="22"/>
        </w:rPr>
        <w:t xml:space="preserve">Score after trajectory: 31.93 x 1.00425 = 32.07 points (+0.14 pts)</w:t>
      </w:r>
    </w:p>
    <w:p>
      <w:pPr>
        <w:spacing w:after="80" w:before="80"/>
      </w:pPr>
      <w:r>
        <w:t xml:space="preserve"/>
      </w:r>
    </w:p>
    <w:p>
      <w:pPr>
        <w:pStyle w:val="Heading2"/>
        <w:pBdr>
          <w:bottom w:val="single" w:color="D6E4F0" w:sz="4"/>
        </w:pBdr>
        <w:spacing w:after="120" w:before="300"/>
      </w:pPr>
      <w:r>
        <w:rPr>
          <w:rFonts w:ascii="Arial" w:cs="Arial" w:eastAsia="Arial" w:hAnsi="Arial"/>
          <w:b/>
          <w:bCs/>
          <w:color w:val="1F4E79"/>
          <w:sz w:val="28"/>
          <w:szCs w:val="28"/>
        </w:rPr>
        <w:t xml:space="preserve">8.5 Confidence Discount (Psi)</w:t>
      </w:r>
    </w:p>
    <w:p>
      <w:pPr>
        <w:spacing w:after="100" w:before="60"/>
      </w:pPr>
      <w:r>
        <w:rPr>
          <w:rFonts w:ascii="Arial" w:cs="Arial" w:eastAsia="Arial" w:hAnsi="Arial"/>
          <w:sz w:val="22"/>
          <w:szCs w:val="22"/>
        </w:rPr>
        <w:t xml:space="preserve">Psi = exp(sum of w_i x ln(e_i)) = exp(-0.4028) = 0.6685</w:t>
      </w:r>
    </w:p>
    <w:p>
      <w:pPr>
        <w:pBdr>
          <w:left w:val="single" w:color="185FA5" w:sz="12"/>
        </w:pBdr>
        <w:shd w:fill="F5F5F3" w:val="clear"/>
        <w:spacing w:after="120" w:before="120"/>
        <w:ind w:left="720"/>
      </w:pPr>
      <w:r>
        <w:rPr>
          <w:rFonts w:ascii="Courier New" w:cs="Courier New" w:eastAsia="Courier New" w:hAnsi="Courier New"/>
          <w:b/>
          <w:bCs/>
          <w:color w:val="1F4E79"/>
          <w:sz w:val="20"/>
          <w:szCs w:val="20"/>
        </w:rPr>
        <w:t xml:space="preserve">Psi = 0.6685</w:t>
      </w:r>
    </w:p>
    <w:p>
      <w:pPr>
        <w:spacing w:after="100" w:before="60"/>
      </w:pPr>
      <w:r>
        <w:rPr>
          <w:rFonts w:ascii="Arial" w:cs="Arial" w:eastAsia="Arial" w:hAnsi="Arial"/>
          <w:sz w:val="22"/>
          <w:szCs w:val="22"/>
        </w:rPr>
        <w:t xml:space="preserve">Score after confidence discount: 32.07 x 0.6685 = 21.44 points (−10.63 pts from weak evidence quality)</w:t>
      </w:r>
    </w:p>
    <w:p>
      <w:pPr>
        <w:spacing w:after="80" w:before="80"/>
      </w:pPr>
      <w:r>
        <w:t xml:space="preserve"/>
      </w:r>
    </w:p>
    <w:p>
      <w:pPr>
        <w:pStyle w:val="Heading2"/>
        <w:pBdr>
          <w:bottom w:val="single" w:color="D6E4F0" w:sz="4"/>
        </w:pBdr>
        <w:spacing w:after="120" w:before="300"/>
      </w:pPr>
      <w:r>
        <w:rPr>
          <w:rFonts w:ascii="Arial" w:cs="Arial" w:eastAsia="Arial" w:hAnsi="Arial"/>
          <w:b/>
          <w:bCs/>
          <w:color w:val="1F4E79"/>
          <w:sz w:val="28"/>
          <w:szCs w:val="28"/>
        </w:rPr>
        <w:t xml:space="preserve">8.6 Final DAIRS Score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54F0B" w:sz="1"/>
              <w:left w:val="single" w:color="854F0B" w:sz="1"/>
              <w:bottom w:val="single" w:color="854F0B" w:sz="1"/>
              <w:right w:val="single" w:color="854F0B" w:sz="1"/>
            </w:tcBorders>
            <w:shd w:fill="FEF3CD" w:val="clear"/>
            <w:tcMar>
              <w:top w:type="dxa" w:w="200"/>
              <w:left w:type="dxa" w:w="300"/>
              <w:bottom w:type="dxa" w:w="200"/>
              <w:right w:type="dxa" w:w="300"/>
            </w:tcMar>
          </w:tcPr>
          <w:p>
            <w:pPr>
              <w:spacing w:after="60" w:before="0"/>
              <w:jc w:val="center"/>
            </w:pPr>
            <w:r>
              <w:rPr>
                <w:rFonts w:ascii="Arial" w:cs="Arial" w:eastAsia="Arial" w:hAnsi="Arial"/>
                <w:b/>
                <w:bCs/>
                <w:color w:val="854F0B"/>
                <w:sz w:val="22"/>
                <w:szCs w:val="22"/>
              </w:rPr>
              <w:t xml:space="preserve">DAIRS FINAL SCORE</w:t>
            </w:r>
          </w:p>
          <w:p>
            <w:pPr>
              <w:spacing w:after="60" w:before="0"/>
              <w:jc w:val="center"/>
            </w:pPr>
            <w:r>
              <w:rPr>
                <w:rFonts w:ascii="Arial" w:cs="Arial" w:eastAsia="Arial" w:hAnsi="Arial"/>
                <w:b/>
                <w:bCs/>
                <w:color w:val="A32D2D"/>
                <w:sz w:val="52"/>
                <w:szCs w:val="52"/>
              </w:rPr>
              <w:t xml:space="preserve">21.4 / 100</w:t>
            </w:r>
          </w:p>
          <w:p>
            <w:pPr>
              <w:spacing w:after="60" w:before="0"/>
              <w:jc w:val="center"/>
            </w:pPr>
            <w:r>
              <w:rPr>
                <w:rFonts w:ascii="Arial" w:cs="Arial" w:eastAsia="Arial" w:hAnsi="Arial"/>
                <w:b/>
                <w:bCs/>
                <w:color w:val="A32D2D"/>
                <w:sz w:val="32"/>
                <w:szCs w:val="32"/>
              </w:rPr>
              <w:t xml:space="preserve">FRAGILE</w:t>
            </w:r>
          </w:p>
          <w:p>
            <w:pPr>
              <w:spacing w:after="0" w:before="0"/>
              <w:jc w:val="center"/>
            </w:pPr>
            <w:r>
              <w:rPr>
                <w:rFonts w:ascii="Arial" w:cs="Arial" w:eastAsia="Arial" w:hAnsi="Arial"/>
                <w:color w:val="5F5E5A"/>
                <w:sz w:val="20"/>
                <w:szCs w:val="20"/>
              </w:rPr>
              <w:t xml:space="preserve">NutriFlow Pvt Ltd  |  Readiness Phase  |  DAIRS v1</w:t>
            </w:r>
          </w:p>
        </w:tc>
      </w:tr>
    </w:tbl>
    <w:p>
      <w:pPr>
        <w:spacing w:after="120" w:before="120"/>
      </w:pPr>
      <w:r>
        <w:t xml:space="preserve"/>
      </w:r>
    </w:p>
    <w:p>
      <w:pPr>
        <w:pStyle w:val="Heading2"/>
        <w:pBdr>
          <w:bottom w:val="single" w:color="D6E4F0" w:sz="4"/>
        </w:pBdr>
        <w:spacing w:after="120" w:before="300"/>
      </w:pPr>
      <w:r>
        <w:rPr>
          <w:rFonts w:ascii="Arial" w:cs="Arial" w:eastAsia="Arial" w:hAnsi="Arial"/>
          <w:b/>
          <w:bCs/>
          <w:color w:val="1F4E79"/>
          <w:sz w:val="28"/>
          <w:szCs w:val="28"/>
        </w:rPr>
        <w:t xml:space="preserve">8.7 Full Calculation Chain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560"/>
        <w:gridCol w:w="2800"/>
      </w:tblGrid>
      <w:tr>
        <w:trPr>
          <w:tblHeader/>
        </w:trPr>
        <w:tc>
          <w:tcPr>
            <w:tcW w:type="dxa" w:w="1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Step</w:t>
            </w:r>
          </w:p>
        </w:tc>
        <w:tc>
          <w:tcPr>
            <w:tcW w:type="dxa" w:w="5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Operation</w:t>
            </w:r>
          </w:p>
        </w:tc>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Result</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1</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Phase modulator: Phi(tau) = 1.00 [Readiness]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x 1.00</w:t>
            </w:r>
          </w:p>
        </w:tc>
      </w:tr>
      <w:tr>
        <w:tc>
          <w:tcPr>
            <w:tcW w:type="dxa" w:w="10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pPr>
              <w:spacing w:after="0" w:before="0"/>
            </w:pPr>
            <w:r>
              <w:rPr>
                <w:rFonts w:ascii="Arial" w:cs="Arial" w:eastAsia="Arial" w:hAnsi="Arial"/>
                <w:sz w:val="20"/>
                <w:szCs w:val="20"/>
              </w:rPr>
              <w:t xml:space="preserve">2</w:t>
            </w:r>
          </w:p>
        </w:tc>
        <w:tc>
          <w:tcPr>
            <w:tcW w:type="dxa" w:w="556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pPr>
              <w:spacing w:after="0" w:before="0"/>
            </w:pPr>
            <w:r>
              <w:rPr>
                <w:rFonts w:ascii="Arial" w:cs="Arial" w:eastAsia="Arial" w:hAnsi="Arial"/>
                <w:sz w:val="20"/>
                <w:szCs w:val="20"/>
              </w:rPr>
              <w:t xml:space="preserve">Weighted components: 100 x 1.00 x 0.3264</w:t>
            </w:r>
          </w:p>
        </w:tc>
        <w:tc>
          <w:tcPr>
            <w:tcW w:type="dxa" w:w="28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pPr>
              <w:spacing w:after="0" w:before="0"/>
            </w:pPr>
            <w:r>
              <w:rPr>
                <w:rFonts w:ascii="Arial" w:cs="Arial" w:eastAsia="Arial" w:hAnsi="Arial"/>
                <w:sz w:val="20"/>
                <w:szCs w:val="20"/>
              </w:rPr>
              <w:t xml:space="preserve">= 32.64</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3</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Interaction penalty: x 0.97804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 31.93</w:t>
            </w:r>
          </w:p>
        </w:tc>
      </w:tr>
      <w:tr>
        <w:tc>
          <w:tcPr>
            <w:tcW w:type="dxa" w:w="10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pPr>
              <w:spacing w:after="0" w:before="0"/>
            </w:pPr>
            <w:r>
              <w:rPr>
                <w:rFonts w:ascii="Arial" w:cs="Arial" w:eastAsia="Arial" w:hAnsi="Arial"/>
                <w:sz w:val="20"/>
                <w:szCs w:val="20"/>
              </w:rPr>
              <w:t xml:space="preserve">4</w:t>
            </w:r>
          </w:p>
        </w:tc>
        <w:tc>
          <w:tcPr>
            <w:tcW w:type="dxa" w:w="556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pPr>
              <w:spacing w:after="0" w:before="0"/>
            </w:pPr>
            <w:r>
              <w:rPr>
                <w:rFonts w:ascii="Arial" w:cs="Arial" w:eastAsia="Arial" w:hAnsi="Arial"/>
                <w:sz w:val="20"/>
                <w:szCs w:val="20"/>
              </w:rPr>
              <w:t xml:space="preserve">Trajectory multiplier: x 1.00425</w:t>
            </w:r>
          </w:p>
        </w:tc>
        <w:tc>
          <w:tcPr>
            <w:tcW w:type="dxa" w:w="28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pPr>
              <w:spacing w:after="0" w:before="0"/>
            </w:pPr>
            <w:r>
              <w:rPr>
                <w:rFonts w:ascii="Arial" w:cs="Arial" w:eastAsia="Arial" w:hAnsi="Arial"/>
                <w:sz w:val="20"/>
                <w:szCs w:val="20"/>
              </w:rPr>
              <w:t xml:space="preserve">= 32.07</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5</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Confidence discount: x Psi (0.6685)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 21.44</w:t>
            </w:r>
          </w:p>
        </w:tc>
      </w:tr>
      <w:tr>
        <w:tc>
          <w:tcPr>
            <w:tcW w:type="dxa" w:w="10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pPr>
              <w:spacing w:after="0" w:before="0"/>
            </w:pPr>
            <w:r>
              <w:rPr>
                <w:rFonts w:ascii="Arial" w:cs="Arial" w:eastAsia="Arial" w:hAnsi="Arial"/>
                <w:sz w:val="20"/>
                <w:szCs w:val="20"/>
              </w:rPr>
              <w:t xml:space="preserve">FINAL</w:t>
            </w:r>
          </w:p>
        </w:tc>
        <w:tc>
          <w:tcPr>
            <w:tcW w:type="dxa" w:w="556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pPr>
              <w:spacing w:after="0" w:before="0"/>
            </w:pPr>
            <w:r>
              <w:rPr>
                <w:rFonts w:ascii="Arial" w:cs="Arial" w:eastAsia="Arial" w:hAnsi="Arial"/>
                <w:sz w:val="20"/>
                <w:szCs w:val="20"/>
              </w:rPr>
              <w:t xml:space="preserve">DAIRS_plan score</w:t>
            </w:r>
          </w:p>
        </w:tc>
        <w:tc>
          <w:tcPr>
            <w:tcW w:type="dxa" w:w="28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pPr>
              <w:spacing w:after="0" w:before="0"/>
            </w:pPr>
            <w:r>
              <w:rPr>
                <w:rFonts w:ascii="Arial" w:cs="Arial" w:eastAsia="Arial" w:hAnsi="Arial"/>
                <w:sz w:val="20"/>
                <w:szCs w:val="20"/>
              </w:rPr>
              <w:t xml:space="preserve">21.4</w:t>
            </w:r>
          </w:p>
        </w:tc>
      </w:tr>
    </w:tbl>
    <w:p>
      <w:pPr>
        <w:spacing w:after="120" w:before="120"/>
      </w:pPr>
      <w:r>
        <w:t xml:space="preserve"/>
      </w:r>
    </w:p>
    <w:p>
      <w:pPr>
        <w:pStyle w:val="Heading2"/>
        <w:pBdr>
          <w:bottom w:val="single" w:color="D6E4F0" w:sz="4"/>
        </w:pBdr>
        <w:spacing w:after="120" w:before="300"/>
      </w:pPr>
      <w:r>
        <w:rPr>
          <w:rFonts w:ascii="Arial" w:cs="Arial" w:eastAsia="Arial" w:hAnsi="Arial"/>
          <w:b/>
          <w:bCs/>
          <w:color w:val="1F4E79"/>
          <w:sz w:val="28"/>
          <w:szCs w:val="28"/>
        </w:rPr>
        <w:t xml:space="preserve">8.8 Priority Recommendations</w:t>
      </w:r>
    </w:p>
    <w:p>
      <w:pPr>
        <w:spacing w:after="100" w:before="60"/>
      </w:pPr>
      <w:r>
        <w:rPr>
          <w:rFonts w:ascii="Arial" w:cs="Arial" w:eastAsia="Arial" w:hAnsi="Arial"/>
          <w:sz w:val="22"/>
          <w:szCs w:val="22"/>
        </w:rPr>
        <w:t xml:space="preserve">Actions ranked by DAIRS impact, from business plan evaluation: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6000"/>
        <w:gridCol w:w="2560"/>
      </w:tblGrid>
      <w:tr>
        <w:trPr>
          <w:tblHeader/>
        </w:trPr>
        <w:tc>
          <w:tcPr>
            <w:tcW w:type="dxa" w:w="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Rank</w:t>
            </w:r>
          </w:p>
        </w:tc>
        <w:tc>
          <w:tcPr>
            <w:tcW w:type="dxa" w:w="6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Action</w:t>
            </w:r>
          </w:p>
        </w:tc>
        <w:tc>
          <w:tcPr>
            <w:tcW w:type="dxa" w:w="2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Est. DAIRS Impact</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1</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Qualify backup for Pune mfg, cold-chain partner, and contract packager</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+12 pts</w:t>
            </w:r>
          </w:p>
        </w:tc>
      </w:tr>
      <w:tr>
        <w:tc>
          <w:tcPr>
            <w:tcW w:type="dxa" w:w="8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pPr>
              <w:spacing w:after="0" w:before="0"/>
            </w:pPr>
            <w:r>
              <w:rPr>
                <w:rFonts w:ascii="Arial" w:cs="Arial" w:eastAsia="Arial" w:hAnsi="Arial"/>
                <w:sz w:val="20"/>
                <w:szCs w:val="20"/>
              </w:rPr>
              <w:t xml:space="preserve">2</w:t>
            </w:r>
          </w:p>
        </w:tc>
        <w:tc>
          <w:tcPr>
            <w:tcW w:type="dxa" w:w="60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pPr>
              <w:spacing w:after="0" w:before="0"/>
            </w:pPr>
            <w:r>
              <w:rPr>
                <w:rFonts w:ascii="Arial" w:cs="Arial" w:eastAsia="Arial" w:hAnsi="Arial"/>
                <w:sz w:val="20"/>
                <w:szCs w:val="20"/>
              </w:rPr>
              <w:t xml:space="preserve">Deploy basic ERP or supplier portal (e.g. Zoho Inventory)</w:t>
            </w:r>
          </w:p>
        </w:tc>
        <w:tc>
          <w:tcPr>
            <w:tcW w:type="dxa" w:w="256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pPr>
              <w:spacing w:after="0" w:before="0"/>
            </w:pPr>
            <w:r>
              <w:rPr>
                <w:rFonts w:ascii="Arial" w:cs="Arial" w:eastAsia="Arial" w:hAnsi="Arial"/>
                <w:sz w:val="20"/>
                <w:szCs w:val="20"/>
              </w:rPr>
              <w:t xml:space="preserve">+8 pts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3</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Convert supplier MOUs to multi-year contracts (2+ years)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+4 pts</w:t>
            </w:r>
          </w:p>
        </w:tc>
      </w:tr>
      <w:tr>
        <w:tc>
          <w:tcPr>
            <w:tcW w:type="dxa" w:w="8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pPr>
              <w:spacing w:after="0" w:before="0"/>
            </w:pPr>
            <w:r>
              <w:rPr>
                <w:rFonts w:ascii="Arial" w:cs="Arial" w:eastAsia="Arial" w:hAnsi="Arial"/>
                <w:sz w:val="20"/>
                <w:szCs w:val="20"/>
              </w:rPr>
              <w:t xml:space="preserve">4</w:t>
            </w:r>
          </w:p>
        </w:tc>
        <w:tc>
          <w:tcPr>
            <w:tcW w:type="dxa" w:w="60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pPr>
              <w:spacing w:after="0" w:before="0"/>
            </w:pPr>
            <w:r>
              <w:rPr>
                <w:rFonts w:ascii="Arial" w:cs="Arial" w:eastAsia="Arial" w:hAnsi="Arial"/>
                <w:sz w:val="20"/>
                <w:szCs w:val="20"/>
              </w:rPr>
              <w:t xml:space="preserve">Qualify alternate source for proprietary flavour compounds</w:t>
            </w:r>
          </w:p>
        </w:tc>
        <w:tc>
          <w:tcPr>
            <w:tcW w:type="dxa" w:w="256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pPr>
              <w:spacing w:after="0" w:before="0"/>
            </w:pPr>
            <w:r>
              <w:rPr>
                <w:rFonts w:ascii="Arial" w:cs="Arial" w:eastAsia="Arial" w:hAnsi="Arial"/>
                <w:sz w:val="20"/>
                <w:szCs w:val="20"/>
              </w:rPr>
              <w:t xml:space="preserve">+2 pts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1F5EE" w:val="clear"/>
            <w:tcMar>
              <w:top w:type="dxa" w:w="120"/>
              <w:left w:type="dxa" w:w="200"/>
              <w:bottom w:type="dxa" w:w="120"/>
              <w:right w:type="dxa" w:w="200"/>
            </w:tcMar>
          </w:tcPr>
          <w:p>
            <w:pPr>
              <w:spacing w:after="40" w:before="0"/>
            </w:pPr>
            <w:r>
              <w:rPr>
                <w:rFonts w:ascii="Arial" w:cs="Arial" w:eastAsia="Arial" w:hAnsi="Arial"/>
                <w:b/>
                <w:bCs/>
                <w:color w:val="0F6E56"/>
                <w:sz w:val="20"/>
                <w:szCs w:val="20"/>
              </w:rPr>
              <w:t xml:space="preserve">Projected Score</w:t>
            </w:r>
          </w:p>
          <w:p>
            <w:pPr>
              <w:spacing w:after="0" w:before="0"/>
            </w:pPr>
            <w:r>
              <w:rPr>
                <w:rFonts w:ascii="Arial" w:cs="Arial" w:eastAsia="Arial" w:hAnsi="Arial"/>
                <w:color w:val="1A1A1A"/>
                <w:sz w:val="20"/>
                <w:szCs w:val="20"/>
              </w:rPr>
              <w:t xml:space="preserve">Implementing all four recommendations and improving evidence quality to 0.85 average would project a revised DAIRS of approximately 58–62 — moving NutriFlow from Fragile to Moderate, the minimum acceptable threshold for institutional investment readiness.</w:t>
            </w:r>
          </w:p>
        </w:tc>
      </w:tr>
    </w:tbl>
    <w:sectPr>
      <w:head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6E4F0" w:sz="2"/>
      </w:pBdr>
      <w:tabs>
        <w:tab w:val="right" w:pos="9026"/>
      </w:tabs>
      <w:spacing w:after="120"/>
    </w:pPr>
    <w:r>
      <w:rPr>
        <w:rFonts w:ascii="Arial" w:cs="Arial" w:eastAsia="Arial" w:hAnsi="Arial"/>
        <w:color w:val="5F5E5A"/>
        <w:sz w:val="18"/>
        <w:szCs w:val="18"/>
      </w:rPr>
      <w:t xml:space="preserve">Supply Chain Resilience — Research Consolidation</w:t>
    </w:r>
    <w:r>
      <w:rPr>
        <w:rFonts w:ascii="Arial" w:cs="Arial" w:eastAsia="Arial" w:hAnsi="Arial"/>
        <w:sz w:val="18"/>
        <w:szCs w:val="18"/>
      </w:rPr>
      <w:t xml:space="preserve">	</w:t>
    </w:r>
    <w:r>
      <w:rPr>
        <w:rFonts w:ascii="Arial" w:cs="Arial" w:eastAsia="Arial" w:hAnsi="Arial"/>
        <w:color w:val="5F5E5A"/>
        <w:sz w:val="18"/>
        <w:szCs w:val="18"/>
      </w:rPr>
      <w:t xml:space="preserve">Page </w:t>
    </w:r>
    <w:r>
      <w:rPr>
        <w:rFonts w:ascii="Arial" w:cs="Arial" w:eastAsia="Arial" w:hAnsi="Arial"/>
        <w:color w:val="5F5E5A"/>
        <w:sz w:val="18"/>
        <w:szCs w:val="18"/>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FFFFFF"/>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1F4E79"/>
      <w:sz w:val="28"/>
      <w:szCs w:val="28"/>
    </w:rPr>
  </w:style>
  <w:style w:type="paragraph" w:styleId="Heading3">
    <w:name w:val="Heading 3"/>
    <w:basedOn w:val="Normal"/>
    <w:next w:val="Normal"/>
    <w:qFormat/>
    <w:pPr>
      <w:spacing w:after="80" w:before="180"/>
      <w:outlineLvl w:val="2"/>
    </w:pPr>
    <w:rPr>
      <w:rFonts w:ascii="Arial" w:cs="Arial" w:eastAsia="Arial" w:hAnsi="Arial"/>
      <w:b/>
      <w:bCs/>
      <w:color w:val="185FA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2026-06-27T11:32:34.384Z</dcterms:created>
  <dcterms:modified xsi:type="dcterms:W3CDTF">2026-06-27T11:32:34.384Z</dcterms:modified>
</cp:coreProperties>
</file>

<file path=docProps/custom.xml><?xml version="1.0" encoding="utf-8"?>
<Properties xmlns="http://schemas.openxmlformats.org/officeDocument/2006/custom-properties" xmlns:vt="http://schemas.openxmlformats.org/officeDocument/2006/docPropsVTypes"/>
</file>