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rFonts w:ascii="Arial" w:hAnsi="Arial"/>
          <w:b/>
          <w:color w:val="1F487E"/>
          <w:sz w:val="60"/>
        </w:rPr>
        <w:t>CloudRobotics Co.</w:t>
      </w:r>
    </w:p>
    <w:p>
      <w:pPr>
        <w:spacing w:before="0" w:after="80"/>
        <w:jc w:val="center"/>
      </w:pPr>
      <w:r>
        <w:rPr>
          <w:rFonts w:ascii="Arial" w:hAnsi="Arial"/>
          <w:b/>
          <w:color w:val="2E74B5"/>
          <w:sz w:val="40"/>
        </w:rPr>
        <w:t>Business Plan</w:t>
      </w:r>
    </w:p>
    <w:p>
      <w:pPr>
        <w:spacing w:before="0" w:after="80"/>
        <w:jc w:val="center"/>
      </w:pPr>
      <w:r>
        <w:rPr>
          <w:rFonts w:ascii="Arial" w:hAnsi="Arial"/>
          <w:b w:val="0"/>
          <w:color w:val="404040"/>
          <w:sz w:val="26"/>
        </w:rPr>
        <w:t>Series A Funding Round — INR 30 Crore</w:t>
      </w:r>
    </w:p>
    <w:p>
      <w:pPr>
        <w:spacing w:before="0" w:after="0"/>
        <w:jc w:val="center"/>
      </w:pPr>
      <w:r>
        <w:rPr>
          <w:rFonts w:ascii="Arial" w:hAnsi="Arial"/>
          <w:b w:val="0"/>
          <w:color w:val="808080"/>
          <w:sz w:val="20"/>
        </w:rPr>
        <w:t>Strictly Confidential  |  June 2026</w:t>
      </w:r>
    </w:p>
    <w:p>
      <w:r>
        <w:br w:type="page"/>
      </w:r>
    </w:p>
    <w:p>
      <w:pPr>
        <w:pStyle w:val="Heading1"/>
      </w:pPr>
      <w:r>
        <w:t>1. Executive Summary</w:t>
      </w:r>
    </w:p>
    <w:p>
      <w:pPr>
        <w:spacing w:after="120"/>
      </w:pPr>
      <w:r>
        <w:rPr>
          <w:b w:val="0"/>
          <w:i w:val="0"/>
        </w:rPr>
        <w:t>CloudRobotics Co. is an early-stage deep-tech company headquartered in Bengaluru, India, building the world's first cloud-configurable, task-agnostic industrial robot platform. A single CloudRobotics unit ships with all hardware necessary for a broad range of manufacturing operations. Its behaviour is governed entirely by a cloud-based control plane — an authorised administrator can reassign a robot from body-assembly to quality-inspection to material-handling in seconds, with no physical retooling.</w:t>
      </w:r>
    </w:p>
    <w:p>
      <w:pPr>
        <w:spacing w:after="120"/>
      </w:pPr>
      <w:r>
        <w:rPr>
          <w:b w:val="0"/>
          <w:i w:val="0"/>
        </w:rPr>
        <w:t>The global industrial robotics market is projected to reach USD 74 billion by 2030, growing at ~14% CAGR. India's automotive sector — the primary beachhead — deploys over 4,500 robots annually and is under acute pressure to increase flexibility and reduce retooling costs. CloudRobotics directly addresses this gap.</w:t>
      </w:r>
    </w:p>
    <w:p>
      <w:pPr>
        <w:spacing w:after="120"/>
      </w:pPr>
      <w:r>
        <w:rPr>
          <w:b w:val="0"/>
          <w:i w:val="0"/>
        </w:rPr>
        <w:t>The company has completed a functional prototype, initiated a paid pilot with a Tier-1 automotive supplier in Pune, and filed two provisional patents. The founding team combines 27 years of combined experience in robotics hardware, cloud engineering, and automotive manufacturing.</w:t>
      </w:r>
    </w:p>
    <w:p>
      <w:pPr>
        <w:spacing w:after="80"/>
      </w:pPr>
      <w:r>
        <w:rPr>
          <w:b w:val="0"/>
          <w:i w:val="0"/>
        </w:rPr>
        <w:t>CloudRobotics is raising INR 30 Crore in a Series A round to:</w:t>
      </w:r>
    </w:p>
    <w:p>
      <w:pPr>
        <w:pStyle w:val="ListBullet"/>
        <w:spacing w:after="60"/>
        <w:ind w:left="432"/>
      </w:pPr>
      <w:r>
        <w:t>Scale hardware production to 200 units by end of FY2027.</w:t>
      </w:r>
    </w:p>
    <w:p>
      <w:pPr>
        <w:pStyle w:val="ListBullet"/>
        <w:spacing w:after="60"/>
        <w:ind w:left="432"/>
      </w:pPr>
      <w:r>
        <w:t>Expand the cloud control platform with 10 additional task profiles.</w:t>
      </w:r>
    </w:p>
    <w:p>
      <w:pPr>
        <w:pStyle w:val="ListBullet"/>
        <w:spacing w:after="60"/>
        <w:ind w:left="432"/>
      </w:pPr>
      <w:r>
        <w:t>Build a 25-person direct sales and customer success organisation.</w:t>
      </w:r>
    </w:p>
    <w:p>
      <w:pPr>
        <w:pStyle w:val="ListBullet"/>
        <w:spacing w:after="60"/>
        <w:ind w:left="432"/>
      </w:pPr>
      <w:r>
        <w:t>Achieve revenue of INR 38 Cr by FY2028 and EBITDA breakeven by Q3 FY2028.</w:t>
      </w:r>
    </w:p>
    <w:p>
      <w:pPr>
        <w:spacing w:after="80"/>
      </w:pPr>
    </w:p>
    <w:tbl>
      <w:tblPr>
        <w:tblStyle w:val="TableGrid"/>
        <w:tblW w:type="auto" w:w="0"/>
        <w:tblLook w:firstColumn="1" w:firstRow="1" w:lastColumn="0" w:lastRow="0" w:noHBand="0" w:noVBand="1" w:val="04A0"/>
      </w:tblPr>
      <w:tblGrid>
        <w:gridCol w:w="4392"/>
        <w:gridCol w:w="4392"/>
      </w:tblGrid>
      <w:tr>
        <w:tc>
          <w:tcPr>
            <w:tcW w:type="dxa" w:w="4320"/>
            <w:shd w:val="clear" w:color="auto" w:fill="1F487E"/>
          </w:tcPr>
          <w:p>
            <w:r>
              <w:rPr>
                <w:rFonts w:ascii="Arial" w:hAnsi="Arial"/>
                <w:b/>
                <w:color w:val="FFFFFF"/>
                <w:sz w:val="20"/>
              </w:rPr>
              <w:t>Metric</w:t>
            </w:r>
          </w:p>
        </w:tc>
        <w:tc>
          <w:tcPr>
            <w:tcW w:type="dxa" w:w="5184"/>
            <w:shd w:val="clear" w:color="auto" w:fill="1F487E"/>
          </w:tcPr>
          <w:p>
            <w:r>
              <w:rPr>
                <w:rFonts w:ascii="Arial" w:hAnsi="Arial"/>
                <w:b/>
                <w:color w:val="FFFFFF"/>
                <w:sz w:val="20"/>
              </w:rPr>
              <w:t>Value</w:t>
            </w:r>
          </w:p>
        </w:tc>
      </w:tr>
      <w:tr>
        <w:tc>
          <w:tcPr>
            <w:tcW w:type="dxa" w:w="4320"/>
          </w:tcPr>
          <w:p>
            <w:r>
              <w:rPr>
                <w:rFonts w:ascii="Arial" w:hAnsi="Arial"/>
                <w:b/>
                <w:sz w:val="20"/>
              </w:rPr>
              <w:t>Funding Stage</w:t>
            </w:r>
          </w:p>
        </w:tc>
        <w:tc>
          <w:tcPr>
            <w:tcW w:type="dxa" w:w="5184"/>
          </w:tcPr>
          <w:p>
            <w:r>
              <w:rPr>
                <w:rFonts w:ascii="Arial" w:hAnsi="Arial"/>
                <w:sz w:val="20"/>
              </w:rPr>
              <w:t>Series A</w:t>
            </w:r>
          </w:p>
        </w:tc>
      </w:tr>
      <w:tr>
        <w:tc>
          <w:tcPr>
            <w:tcW w:type="dxa" w:w="4320"/>
          </w:tcPr>
          <w:p>
            <w:r>
              <w:rPr>
                <w:rFonts w:ascii="Arial" w:hAnsi="Arial"/>
                <w:b/>
                <w:sz w:val="20"/>
              </w:rPr>
              <w:t>Amount Sought</w:t>
            </w:r>
          </w:p>
        </w:tc>
        <w:tc>
          <w:tcPr>
            <w:tcW w:type="dxa" w:w="5184"/>
          </w:tcPr>
          <w:p>
            <w:r>
              <w:rPr>
                <w:rFonts w:ascii="Arial" w:hAnsi="Arial"/>
                <w:sz w:val="20"/>
              </w:rPr>
              <w:t>INR 30 Crore</w:t>
            </w:r>
          </w:p>
        </w:tc>
      </w:tr>
      <w:tr>
        <w:tc>
          <w:tcPr>
            <w:tcW w:type="dxa" w:w="4320"/>
          </w:tcPr>
          <w:p>
            <w:r>
              <w:rPr>
                <w:rFonts w:ascii="Arial" w:hAnsi="Arial"/>
                <w:b/>
                <w:sz w:val="20"/>
              </w:rPr>
              <w:t>Pre-money Valuation</w:t>
            </w:r>
          </w:p>
        </w:tc>
        <w:tc>
          <w:tcPr>
            <w:tcW w:type="dxa" w:w="5184"/>
          </w:tcPr>
          <w:p>
            <w:r>
              <w:rPr>
                <w:rFonts w:ascii="Arial" w:hAnsi="Arial"/>
                <w:sz w:val="20"/>
              </w:rPr>
              <w:t>INR 120 Crore  (indicative)</w:t>
            </w:r>
          </w:p>
        </w:tc>
      </w:tr>
      <w:tr>
        <w:tc>
          <w:tcPr>
            <w:tcW w:type="dxa" w:w="4320"/>
          </w:tcPr>
          <w:p>
            <w:r>
              <w:rPr>
                <w:rFonts w:ascii="Arial" w:hAnsi="Arial"/>
                <w:b/>
                <w:sz w:val="20"/>
              </w:rPr>
              <w:t>Current Investors</w:t>
            </w:r>
          </w:p>
        </w:tc>
        <w:tc>
          <w:tcPr>
            <w:tcW w:type="dxa" w:w="5184"/>
          </w:tcPr>
          <w:p>
            <w:r>
              <w:rPr>
                <w:rFonts w:ascii="Arial" w:hAnsi="Arial"/>
                <w:sz w:val="20"/>
              </w:rPr>
              <w:t>SeedFund Ventures + 3 Angels</w:t>
            </w:r>
          </w:p>
        </w:tc>
      </w:tr>
      <w:tr>
        <w:tc>
          <w:tcPr>
            <w:tcW w:type="dxa" w:w="4320"/>
          </w:tcPr>
          <w:p>
            <w:r>
              <w:rPr>
                <w:rFonts w:ascii="Arial" w:hAnsi="Arial"/>
                <w:b/>
                <w:sz w:val="20"/>
              </w:rPr>
              <w:t>Seed Capital Raised</w:t>
            </w:r>
          </w:p>
        </w:tc>
        <w:tc>
          <w:tcPr>
            <w:tcW w:type="dxa" w:w="5184"/>
          </w:tcPr>
          <w:p>
            <w:r>
              <w:rPr>
                <w:rFonts w:ascii="Arial" w:hAnsi="Arial"/>
                <w:sz w:val="20"/>
              </w:rPr>
              <w:t>INR 3.5 Crore (2025)</w:t>
            </w:r>
          </w:p>
        </w:tc>
      </w:tr>
      <w:tr>
        <w:tc>
          <w:tcPr>
            <w:tcW w:type="dxa" w:w="4320"/>
          </w:tcPr>
          <w:p>
            <w:r>
              <w:rPr>
                <w:rFonts w:ascii="Arial" w:hAnsi="Arial"/>
                <w:b/>
                <w:sz w:val="20"/>
              </w:rPr>
              <w:t>Projected Revenue FY28</w:t>
            </w:r>
          </w:p>
        </w:tc>
        <w:tc>
          <w:tcPr>
            <w:tcW w:type="dxa" w:w="5184"/>
          </w:tcPr>
          <w:p>
            <w:r>
              <w:rPr>
                <w:rFonts w:ascii="Arial" w:hAnsi="Arial"/>
                <w:sz w:val="20"/>
              </w:rPr>
              <w:t>INR 38 Crore</w:t>
            </w:r>
          </w:p>
        </w:tc>
      </w:tr>
      <w:tr>
        <w:tc>
          <w:tcPr>
            <w:tcW w:type="dxa" w:w="4320"/>
          </w:tcPr>
          <w:p>
            <w:r>
              <w:rPr>
                <w:rFonts w:ascii="Arial" w:hAnsi="Arial"/>
                <w:b/>
                <w:sz w:val="20"/>
              </w:rPr>
              <w:t>Projected EBITDA FY28</w:t>
            </w:r>
          </w:p>
        </w:tc>
        <w:tc>
          <w:tcPr>
            <w:tcW w:type="dxa" w:w="5184"/>
          </w:tcPr>
          <w:p>
            <w:r>
              <w:rPr>
                <w:rFonts w:ascii="Arial" w:hAnsi="Arial"/>
                <w:sz w:val="20"/>
              </w:rPr>
              <w:t>INR 4 Crore (breakeven)</w:t>
            </w:r>
          </w:p>
        </w:tc>
      </w:tr>
      <w:tr>
        <w:tc>
          <w:tcPr>
            <w:tcW w:type="dxa" w:w="4320"/>
          </w:tcPr>
          <w:p>
            <w:r>
              <w:rPr>
                <w:rFonts w:ascii="Arial" w:hAnsi="Arial"/>
                <w:b/>
                <w:sz w:val="20"/>
              </w:rPr>
              <w:t>5-Year Revenue Target</w:t>
            </w:r>
          </w:p>
        </w:tc>
        <w:tc>
          <w:tcPr>
            <w:tcW w:type="dxa" w:w="5184"/>
          </w:tcPr>
          <w:p>
            <w:r>
              <w:rPr>
                <w:rFonts w:ascii="Arial" w:hAnsi="Arial"/>
                <w:sz w:val="20"/>
              </w:rPr>
              <w:t>INR 160 Crore (FY2030)</w:t>
            </w:r>
          </w:p>
        </w:tc>
      </w:tr>
    </w:tbl>
    <w:p>
      <w:pPr>
        <w:spacing w:after="80"/>
      </w:pPr>
    </w:p>
    <w:p>
      <w:pPr>
        <w:pStyle w:val="Heading1"/>
      </w:pPr>
      <w:r>
        <w:t>2. Company Overview</w:t>
      </w:r>
    </w:p>
    <w:tbl>
      <w:tblPr>
        <w:tblStyle w:val="TableGrid"/>
        <w:tblW w:type="auto" w:w="0"/>
        <w:tblLook w:firstColumn="1" w:firstRow="1" w:lastColumn="0" w:lastRow="0" w:noHBand="0" w:noVBand="1" w:val="04A0"/>
      </w:tblPr>
      <w:tblGrid>
        <w:gridCol w:w="4392"/>
        <w:gridCol w:w="4392"/>
      </w:tblGrid>
      <w:tr>
        <w:tc>
          <w:tcPr>
            <w:tcW w:type="dxa" w:w="3456"/>
            <w:shd w:val="clear" w:color="auto" w:fill="1F487E"/>
          </w:tcPr>
          <w:p>
            <w:r>
              <w:rPr>
                <w:rFonts w:ascii="Arial" w:hAnsi="Arial"/>
                <w:b/>
                <w:color w:val="FFFFFF"/>
                <w:sz w:val="20"/>
              </w:rPr>
              <w:t>Field</w:t>
            </w:r>
          </w:p>
        </w:tc>
        <w:tc>
          <w:tcPr>
            <w:tcW w:type="dxa" w:w="6048"/>
            <w:shd w:val="clear" w:color="auto" w:fill="1F487E"/>
          </w:tcPr>
          <w:p>
            <w:r>
              <w:rPr>
                <w:rFonts w:ascii="Arial" w:hAnsi="Arial"/>
                <w:b/>
                <w:color w:val="FFFFFF"/>
                <w:sz w:val="20"/>
              </w:rPr>
              <w:t>Detail</w:t>
            </w:r>
          </w:p>
        </w:tc>
      </w:tr>
      <w:tr>
        <w:tc>
          <w:tcPr>
            <w:tcW w:type="dxa" w:w="3456"/>
          </w:tcPr>
          <w:p>
            <w:r>
              <w:rPr>
                <w:rFonts w:ascii="Arial" w:hAnsi="Arial"/>
                <w:b/>
                <w:sz w:val="20"/>
              </w:rPr>
              <w:t>Legal Name</w:t>
            </w:r>
          </w:p>
        </w:tc>
        <w:tc>
          <w:tcPr>
            <w:tcW w:type="dxa" w:w="6048"/>
          </w:tcPr>
          <w:p>
            <w:r>
              <w:rPr>
                <w:rFonts w:ascii="Arial" w:hAnsi="Arial"/>
                <w:sz w:val="20"/>
              </w:rPr>
              <w:t>CloudRobotics Co. Private Limited</w:t>
            </w:r>
          </w:p>
        </w:tc>
      </w:tr>
      <w:tr>
        <w:tc>
          <w:tcPr>
            <w:tcW w:type="dxa" w:w="3456"/>
          </w:tcPr>
          <w:p>
            <w:r>
              <w:rPr>
                <w:rFonts w:ascii="Arial" w:hAnsi="Arial"/>
                <w:b/>
                <w:sz w:val="20"/>
              </w:rPr>
              <w:t>Incorporated</w:t>
            </w:r>
          </w:p>
        </w:tc>
        <w:tc>
          <w:tcPr>
            <w:tcW w:type="dxa" w:w="6048"/>
          </w:tcPr>
          <w:p>
            <w:r>
              <w:rPr>
                <w:rFonts w:ascii="Arial" w:hAnsi="Arial"/>
                <w:sz w:val="20"/>
              </w:rPr>
              <w:t>2025, Bengaluru, Karnataka, India</w:t>
            </w:r>
          </w:p>
        </w:tc>
      </w:tr>
      <w:tr>
        <w:tc>
          <w:tcPr>
            <w:tcW w:type="dxa" w:w="3456"/>
          </w:tcPr>
          <w:p>
            <w:r>
              <w:rPr>
                <w:rFonts w:ascii="Arial" w:hAnsi="Arial"/>
                <w:b/>
                <w:sz w:val="20"/>
              </w:rPr>
              <w:t>Sector</w:t>
            </w:r>
          </w:p>
        </w:tc>
        <w:tc>
          <w:tcPr>
            <w:tcW w:type="dxa" w:w="6048"/>
          </w:tcPr>
          <w:p>
            <w:r>
              <w:rPr>
                <w:rFonts w:ascii="Arial" w:hAnsi="Arial"/>
                <w:sz w:val="20"/>
              </w:rPr>
              <w:t>Advanced Manufacturing / Cloud-Connected Robotics (RaaS)</w:t>
            </w:r>
          </w:p>
        </w:tc>
      </w:tr>
      <w:tr>
        <w:tc>
          <w:tcPr>
            <w:tcW w:type="dxa" w:w="3456"/>
          </w:tcPr>
          <w:p>
            <w:r>
              <w:rPr>
                <w:rFonts w:ascii="Arial" w:hAnsi="Arial"/>
                <w:b/>
                <w:sz w:val="20"/>
              </w:rPr>
              <w:t>Stage</w:t>
            </w:r>
          </w:p>
        </w:tc>
        <w:tc>
          <w:tcPr>
            <w:tcW w:type="dxa" w:w="6048"/>
          </w:tcPr>
          <w:p>
            <w:r>
              <w:rPr>
                <w:rFonts w:ascii="Arial" w:hAnsi="Arial"/>
                <w:sz w:val="20"/>
              </w:rPr>
              <w:t>Early-stage — Seed completed, Series A in progress</w:t>
            </w:r>
          </w:p>
        </w:tc>
      </w:tr>
      <w:tr>
        <w:tc>
          <w:tcPr>
            <w:tcW w:type="dxa" w:w="3456"/>
          </w:tcPr>
          <w:p>
            <w:r>
              <w:rPr>
                <w:rFonts w:ascii="Arial" w:hAnsi="Arial"/>
                <w:b/>
                <w:sz w:val="20"/>
              </w:rPr>
              <w:t>Employees</w:t>
            </w:r>
          </w:p>
        </w:tc>
        <w:tc>
          <w:tcPr>
            <w:tcW w:type="dxa" w:w="6048"/>
          </w:tcPr>
          <w:p>
            <w:r>
              <w:rPr>
                <w:rFonts w:ascii="Arial" w:hAnsi="Arial"/>
                <w:sz w:val="20"/>
              </w:rPr>
              <w:t>12 FTEs (engineering, product, operations)</w:t>
            </w:r>
          </w:p>
        </w:tc>
      </w:tr>
      <w:tr>
        <w:tc>
          <w:tcPr>
            <w:tcW w:type="dxa" w:w="3456"/>
          </w:tcPr>
          <w:p>
            <w:r>
              <w:rPr>
                <w:rFonts w:ascii="Arial" w:hAnsi="Arial"/>
                <w:b/>
                <w:sz w:val="20"/>
              </w:rPr>
              <w:t>IP</w:t>
            </w:r>
          </w:p>
        </w:tc>
        <w:tc>
          <w:tcPr>
            <w:tcW w:type="dxa" w:w="6048"/>
          </w:tcPr>
          <w:p>
            <w:r>
              <w:rPr>
                <w:rFonts w:ascii="Arial" w:hAnsi="Arial"/>
                <w:sz w:val="20"/>
              </w:rPr>
              <w:t>2 provisional patents filed</w:t>
            </w:r>
          </w:p>
        </w:tc>
      </w:tr>
      <w:tr>
        <w:tc>
          <w:tcPr>
            <w:tcW w:type="dxa" w:w="3456"/>
          </w:tcPr>
          <w:p>
            <w:r>
              <w:rPr>
                <w:rFonts w:ascii="Arial" w:hAnsi="Arial"/>
                <w:b/>
                <w:sz w:val="20"/>
              </w:rPr>
              <w:t>Pilot Status</w:t>
            </w:r>
          </w:p>
        </w:tc>
        <w:tc>
          <w:tcPr>
            <w:tcW w:type="dxa" w:w="6048"/>
          </w:tcPr>
          <w:p>
            <w:r>
              <w:rPr>
                <w:rFonts w:ascii="Arial" w:hAnsi="Arial"/>
                <w:sz w:val="20"/>
              </w:rPr>
              <w:t>1 paid pilot, Tier-1 automotive supplier, Pune</w:t>
            </w:r>
          </w:p>
        </w:tc>
      </w:tr>
    </w:tbl>
    <w:p>
      <w:pPr>
        <w:spacing w:after="80"/>
      </w:pPr>
    </w:p>
    <w:p>
      <w:pPr>
        <w:pStyle w:val="Heading1"/>
      </w:pPr>
      <w:r>
        <w:t>3. Problem Statement &amp; Market Opportunity</w:t>
      </w:r>
    </w:p>
    <w:p>
      <w:pPr>
        <w:pStyle w:val="Heading2"/>
      </w:pPr>
      <w:r>
        <w:t>3.1  The Problem</w:t>
      </w:r>
    </w:p>
    <w:p>
      <w:pPr>
        <w:spacing w:after="120"/>
      </w:pPr>
      <w:r>
        <w:rPr>
          <w:b w:val="0"/>
          <w:i w:val="0"/>
        </w:rPr>
        <w:t>Industrial robots today are purpose-built. A welding robot welds; an inspection robot inspects. When production demand shifts — as it does constantly in automotive manufacturing — factories must physically retool, reprogram, or procure new robots. This creates three acute pain points:</w:t>
      </w:r>
    </w:p>
    <w:p>
      <w:pPr>
        <w:pStyle w:val="ListBullet"/>
        <w:spacing w:after="60"/>
        <w:ind w:left="432"/>
      </w:pPr>
      <w:r>
        <w:t>Retooling cost &amp; downtime: physical changeovers take hours to days and cost INR 5–20 lakh per event.</w:t>
      </w:r>
    </w:p>
    <w:p>
      <w:pPr>
        <w:pStyle w:val="ListBullet"/>
        <w:spacing w:after="60"/>
        <w:ind w:left="432"/>
      </w:pPr>
      <w:r>
        <w:t>Capital inefficiency: robots are idle during off-peak phases of their designated task.</w:t>
      </w:r>
    </w:p>
    <w:p>
      <w:pPr>
        <w:pStyle w:val="ListBullet"/>
        <w:spacing w:after="60"/>
        <w:ind w:left="432"/>
      </w:pPr>
      <w:r>
        <w:t>Inflexibility: OEMs cannot rapidly reconfigure production lines to meet model-mix changes or surge demand.</w:t>
      </w:r>
    </w:p>
    <w:p>
      <w:pPr>
        <w:pStyle w:val="Heading2"/>
      </w:pPr>
      <w:r>
        <w:t>3.2  Market Opportunity</w:t>
      </w:r>
    </w:p>
    <w:tbl>
      <w:tblPr>
        <w:tblStyle w:val="TableGrid"/>
        <w:tblW w:type="auto" w:w="0"/>
        <w:tblLook w:firstColumn="1" w:firstRow="1" w:lastColumn="0" w:lastRow="0" w:noHBand="0" w:noVBand="1" w:val="04A0"/>
      </w:tblPr>
      <w:tblGrid>
        <w:gridCol w:w="2196"/>
        <w:gridCol w:w="2196"/>
        <w:gridCol w:w="2196"/>
        <w:gridCol w:w="2196"/>
      </w:tblGrid>
      <w:tr>
        <w:tc>
          <w:tcPr>
            <w:tcW w:type="dxa" w:w="4032"/>
            <w:shd w:val="clear" w:color="auto" w:fill="1F487E"/>
          </w:tcPr>
          <w:p>
            <w:r>
              <w:rPr>
                <w:rFonts w:ascii="Arial" w:hAnsi="Arial"/>
                <w:b/>
                <w:color w:val="FFFFFF"/>
                <w:sz w:val="20"/>
              </w:rPr>
              <w:t>Market Segment</w:t>
            </w:r>
          </w:p>
        </w:tc>
        <w:tc>
          <w:tcPr>
            <w:tcW w:type="dxa" w:w="2160"/>
            <w:shd w:val="clear" w:color="auto" w:fill="1F487E"/>
          </w:tcPr>
          <w:p>
            <w:r>
              <w:rPr>
                <w:rFonts w:ascii="Arial" w:hAnsi="Arial"/>
                <w:b/>
                <w:color w:val="FFFFFF"/>
                <w:sz w:val="20"/>
              </w:rPr>
              <w:t>Size (2024)</w:t>
            </w:r>
          </w:p>
        </w:tc>
        <w:tc>
          <w:tcPr>
            <w:tcW w:type="dxa" w:w="1440"/>
            <w:shd w:val="clear" w:color="auto" w:fill="1F487E"/>
          </w:tcPr>
          <w:p>
            <w:r>
              <w:rPr>
                <w:rFonts w:ascii="Arial" w:hAnsi="Arial"/>
                <w:b/>
                <w:color w:val="FFFFFF"/>
                <w:sz w:val="20"/>
              </w:rPr>
              <w:t>CAGR</w:t>
            </w:r>
          </w:p>
        </w:tc>
        <w:tc>
          <w:tcPr>
            <w:tcW w:type="dxa" w:w="1872"/>
            <w:shd w:val="clear" w:color="auto" w:fill="1F487E"/>
          </w:tcPr>
          <w:p>
            <w:r>
              <w:rPr>
                <w:rFonts w:ascii="Arial" w:hAnsi="Arial"/>
                <w:b/>
                <w:color w:val="FFFFFF"/>
                <w:sz w:val="20"/>
              </w:rPr>
              <w:t>Size (2030E)</w:t>
            </w:r>
          </w:p>
        </w:tc>
      </w:tr>
      <w:tr>
        <w:tc>
          <w:tcPr>
            <w:tcW w:type="dxa" w:w="4032"/>
          </w:tcPr>
          <w:p>
            <w:r>
              <w:rPr>
                <w:rFonts w:ascii="Arial" w:hAnsi="Arial"/>
                <w:sz w:val="20"/>
              </w:rPr>
              <w:t>Global Industrial Robotics</w:t>
            </w:r>
          </w:p>
        </w:tc>
        <w:tc>
          <w:tcPr>
            <w:tcW w:type="dxa" w:w="2160"/>
          </w:tcPr>
          <w:p>
            <w:r>
              <w:rPr>
                <w:rFonts w:ascii="Arial" w:hAnsi="Arial"/>
                <w:sz w:val="20"/>
              </w:rPr>
              <w:t>USD 32 Bn</w:t>
            </w:r>
          </w:p>
        </w:tc>
        <w:tc>
          <w:tcPr>
            <w:tcW w:type="dxa" w:w="1440"/>
          </w:tcPr>
          <w:p>
            <w:r>
              <w:rPr>
                <w:rFonts w:ascii="Arial" w:hAnsi="Arial"/>
                <w:sz w:val="20"/>
              </w:rPr>
              <w:t>~14%</w:t>
            </w:r>
          </w:p>
        </w:tc>
        <w:tc>
          <w:tcPr>
            <w:tcW w:type="dxa" w:w="1872"/>
          </w:tcPr>
          <w:p>
            <w:r>
              <w:rPr>
                <w:rFonts w:ascii="Arial" w:hAnsi="Arial"/>
                <w:sz w:val="20"/>
              </w:rPr>
              <w:t>USD 74 Bn</w:t>
            </w:r>
          </w:p>
        </w:tc>
      </w:tr>
      <w:tr>
        <w:tc>
          <w:tcPr>
            <w:tcW w:type="dxa" w:w="4032"/>
          </w:tcPr>
          <w:p>
            <w:r>
              <w:rPr>
                <w:rFonts w:ascii="Arial" w:hAnsi="Arial"/>
                <w:sz w:val="20"/>
              </w:rPr>
              <w:t>India Industrial Robotics</w:t>
            </w:r>
          </w:p>
        </w:tc>
        <w:tc>
          <w:tcPr>
            <w:tcW w:type="dxa" w:w="2160"/>
          </w:tcPr>
          <w:p>
            <w:r>
              <w:rPr>
                <w:rFonts w:ascii="Arial" w:hAnsi="Arial"/>
                <w:sz w:val="20"/>
              </w:rPr>
              <w:t>USD 0.6 Bn</w:t>
            </w:r>
          </w:p>
        </w:tc>
        <w:tc>
          <w:tcPr>
            <w:tcW w:type="dxa" w:w="1440"/>
          </w:tcPr>
          <w:p>
            <w:r>
              <w:rPr>
                <w:rFonts w:ascii="Arial" w:hAnsi="Arial"/>
                <w:sz w:val="20"/>
              </w:rPr>
              <w:t>~18%</w:t>
            </w:r>
          </w:p>
        </w:tc>
        <w:tc>
          <w:tcPr>
            <w:tcW w:type="dxa" w:w="1872"/>
          </w:tcPr>
          <w:p>
            <w:r>
              <w:rPr>
                <w:rFonts w:ascii="Arial" w:hAnsi="Arial"/>
                <w:sz w:val="20"/>
              </w:rPr>
              <w:t>USD 1.6 Bn</w:t>
            </w:r>
          </w:p>
        </w:tc>
      </w:tr>
      <w:tr>
        <w:tc>
          <w:tcPr>
            <w:tcW w:type="dxa" w:w="4032"/>
          </w:tcPr>
          <w:p>
            <w:r>
              <w:rPr>
                <w:rFonts w:ascii="Arial" w:hAnsi="Arial"/>
                <w:sz w:val="20"/>
              </w:rPr>
              <w:t>Automotive Robotics (India)</w:t>
            </w:r>
          </w:p>
        </w:tc>
        <w:tc>
          <w:tcPr>
            <w:tcW w:type="dxa" w:w="2160"/>
          </w:tcPr>
          <w:p>
            <w:r>
              <w:rPr>
                <w:rFonts w:ascii="Arial" w:hAnsi="Arial"/>
                <w:sz w:val="20"/>
              </w:rPr>
              <w:t>USD 0.22 Bn</w:t>
            </w:r>
          </w:p>
        </w:tc>
        <w:tc>
          <w:tcPr>
            <w:tcW w:type="dxa" w:w="1440"/>
          </w:tcPr>
          <w:p>
            <w:r>
              <w:rPr>
                <w:rFonts w:ascii="Arial" w:hAnsi="Arial"/>
                <w:sz w:val="20"/>
              </w:rPr>
              <w:t>~20%</w:t>
            </w:r>
          </w:p>
        </w:tc>
        <w:tc>
          <w:tcPr>
            <w:tcW w:type="dxa" w:w="1872"/>
          </w:tcPr>
          <w:p>
            <w:r>
              <w:rPr>
                <w:rFonts w:ascii="Arial" w:hAnsi="Arial"/>
                <w:sz w:val="20"/>
              </w:rPr>
              <w:t>USD 0.65 Bn</w:t>
            </w:r>
          </w:p>
        </w:tc>
      </w:tr>
      <w:tr>
        <w:tc>
          <w:tcPr>
            <w:tcW w:type="dxa" w:w="4032"/>
          </w:tcPr>
          <w:p>
            <w:r>
              <w:rPr>
                <w:rFonts w:ascii="Arial" w:hAnsi="Arial"/>
                <w:sz w:val="20"/>
              </w:rPr>
              <w:t>Robotics-as-a-Service (RaaS, Global)</w:t>
            </w:r>
          </w:p>
        </w:tc>
        <w:tc>
          <w:tcPr>
            <w:tcW w:type="dxa" w:w="2160"/>
          </w:tcPr>
          <w:p>
            <w:r>
              <w:rPr>
                <w:rFonts w:ascii="Arial" w:hAnsi="Arial"/>
                <w:sz w:val="20"/>
              </w:rPr>
              <w:t>USD 3.1 Bn</w:t>
            </w:r>
          </w:p>
        </w:tc>
        <w:tc>
          <w:tcPr>
            <w:tcW w:type="dxa" w:w="1440"/>
          </w:tcPr>
          <w:p>
            <w:r>
              <w:rPr>
                <w:rFonts w:ascii="Arial" w:hAnsi="Arial"/>
                <w:sz w:val="20"/>
              </w:rPr>
              <w:t>~28%</w:t>
            </w:r>
          </w:p>
        </w:tc>
        <w:tc>
          <w:tcPr>
            <w:tcW w:type="dxa" w:w="1872"/>
          </w:tcPr>
          <w:p>
            <w:r>
              <w:rPr>
                <w:rFonts w:ascii="Arial" w:hAnsi="Arial"/>
                <w:sz w:val="20"/>
              </w:rPr>
              <w:t>USD 13.5 Bn</w:t>
            </w:r>
          </w:p>
        </w:tc>
      </w:tr>
    </w:tbl>
    <w:p>
      <w:pPr>
        <w:spacing w:after="80"/>
      </w:pPr>
    </w:p>
    <w:p>
      <w:pPr>
        <w:spacing w:after="120"/>
      </w:pPr>
      <w:r>
        <w:rPr>
          <w:b w:val="0"/>
          <w:i w:val="0"/>
        </w:rPr>
        <w:t>India's automotive sector installs ~4,500 robots annually. The top 10 OEMs and their Tier-1 suppliers represent CloudRobotics' immediate addressable market — estimated at INR 800 Cr annually for flexible robotics solutions.</w:t>
      </w:r>
    </w:p>
    <w:p>
      <w:pPr>
        <w:pStyle w:val="Heading1"/>
      </w:pPr>
      <w:r>
        <w:t>4. Solution &amp; Product Description</w:t>
      </w:r>
    </w:p>
    <w:p>
      <w:pPr>
        <w:pStyle w:val="Heading2"/>
      </w:pPr>
      <w:r>
        <w:t>4.1  The CloudRobotics Platform</w:t>
      </w:r>
    </w:p>
    <w:p>
      <w:pPr>
        <w:spacing w:after="120"/>
      </w:pPr>
      <w:r>
        <w:rPr>
          <w:b w:val="0"/>
          <w:i w:val="0"/>
        </w:rPr>
        <w:t>CloudRobotics builds a generic, fully modular industrial robot equipped with every sensor and end-effector mount needed across common manufacturing tasks. Task behaviour is delivered as a cloud-native configuration profile — the robot does exactly what the administrator tells it to do, and that instruction can change in seconds.</w:t>
      </w:r>
    </w:p>
    <w:p>
      <w:pPr>
        <w:pStyle w:val="Heading2"/>
      </w:pPr>
      <w:r>
        <w:t>4.2  Three-Layer Architecture</w:t>
      </w:r>
    </w:p>
    <w:p>
      <w:pPr>
        <w:pStyle w:val="ListBullet"/>
        <w:spacing w:after="60"/>
        <w:ind w:left="432"/>
      </w:pPr>
      <w:r>
        <w:rPr>
          <w:b/>
        </w:rPr>
        <w:t xml:space="preserve">Hardware Layer: </w:t>
      </w:r>
      <w:r/>
      <w:r>
        <w:t>Multi-axis robotic arm, modular end-effector mount system (patented), computer vision cameras (RGB-D + structured light), force/torque sensors, onboard edge compute unit, and 5G/Wi-Fi connectivity.</w:t>
      </w:r>
    </w:p>
    <w:p>
      <w:pPr>
        <w:pStyle w:val="ListBullet"/>
        <w:spacing w:after="60"/>
        <w:ind w:left="432"/>
      </w:pPr>
      <w:r>
        <w:rPr>
          <w:b/>
        </w:rPr>
        <w:t xml:space="preserve">Edge Layer: </w:t>
      </w:r>
      <w:r/>
      <w:r>
        <w:t>Onboard edge module buffers and executes task instructions. Operates at full capability during transient connectivity loss and syncs telemetry and logs when reconnected.</w:t>
      </w:r>
    </w:p>
    <w:p>
      <w:pPr>
        <w:pStyle w:val="ListBullet"/>
        <w:spacing w:after="60"/>
        <w:ind w:left="432"/>
      </w:pPr>
      <w:r>
        <w:rPr>
          <w:b/>
        </w:rPr>
        <w:t xml:space="preserve">Cloud Control Layer: </w:t>
      </w:r>
      <w:r/>
      <w:r>
        <w:t>Web-based administrator console for task profile assignment, fleet management, OTA firmware updates, real-time telemetry dashboards, and audit logging. Deployable on AWS, Azure, or private cloud.</w:t>
      </w:r>
    </w:p>
    <w:p>
      <w:pPr>
        <w:spacing w:after="80"/>
      </w:pPr>
    </w:p>
    <w:p>
      <w:pPr>
        <w:pStyle w:val="Heading2"/>
      </w:pPr>
      <w:r>
        <w:t>4.3  Task Profiles (Initial Release)</w:t>
      </w:r>
    </w:p>
    <w:tbl>
      <w:tblPr>
        <w:tblStyle w:val="TableGrid"/>
        <w:tblW w:type="auto" w:w="0"/>
        <w:tblLook w:firstColumn="1" w:firstRow="1" w:lastColumn="0" w:lastRow="0" w:noHBand="0" w:noVBand="1" w:val="04A0"/>
      </w:tblPr>
      <w:tblGrid>
        <w:gridCol w:w="2928"/>
        <w:gridCol w:w="2928"/>
        <w:gridCol w:w="2928"/>
      </w:tblGrid>
      <w:tr>
        <w:tc>
          <w:tcPr>
            <w:tcW w:type="dxa" w:w="2448"/>
            <w:shd w:val="clear" w:color="auto" w:fill="1F487E"/>
          </w:tcPr>
          <w:p>
            <w:r>
              <w:rPr>
                <w:rFonts w:ascii="Arial" w:hAnsi="Arial"/>
                <w:b/>
                <w:color w:val="FFFFFF"/>
                <w:sz w:val="20"/>
              </w:rPr>
              <w:t>Task Profile</w:t>
            </w:r>
          </w:p>
        </w:tc>
        <w:tc>
          <w:tcPr>
            <w:tcW w:type="dxa" w:w="3744"/>
            <w:shd w:val="clear" w:color="auto" w:fill="1F487E"/>
          </w:tcPr>
          <w:p>
            <w:r>
              <w:rPr>
                <w:rFonts w:ascii="Arial" w:hAnsi="Arial"/>
                <w:b/>
                <w:color w:val="FFFFFF"/>
                <w:sz w:val="20"/>
              </w:rPr>
              <w:t>Function</w:t>
            </w:r>
          </w:p>
        </w:tc>
        <w:tc>
          <w:tcPr>
            <w:tcW w:type="dxa" w:w="3312"/>
            <w:shd w:val="clear" w:color="auto" w:fill="1F487E"/>
          </w:tcPr>
          <w:p>
            <w:r>
              <w:rPr>
                <w:rFonts w:ascii="Arial" w:hAnsi="Arial"/>
                <w:b/>
                <w:color w:val="FFFFFF"/>
                <w:sz w:val="20"/>
              </w:rPr>
              <w:t>Key Hardware Activated</w:t>
            </w:r>
          </w:p>
        </w:tc>
      </w:tr>
      <w:tr>
        <w:tc>
          <w:tcPr>
            <w:tcW w:type="dxa" w:w="2448"/>
          </w:tcPr>
          <w:p>
            <w:r>
              <w:rPr>
                <w:rFonts w:ascii="Arial" w:hAnsi="Arial"/>
                <w:sz w:val="20"/>
              </w:rPr>
              <w:t>Body Assembly</w:t>
            </w:r>
          </w:p>
        </w:tc>
        <w:tc>
          <w:tcPr>
            <w:tcW w:type="dxa" w:w="3744"/>
          </w:tcPr>
          <w:p>
            <w:r>
              <w:rPr>
                <w:rFonts w:ascii="Arial" w:hAnsi="Arial"/>
                <w:sz w:val="20"/>
              </w:rPr>
              <w:t>Welding, fastening, structural joining</w:t>
            </w:r>
          </w:p>
        </w:tc>
        <w:tc>
          <w:tcPr>
            <w:tcW w:type="dxa" w:w="3312"/>
          </w:tcPr>
          <w:p>
            <w:r>
              <w:rPr>
                <w:rFonts w:ascii="Arial" w:hAnsi="Arial"/>
                <w:sz w:val="20"/>
              </w:rPr>
              <w:t>Torque sensor, welding end-effector, proximity</w:t>
            </w:r>
          </w:p>
        </w:tc>
      </w:tr>
      <w:tr>
        <w:tc>
          <w:tcPr>
            <w:tcW w:type="dxa" w:w="2448"/>
          </w:tcPr>
          <w:p>
            <w:r>
              <w:rPr>
                <w:rFonts w:ascii="Arial" w:hAnsi="Arial"/>
                <w:sz w:val="20"/>
              </w:rPr>
              <w:t>Paint &amp; Surface Prep</w:t>
            </w:r>
          </w:p>
        </w:tc>
        <w:tc>
          <w:tcPr>
            <w:tcW w:type="dxa" w:w="3744"/>
          </w:tcPr>
          <w:p>
            <w:r>
              <w:rPr>
                <w:rFonts w:ascii="Arial" w:hAnsi="Arial"/>
                <w:sz w:val="20"/>
              </w:rPr>
              <w:t>Sanding, masking, primer application</w:t>
            </w:r>
          </w:p>
        </w:tc>
        <w:tc>
          <w:tcPr>
            <w:tcW w:type="dxa" w:w="3312"/>
          </w:tcPr>
          <w:p>
            <w:r>
              <w:rPr>
                <w:rFonts w:ascii="Arial" w:hAnsi="Arial"/>
                <w:sz w:val="20"/>
              </w:rPr>
              <w:t>Rotary tool, force sensor, vision camera</w:t>
            </w:r>
          </w:p>
        </w:tc>
      </w:tr>
      <w:tr>
        <w:tc>
          <w:tcPr>
            <w:tcW w:type="dxa" w:w="2448"/>
          </w:tcPr>
          <w:p>
            <w:r>
              <w:rPr>
                <w:rFonts w:ascii="Arial" w:hAnsi="Arial"/>
                <w:sz w:val="20"/>
              </w:rPr>
              <w:t>Pick &amp; Place</w:t>
            </w:r>
          </w:p>
        </w:tc>
        <w:tc>
          <w:tcPr>
            <w:tcW w:type="dxa" w:w="3744"/>
          </w:tcPr>
          <w:p>
            <w:r>
              <w:rPr>
                <w:rFonts w:ascii="Arial" w:hAnsi="Arial"/>
                <w:sz w:val="20"/>
              </w:rPr>
              <w:t>Sub-assembly movement between stations</w:t>
            </w:r>
          </w:p>
        </w:tc>
        <w:tc>
          <w:tcPr>
            <w:tcW w:type="dxa" w:w="3312"/>
          </w:tcPr>
          <w:p>
            <w:r>
              <w:rPr>
                <w:rFonts w:ascii="Arial" w:hAnsi="Arial"/>
                <w:sz w:val="20"/>
              </w:rPr>
              <w:t>Gripper, vision camera, weight sensor</w:t>
            </w:r>
          </w:p>
        </w:tc>
      </w:tr>
      <w:tr>
        <w:tc>
          <w:tcPr>
            <w:tcW w:type="dxa" w:w="2448"/>
          </w:tcPr>
          <w:p>
            <w:r>
              <w:rPr>
                <w:rFonts w:ascii="Arial" w:hAnsi="Arial"/>
                <w:sz w:val="20"/>
              </w:rPr>
              <w:t>Inspection &amp; QC</w:t>
            </w:r>
          </w:p>
        </w:tc>
        <w:tc>
          <w:tcPr>
            <w:tcW w:type="dxa" w:w="3744"/>
          </w:tcPr>
          <w:p>
            <w:r>
              <w:rPr>
                <w:rFonts w:ascii="Arial" w:hAnsi="Arial"/>
                <w:sz w:val="20"/>
              </w:rPr>
              <w:t>Dimensional measurement, defect detection</w:t>
            </w:r>
          </w:p>
        </w:tc>
        <w:tc>
          <w:tcPr>
            <w:tcW w:type="dxa" w:w="3312"/>
          </w:tcPr>
          <w:p>
            <w:r>
              <w:rPr>
                <w:rFonts w:ascii="Arial" w:hAnsi="Arial"/>
                <w:sz w:val="20"/>
              </w:rPr>
              <w:t>Stereo camera, structured-light, force/torque</w:t>
            </w:r>
          </w:p>
        </w:tc>
      </w:tr>
      <w:tr>
        <w:tc>
          <w:tcPr>
            <w:tcW w:type="dxa" w:w="2448"/>
          </w:tcPr>
          <w:p>
            <w:r>
              <w:rPr>
                <w:rFonts w:ascii="Arial" w:hAnsi="Arial"/>
                <w:sz w:val="20"/>
              </w:rPr>
              <w:t>Material Handling</w:t>
            </w:r>
          </w:p>
        </w:tc>
        <w:tc>
          <w:tcPr>
            <w:tcW w:type="dxa" w:w="3744"/>
          </w:tcPr>
          <w:p>
            <w:r>
              <w:rPr>
                <w:rFonts w:ascii="Arial" w:hAnsi="Arial"/>
                <w:sz w:val="20"/>
              </w:rPr>
              <w:t>Intralogistics, parts transport</w:t>
            </w:r>
          </w:p>
        </w:tc>
        <w:tc>
          <w:tcPr>
            <w:tcW w:type="dxa" w:w="3312"/>
          </w:tcPr>
          <w:p>
            <w:r>
              <w:rPr>
                <w:rFonts w:ascii="Arial" w:hAnsi="Arial"/>
                <w:sz w:val="20"/>
              </w:rPr>
              <w:t>Navigation, proximity, load sensor</w:t>
            </w:r>
          </w:p>
        </w:tc>
      </w:tr>
    </w:tbl>
    <w:p>
      <w:pPr>
        <w:spacing w:after="80"/>
      </w:pPr>
    </w:p>
    <w:p>
      <w:pPr>
        <w:pStyle w:val="Heading2"/>
      </w:pPr>
      <w:r>
        <w:t>4.4  Key Differentiators</w:t>
      </w:r>
    </w:p>
    <w:p>
      <w:pPr>
        <w:pStyle w:val="ListBullet"/>
        <w:spacing w:after="60"/>
        <w:ind w:left="432"/>
      </w:pPr>
      <w:r>
        <w:t>Task-agnostic hardware: one robot replaces 3–5 purpose-built units.</w:t>
      </w:r>
    </w:p>
    <w:p>
      <w:pPr>
        <w:pStyle w:val="ListBullet"/>
        <w:spacing w:after="60"/>
        <w:ind w:left="432"/>
      </w:pPr>
      <w:r>
        <w:t>Cloud-native reconfiguration: profile change in &lt;30 seconds vs. hours of physical retooling.</w:t>
      </w:r>
    </w:p>
    <w:p>
      <w:pPr>
        <w:pStyle w:val="ListBullet"/>
        <w:spacing w:after="60"/>
        <w:ind w:left="432"/>
      </w:pPr>
      <w:r>
        <w:t>Explainable task-switching audit log: every configuration event is timestamped and traceable.</w:t>
      </w:r>
    </w:p>
    <w:p>
      <w:pPr>
        <w:pStyle w:val="ListBullet"/>
        <w:spacing w:after="60"/>
        <w:ind w:left="432"/>
      </w:pPr>
      <w:r>
        <w:t>OTA updates: new task profiles deployed fleet-wide without downtime.</w:t>
      </w:r>
    </w:p>
    <w:p>
      <w:pPr>
        <w:pStyle w:val="ListBullet"/>
        <w:spacing w:after="60"/>
        <w:ind w:left="432"/>
      </w:pPr>
      <w:r>
        <w:t>Edge resilience: robot continues operating during network disruption.</w:t>
      </w:r>
    </w:p>
    <w:p>
      <w:pPr>
        <w:pStyle w:val="Heading1"/>
      </w:pPr>
      <w:r>
        <w:t>5. Revenue Model</w:t>
      </w:r>
    </w:p>
    <w:p>
      <w:pPr>
        <w:spacing w:after="120"/>
      </w:pPr>
      <w:r>
        <w:rPr>
          <w:b w:val="0"/>
          <w:i w:val="0"/>
        </w:rPr>
        <w:t>CloudRobotics generates revenue through four streams, designed to build recurring, high-margin subscription income on top of an initial hardware sale:</w:t>
      </w:r>
    </w:p>
    <w:p>
      <w:pPr>
        <w:pStyle w:val="Heading2"/>
      </w:pPr>
      <w:r>
        <w:t>5.1  Revenue Streams</w:t>
      </w:r>
    </w:p>
    <w:tbl>
      <w:tblPr>
        <w:tblStyle w:val="TableGrid"/>
        <w:tblW w:type="auto" w:w="0"/>
        <w:tblLook w:firstColumn="1" w:firstRow="1" w:lastColumn="0" w:lastRow="0" w:noHBand="0" w:noVBand="1" w:val="04A0"/>
      </w:tblPr>
      <w:tblGrid>
        <w:gridCol w:w="2196"/>
        <w:gridCol w:w="2196"/>
        <w:gridCol w:w="2196"/>
        <w:gridCol w:w="2196"/>
      </w:tblGrid>
      <w:tr>
        <w:tc>
          <w:tcPr>
            <w:tcW w:type="dxa" w:w="2592"/>
            <w:shd w:val="clear" w:color="auto" w:fill="1F487E"/>
          </w:tcPr>
          <w:p>
            <w:r>
              <w:rPr>
                <w:rFonts w:ascii="Arial" w:hAnsi="Arial"/>
                <w:b/>
                <w:color w:val="FFFFFF"/>
                <w:sz w:val="20"/>
              </w:rPr>
              <w:t>Stream</w:t>
            </w:r>
          </w:p>
        </w:tc>
        <w:tc>
          <w:tcPr>
            <w:tcW w:type="dxa" w:w="3456"/>
            <w:shd w:val="clear" w:color="auto" w:fill="1F487E"/>
          </w:tcPr>
          <w:p>
            <w:r>
              <w:rPr>
                <w:rFonts w:ascii="Arial" w:hAnsi="Arial"/>
                <w:b/>
                <w:color w:val="FFFFFF"/>
                <w:sz w:val="20"/>
              </w:rPr>
              <w:t>Description</w:t>
            </w:r>
          </w:p>
        </w:tc>
        <w:tc>
          <w:tcPr>
            <w:tcW w:type="dxa" w:w="2448"/>
            <w:shd w:val="clear" w:color="auto" w:fill="1F487E"/>
          </w:tcPr>
          <w:p>
            <w:r>
              <w:rPr>
                <w:rFonts w:ascii="Arial" w:hAnsi="Arial"/>
                <w:b/>
                <w:color w:val="FFFFFF"/>
                <w:sz w:val="20"/>
              </w:rPr>
              <w:t>Unit Economics</w:t>
            </w:r>
          </w:p>
        </w:tc>
        <w:tc>
          <w:tcPr>
            <w:tcW w:type="dxa" w:w="1872"/>
            <w:shd w:val="clear" w:color="auto" w:fill="1F487E"/>
          </w:tcPr>
          <w:p>
            <w:r>
              <w:rPr>
                <w:rFonts w:ascii="Arial" w:hAnsi="Arial"/>
                <w:b/>
                <w:color w:val="FFFFFF"/>
                <w:sz w:val="20"/>
              </w:rPr>
              <w:t>Margin Profile</w:t>
            </w:r>
          </w:p>
        </w:tc>
      </w:tr>
      <w:tr>
        <w:tc>
          <w:tcPr>
            <w:tcW w:type="dxa" w:w="2592"/>
          </w:tcPr>
          <w:p>
            <w:r>
              <w:rPr>
                <w:rFonts w:ascii="Arial" w:hAnsi="Arial"/>
                <w:sz w:val="20"/>
              </w:rPr>
              <w:t>Hardware Sale</w:t>
            </w:r>
          </w:p>
        </w:tc>
        <w:tc>
          <w:tcPr>
            <w:tcW w:type="dxa" w:w="3456"/>
          </w:tcPr>
          <w:p>
            <w:r>
              <w:rPr>
                <w:rFonts w:ascii="Arial" w:hAnsi="Arial"/>
                <w:sz w:val="20"/>
              </w:rPr>
              <w:t>Outright sale of robot units to customers</w:t>
            </w:r>
          </w:p>
        </w:tc>
        <w:tc>
          <w:tcPr>
            <w:tcW w:type="dxa" w:w="2448"/>
          </w:tcPr>
          <w:p>
            <w:r>
              <w:rPr>
                <w:rFonts w:ascii="Arial" w:hAnsi="Arial"/>
                <w:sz w:val="20"/>
              </w:rPr>
              <w:t>INR 18 lakh per unit</w:t>
            </w:r>
          </w:p>
        </w:tc>
        <w:tc>
          <w:tcPr>
            <w:tcW w:type="dxa" w:w="1872"/>
          </w:tcPr>
          <w:p>
            <w:r>
              <w:rPr>
                <w:rFonts w:ascii="Arial" w:hAnsi="Arial"/>
                <w:sz w:val="20"/>
              </w:rPr>
              <w:t>~35% gross margin</w:t>
            </w:r>
          </w:p>
        </w:tc>
      </w:tr>
      <w:tr>
        <w:tc>
          <w:tcPr>
            <w:tcW w:type="dxa" w:w="2592"/>
          </w:tcPr>
          <w:p>
            <w:r>
              <w:rPr>
                <w:rFonts w:ascii="Arial" w:hAnsi="Arial"/>
                <w:sz w:val="20"/>
              </w:rPr>
              <w:t>Robotics-as-a-Service (RaaS)</w:t>
            </w:r>
          </w:p>
        </w:tc>
        <w:tc>
          <w:tcPr>
            <w:tcW w:type="dxa" w:w="3456"/>
          </w:tcPr>
          <w:p>
            <w:r>
              <w:rPr>
                <w:rFonts w:ascii="Arial" w:hAnsi="Arial"/>
                <w:sz w:val="20"/>
              </w:rPr>
              <w:t>Monthly subscription per deployed robot — includes platform access, OTA updates, and remote support</w:t>
            </w:r>
          </w:p>
        </w:tc>
        <w:tc>
          <w:tcPr>
            <w:tcW w:type="dxa" w:w="2448"/>
          </w:tcPr>
          <w:p>
            <w:r>
              <w:rPr>
                <w:rFonts w:ascii="Arial" w:hAnsi="Arial"/>
                <w:sz w:val="20"/>
              </w:rPr>
              <w:t>INR 1.8 lakh / robot / month</w:t>
            </w:r>
          </w:p>
        </w:tc>
        <w:tc>
          <w:tcPr>
            <w:tcW w:type="dxa" w:w="1872"/>
          </w:tcPr>
          <w:p>
            <w:r>
              <w:rPr>
                <w:rFonts w:ascii="Arial" w:hAnsi="Arial"/>
                <w:sz w:val="20"/>
              </w:rPr>
              <w:t>~72% gross margin</w:t>
            </w:r>
          </w:p>
        </w:tc>
      </w:tr>
      <w:tr>
        <w:tc>
          <w:tcPr>
            <w:tcW w:type="dxa" w:w="2592"/>
          </w:tcPr>
          <w:p>
            <w:r>
              <w:rPr>
                <w:rFonts w:ascii="Arial" w:hAnsi="Arial"/>
                <w:sz w:val="20"/>
              </w:rPr>
              <w:t>Cloud Platform License</w:t>
            </w:r>
          </w:p>
        </w:tc>
        <w:tc>
          <w:tcPr>
            <w:tcW w:type="dxa" w:w="3456"/>
          </w:tcPr>
          <w:p>
            <w:r>
              <w:rPr>
                <w:rFonts w:ascii="Arial" w:hAnsi="Arial"/>
                <w:sz w:val="20"/>
              </w:rPr>
              <w:t>Annual license for administrator console for hardware-sale customers</w:t>
            </w:r>
          </w:p>
        </w:tc>
        <w:tc>
          <w:tcPr>
            <w:tcW w:type="dxa" w:w="2448"/>
          </w:tcPr>
          <w:p>
            <w:r>
              <w:rPr>
                <w:rFonts w:ascii="Arial" w:hAnsi="Arial"/>
                <w:sz w:val="20"/>
              </w:rPr>
              <w:t>INR 8 lakh / plant / year</w:t>
            </w:r>
          </w:p>
        </w:tc>
        <w:tc>
          <w:tcPr>
            <w:tcW w:type="dxa" w:w="1872"/>
          </w:tcPr>
          <w:p>
            <w:r>
              <w:rPr>
                <w:rFonts w:ascii="Arial" w:hAnsi="Arial"/>
                <w:sz w:val="20"/>
              </w:rPr>
              <w:t>~85% gross margin</w:t>
            </w:r>
          </w:p>
        </w:tc>
      </w:tr>
      <w:tr>
        <w:tc>
          <w:tcPr>
            <w:tcW w:type="dxa" w:w="2592"/>
          </w:tcPr>
          <w:p>
            <w:r>
              <w:rPr>
                <w:rFonts w:ascii="Arial" w:hAnsi="Arial"/>
                <w:sz w:val="20"/>
              </w:rPr>
              <w:t>Task Profile Marketplace (Phase 2)</w:t>
            </w:r>
          </w:p>
        </w:tc>
        <w:tc>
          <w:tcPr>
            <w:tcW w:type="dxa" w:w="3456"/>
          </w:tcPr>
          <w:p>
            <w:r>
              <w:rPr>
                <w:rFonts w:ascii="Arial" w:hAnsi="Arial"/>
                <w:sz w:val="20"/>
              </w:rPr>
              <w:t>Third-party developers publish custom task profiles; CloudRobotics takes 30% commission</w:t>
            </w:r>
          </w:p>
        </w:tc>
        <w:tc>
          <w:tcPr>
            <w:tcW w:type="dxa" w:w="2448"/>
          </w:tcPr>
          <w:p>
            <w:r>
              <w:rPr>
                <w:rFonts w:ascii="Arial" w:hAnsi="Arial"/>
                <w:sz w:val="20"/>
              </w:rPr>
              <w:t>Revenue share model</w:t>
            </w:r>
          </w:p>
        </w:tc>
        <w:tc>
          <w:tcPr>
            <w:tcW w:type="dxa" w:w="1872"/>
          </w:tcPr>
          <w:p>
            <w:r>
              <w:rPr>
                <w:rFonts w:ascii="Arial" w:hAnsi="Arial"/>
                <w:sz w:val="20"/>
              </w:rPr>
              <w:t>~90% gross margin</w:t>
            </w:r>
          </w:p>
        </w:tc>
      </w:tr>
    </w:tbl>
    <w:p>
      <w:pPr>
        <w:spacing w:after="80"/>
      </w:pPr>
    </w:p>
    <w:p>
      <w:pPr>
        <w:pStyle w:val="Heading2"/>
      </w:pPr>
      <w:r>
        <w:t>5.2  Pricing Philosophy</w:t>
      </w:r>
    </w:p>
    <w:p>
      <w:pPr>
        <w:spacing w:after="120"/>
      </w:pPr>
      <w:r>
        <w:rPr>
          <w:b w:val="0"/>
          <w:i w:val="0"/>
        </w:rPr>
        <w:t>The hardware sale price (INR 18 lakh) is positioned at a ~25% premium over equivalent single-purpose robots, justified by the elimination of retooling costs (INR 5–20 lakh per changeover event). The RaaS monthly fee of INR 1.8 lakh equates to INR 21.6 lakh per robot per year — a 2.6-year payback for a hardware-sale customer who converts to RaaS, creating strong upsell potential.</w:t>
      </w:r>
    </w:p>
    <w:p>
      <w:pPr>
        <w:pStyle w:val="Heading2"/>
      </w:pPr>
      <w:r>
        <w:t>5.3  Revenue Mix Target (FY2028)</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3168"/>
            <w:shd w:val="clear" w:color="auto" w:fill="1F487E"/>
          </w:tcPr>
          <w:p>
            <w:r>
              <w:rPr>
                <w:rFonts w:ascii="Arial" w:hAnsi="Arial"/>
                <w:b/>
                <w:color w:val="FFFFFF"/>
                <w:sz w:val="20"/>
              </w:rPr>
              <w:t>Revenue Stream</w:t>
            </w:r>
          </w:p>
        </w:tc>
        <w:tc>
          <w:tcPr>
            <w:tcW w:type="dxa" w:w="1872"/>
            <w:shd w:val="clear" w:color="auto" w:fill="1F487E"/>
          </w:tcPr>
          <w:p>
            <w:r>
              <w:rPr>
                <w:rFonts w:ascii="Arial" w:hAnsi="Arial"/>
                <w:b/>
                <w:color w:val="FFFFFF"/>
                <w:sz w:val="20"/>
              </w:rPr>
              <w:t>FY2026E</w:t>
            </w:r>
          </w:p>
        </w:tc>
        <w:tc>
          <w:tcPr>
            <w:tcW w:type="dxa" w:w="1872"/>
            <w:shd w:val="clear" w:color="auto" w:fill="1F487E"/>
          </w:tcPr>
          <w:p>
            <w:r>
              <w:rPr>
                <w:rFonts w:ascii="Arial" w:hAnsi="Arial"/>
                <w:b/>
                <w:color w:val="FFFFFF"/>
                <w:sz w:val="20"/>
              </w:rPr>
              <w:t>FY2027E</w:t>
            </w:r>
          </w:p>
        </w:tc>
        <w:tc>
          <w:tcPr>
            <w:tcW w:type="dxa" w:w="1872"/>
            <w:shd w:val="clear" w:color="auto" w:fill="1F487E"/>
          </w:tcPr>
          <w:p>
            <w:r>
              <w:rPr>
                <w:rFonts w:ascii="Arial" w:hAnsi="Arial"/>
                <w:b/>
                <w:color w:val="FFFFFF"/>
                <w:sz w:val="20"/>
              </w:rPr>
              <w:t>FY2028E</w:t>
            </w:r>
          </w:p>
        </w:tc>
        <w:tc>
          <w:tcPr>
            <w:tcW w:type="dxa" w:w="1584"/>
            <w:shd w:val="clear" w:color="auto" w:fill="1F487E"/>
          </w:tcPr>
          <w:p>
            <w:r>
              <w:rPr>
                <w:rFonts w:ascii="Arial" w:hAnsi="Arial"/>
                <w:b/>
                <w:color w:val="FFFFFF"/>
                <w:sz w:val="20"/>
              </w:rPr>
              <w:t>FY2028 % Mix</w:t>
            </w:r>
          </w:p>
        </w:tc>
      </w:tr>
      <w:tr>
        <w:tc>
          <w:tcPr>
            <w:tcW w:type="dxa" w:w="3168"/>
          </w:tcPr>
          <w:p>
            <w:r>
              <w:rPr>
                <w:rFonts w:ascii="Arial" w:hAnsi="Arial"/>
                <w:b/>
                <w:sz w:val="20"/>
              </w:rPr>
              <w:t>Hardware Sales</w:t>
            </w:r>
          </w:p>
        </w:tc>
        <w:tc>
          <w:tcPr>
            <w:tcW w:type="dxa" w:w="1872"/>
          </w:tcPr>
          <w:p>
            <w:r>
              <w:rPr>
                <w:rFonts w:ascii="Arial" w:hAnsi="Arial"/>
                <w:sz w:val="20"/>
              </w:rPr>
              <w:t>INR 1.8 Cr</w:t>
            </w:r>
          </w:p>
        </w:tc>
        <w:tc>
          <w:tcPr>
            <w:tcW w:type="dxa" w:w="1872"/>
          </w:tcPr>
          <w:p>
            <w:r>
              <w:rPr>
                <w:rFonts w:ascii="Arial" w:hAnsi="Arial"/>
                <w:sz w:val="20"/>
              </w:rPr>
              <w:t>INR 5.4 Cr</w:t>
            </w:r>
          </w:p>
        </w:tc>
        <w:tc>
          <w:tcPr>
            <w:tcW w:type="dxa" w:w="1872"/>
          </w:tcPr>
          <w:p>
            <w:r>
              <w:rPr>
                <w:rFonts w:ascii="Arial" w:hAnsi="Arial"/>
                <w:sz w:val="20"/>
              </w:rPr>
              <w:t>INR 10.8 Cr</w:t>
            </w:r>
          </w:p>
        </w:tc>
        <w:tc>
          <w:tcPr>
            <w:tcW w:type="dxa" w:w="1584"/>
          </w:tcPr>
          <w:p>
            <w:r>
              <w:rPr>
                <w:rFonts w:ascii="Arial" w:hAnsi="Arial"/>
                <w:sz w:val="20"/>
              </w:rPr>
              <w:t>28%</w:t>
            </w:r>
          </w:p>
        </w:tc>
      </w:tr>
      <w:tr>
        <w:tc>
          <w:tcPr>
            <w:tcW w:type="dxa" w:w="3168"/>
          </w:tcPr>
          <w:p>
            <w:r>
              <w:rPr>
                <w:rFonts w:ascii="Arial" w:hAnsi="Arial"/>
                <w:b/>
                <w:sz w:val="20"/>
              </w:rPr>
              <w:t>RaaS Subscriptions</w:t>
            </w:r>
          </w:p>
        </w:tc>
        <w:tc>
          <w:tcPr>
            <w:tcW w:type="dxa" w:w="1872"/>
          </w:tcPr>
          <w:p>
            <w:r>
              <w:rPr>
                <w:rFonts w:ascii="Arial" w:hAnsi="Arial"/>
                <w:sz w:val="20"/>
              </w:rPr>
              <w:t>INR 0.5 Cr</w:t>
            </w:r>
          </w:p>
        </w:tc>
        <w:tc>
          <w:tcPr>
            <w:tcW w:type="dxa" w:w="1872"/>
          </w:tcPr>
          <w:p>
            <w:r>
              <w:rPr>
                <w:rFonts w:ascii="Arial" w:hAnsi="Arial"/>
                <w:sz w:val="20"/>
              </w:rPr>
              <w:t>INR 5.2 Cr</w:t>
            </w:r>
          </w:p>
        </w:tc>
        <w:tc>
          <w:tcPr>
            <w:tcW w:type="dxa" w:w="1872"/>
          </w:tcPr>
          <w:p>
            <w:r>
              <w:rPr>
                <w:rFonts w:ascii="Arial" w:hAnsi="Arial"/>
                <w:sz w:val="20"/>
              </w:rPr>
              <w:t>INR 22.0 Cr</w:t>
            </w:r>
          </w:p>
        </w:tc>
        <w:tc>
          <w:tcPr>
            <w:tcW w:type="dxa" w:w="1584"/>
          </w:tcPr>
          <w:p>
            <w:r>
              <w:rPr>
                <w:rFonts w:ascii="Arial" w:hAnsi="Arial"/>
                <w:sz w:val="20"/>
              </w:rPr>
              <w:t>58%</w:t>
            </w:r>
          </w:p>
        </w:tc>
      </w:tr>
      <w:tr>
        <w:tc>
          <w:tcPr>
            <w:tcW w:type="dxa" w:w="3168"/>
          </w:tcPr>
          <w:p>
            <w:r>
              <w:rPr>
                <w:rFonts w:ascii="Arial" w:hAnsi="Arial"/>
                <w:b/>
                <w:sz w:val="20"/>
              </w:rPr>
              <w:t>Platform License</w:t>
            </w:r>
          </w:p>
        </w:tc>
        <w:tc>
          <w:tcPr>
            <w:tcW w:type="dxa" w:w="1872"/>
          </w:tcPr>
          <w:p>
            <w:r>
              <w:rPr>
                <w:rFonts w:ascii="Arial" w:hAnsi="Arial"/>
                <w:sz w:val="20"/>
              </w:rPr>
              <w:t>INR 0.2 Cr</w:t>
            </w:r>
          </w:p>
        </w:tc>
        <w:tc>
          <w:tcPr>
            <w:tcW w:type="dxa" w:w="1872"/>
          </w:tcPr>
          <w:p>
            <w:r>
              <w:rPr>
                <w:rFonts w:ascii="Arial" w:hAnsi="Arial"/>
                <w:sz w:val="20"/>
              </w:rPr>
              <w:t>INR 1.4 Cr</w:t>
            </w:r>
          </w:p>
        </w:tc>
        <w:tc>
          <w:tcPr>
            <w:tcW w:type="dxa" w:w="1872"/>
          </w:tcPr>
          <w:p>
            <w:r>
              <w:rPr>
                <w:rFonts w:ascii="Arial" w:hAnsi="Arial"/>
                <w:sz w:val="20"/>
              </w:rPr>
              <w:t>INR 4.8 Cr</w:t>
            </w:r>
          </w:p>
        </w:tc>
        <w:tc>
          <w:tcPr>
            <w:tcW w:type="dxa" w:w="1584"/>
          </w:tcPr>
          <w:p>
            <w:r>
              <w:rPr>
                <w:rFonts w:ascii="Arial" w:hAnsi="Arial"/>
                <w:sz w:val="20"/>
              </w:rPr>
              <w:t>13%</w:t>
            </w:r>
          </w:p>
        </w:tc>
      </w:tr>
      <w:tr>
        <w:tc>
          <w:tcPr>
            <w:tcW w:type="dxa" w:w="3168"/>
          </w:tcPr>
          <w:p>
            <w:r>
              <w:rPr>
                <w:rFonts w:ascii="Arial" w:hAnsi="Arial"/>
                <w:b/>
                <w:sz w:val="20"/>
              </w:rPr>
              <w:t>Marketplace (Phase 2)</w:t>
            </w:r>
          </w:p>
        </w:tc>
        <w:tc>
          <w:tcPr>
            <w:tcW w:type="dxa" w:w="1872"/>
          </w:tcPr>
          <w:p>
            <w:r>
              <w:rPr>
                <w:rFonts w:ascii="Arial" w:hAnsi="Arial"/>
                <w:sz w:val="20"/>
              </w:rPr>
              <w:t>—</w:t>
            </w:r>
          </w:p>
        </w:tc>
        <w:tc>
          <w:tcPr>
            <w:tcW w:type="dxa" w:w="1872"/>
          </w:tcPr>
          <w:p>
            <w:r>
              <w:rPr>
                <w:rFonts w:ascii="Arial" w:hAnsi="Arial"/>
                <w:sz w:val="20"/>
              </w:rPr>
              <w:t>—</w:t>
            </w:r>
          </w:p>
        </w:tc>
        <w:tc>
          <w:tcPr>
            <w:tcW w:type="dxa" w:w="1872"/>
          </w:tcPr>
          <w:p>
            <w:r>
              <w:rPr>
                <w:rFonts w:ascii="Arial" w:hAnsi="Arial"/>
                <w:sz w:val="20"/>
              </w:rPr>
              <w:t>INR 0.4 Cr</w:t>
            </w:r>
          </w:p>
        </w:tc>
        <w:tc>
          <w:tcPr>
            <w:tcW w:type="dxa" w:w="1584"/>
          </w:tcPr>
          <w:p>
            <w:r>
              <w:rPr>
                <w:rFonts w:ascii="Arial" w:hAnsi="Arial"/>
                <w:sz w:val="20"/>
              </w:rPr>
              <w:t>1%</w:t>
            </w:r>
          </w:p>
        </w:tc>
      </w:tr>
      <w:tr>
        <w:tc>
          <w:tcPr>
            <w:tcW w:type="dxa" w:w="3168"/>
          </w:tcPr>
          <w:p>
            <w:r>
              <w:rPr>
                <w:rFonts w:ascii="Arial" w:hAnsi="Arial"/>
                <w:b/>
                <w:sz w:val="20"/>
              </w:rPr>
              <w:t>Total Revenue</w:t>
            </w:r>
          </w:p>
        </w:tc>
        <w:tc>
          <w:tcPr>
            <w:tcW w:type="dxa" w:w="1872"/>
          </w:tcPr>
          <w:p>
            <w:r>
              <w:rPr>
                <w:rFonts w:ascii="Arial" w:hAnsi="Arial"/>
                <w:sz w:val="20"/>
              </w:rPr>
              <w:t>INR 2.5 Cr</w:t>
            </w:r>
          </w:p>
        </w:tc>
        <w:tc>
          <w:tcPr>
            <w:tcW w:type="dxa" w:w="1872"/>
          </w:tcPr>
          <w:p>
            <w:r>
              <w:rPr>
                <w:rFonts w:ascii="Arial" w:hAnsi="Arial"/>
                <w:sz w:val="20"/>
              </w:rPr>
              <w:t>INR 12.0 Cr</w:t>
            </w:r>
          </w:p>
        </w:tc>
        <w:tc>
          <w:tcPr>
            <w:tcW w:type="dxa" w:w="1872"/>
          </w:tcPr>
          <w:p>
            <w:r>
              <w:rPr>
                <w:rFonts w:ascii="Arial" w:hAnsi="Arial"/>
                <w:sz w:val="20"/>
              </w:rPr>
              <w:t>INR 38.0 Cr</w:t>
            </w:r>
          </w:p>
        </w:tc>
        <w:tc>
          <w:tcPr>
            <w:tcW w:type="dxa" w:w="1584"/>
          </w:tcPr>
          <w:p>
            <w:r>
              <w:rPr>
                <w:rFonts w:ascii="Arial" w:hAnsi="Arial"/>
                <w:sz w:val="20"/>
              </w:rPr>
              <w:t>100%</w:t>
            </w:r>
          </w:p>
        </w:tc>
      </w:tr>
    </w:tbl>
    <w:p>
      <w:pPr>
        <w:spacing w:after="80"/>
      </w:pPr>
    </w:p>
    <w:p>
      <w:pPr>
        <w:pStyle w:val="Heading1"/>
      </w:pPr>
      <w:r>
        <w:t>6. Cost Structure</w:t>
      </w:r>
    </w:p>
    <w:p>
      <w:pPr>
        <w:pStyle w:val="Heading2"/>
      </w:pPr>
      <w:r>
        <w:t>6.1  Cost Categories</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2880"/>
            <w:shd w:val="clear" w:color="auto" w:fill="1F487E"/>
          </w:tcPr>
          <w:p>
            <w:r>
              <w:rPr>
                <w:rFonts w:ascii="Arial" w:hAnsi="Arial"/>
                <w:b/>
                <w:color w:val="FFFFFF"/>
                <w:sz w:val="20"/>
              </w:rPr>
              <w:t>Cost Category</w:t>
            </w:r>
          </w:p>
        </w:tc>
        <w:tc>
          <w:tcPr>
            <w:tcW w:type="dxa" w:w="3456"/>
            <w:shd w:val="clear" w:color="auto" w:fill="1F487E"/>
          </w:tcPr>
          <w:p>
            <w:r>
              <w:rPr>
                <w:rFonts w:ascii="Arial" w:hAnsi="Arial"/>
                <w:b/>
                <w:color w:val="FFFFFF"/>
                <w:sz w:val="20"/>
              </w:rPr>
              <w:t>Description</w:t>
            </w:r>
          </w:p>
        </w:tc>
        <w:tc>
          <w:tcPr>
            <w:tcW w:type="dxa" w:w="1584"/>
            <w:shd w:val="clear" w:color="auto" w:fill="1F487E"/>
          </w:tcPr>
          <w:p>
            <w:r>
              <w:rPr>
                <w:rFonts w:ascii="Arial" w:hAnsi="Arial"/>
                <w:b/>
                <w:color w:val="FFFFFF"/>
                <w:sz w:val="20"/>
              </w:rPr>
              <w:t>FY2026E (INR Cr)</w:t>
            </w:r>
          </w:p>
        </w:tc>
        <w:tc>
          <w:tcPr>
            <w:tcW w:type="dxa" w:w="1584"/>
            <w:shd w:val="clear" w:color="auto" w:fill="1F487E"/>
          </w:tcPr>
          <w:p>
            <w:r>
              <w:rPr>
                <w:rFonts w:ascii="Arial" w:hAnsi="Arial"/>
                <w:b/>
                <w:color w:val="FFFFFF"/>
                <w:sz w:val="20"/>
              </w:rPr>
              <w:t>FY2027E (INR Cr)</w:t>
            </w:r>
          </w:p>
        </w:tc>
        <w:tc>
          <w:tcPr>
            <w:tcW w:type="dxa" w:w="1440"/>
            <w:shd w:val="clear" w:color="auto" w:fill="1F487E"/>
          </w:tcPr>
          <w:p>
            <w:r>
              <w:rPr>
                <w:rFonts w:ascii="Arial" w:hAnsi="Arial"/>
                <w:b/>
                <w:color w:val="FFFFFF"/>
                <w:sz w:val="20"/>
              </w:rPr>
              <w:t>FY2028E (INR Cr)</w:t>
            </w:r>
          </w:p>
        </w:tc>
      </w:tr>
      <w:tr>
        <w:tc>
          <w:tcPr>
            <w:tcW w:type="dxa" w:w="2880"/>
          </w:tcPr>
          <w:p>
            <w:r>
              <w:rPr>
                <w:rFonts w:ascii="Arial" w:hAnsi="Arial"/>
                <w:b/>
                <w:sz w:val="20"/>
              </w:rPr>
              <w:t>COGS — Hardware</w:t>
            </w:r>
          </w:p>
        </w:tc>
        <w:tc>
          <w:tcPr>
            <w:tcW w:type="dxa" w:w="3456"/>
          </w:tcPr>
          <w:p>
            <w:r>
              <w:rPr>
                <w:rFonts w:ascii="Arial" w:hAnsi="Arial"/>
                <w:sz w:val="20"/>
              </w:rPr>
              <w:t>Bill of materials, contract manufacturing, logistics, warranty</w:t>
            </w:r>
          </w:p>
        </w:tc>
        <w:tc>
          <w:tcPr>
            <w:tcW w:type="dxa" w:w="1584"/>
          </w:tcPr>
          <w:p>
            <w:r>
              <w:rPr>
                <w:rFonts w:ascii="Arial" w:hAnsi="Arial"/>
                <w:sz w:val="20"/>
              </w:rPr>
              <w:t>1.2</w:t>
            </w:r>
          </w:p>
        </w:tc>
        <w:tc>
          <w:tcPr>
            <w:tcW w:type="dxa" w:w="1584"/>
          </w:tcPr>
          <w:p>
            <w:r>
              <w:rPr>
                <w:rFonts w:ascii="Arial" w:hAnsi="Arial"/>
                <w:sz w:val="20"/>
              </w:rPr>
              <w:t>3.5</w:t>
            </w:r>
          </w:p>
        </w:tc>
        <w:tc>
          <w:tcPr>
            <w:tcW w:type="dxa" w:w="1440"/>
          </w:tcPr>
          <w:p>
            <w:r>
              <w:rPr>
                <w:rFonts w:ascii="Arial" w:hAnsi="Arial"/>
                <w:sz w:val="20"/>
              </w:rPr>
              <w:t>7.0</w:t>
            </w:r>
          </w:p>
        </w:tc>
      </w:tr>
      <w:tr>
        <w:tc>
          <w:tcPr>
            <w:tcW w:type="dxa" w:w="2880"/>
          </w:tcPr>
          <w:p>
            <w:r>
              <w:rPr>
                <w:rFonts w:ascii="Arial" w:hAnsi="Arial"/>
                <w:b/>
                <w:sz w:val="20"/>
              </w:rPr>
              <w:t>COGS — Cloud Infrastructure</w:t>
            </w:r>
          </w:p>
        </w:tc>
        <w:tc>
          <w:tcPr>
            <w:tcW w:type="dxa" w:w="3456"/>
          </w:tcPr>
          <w:p>
            <w:r>
              <w:rPr>
                <w:rFonts w:ascii="Arial" w:hAnsi="Arial"/>
                <w:sz w:val="20"/>
              </w:rPr>
              <w:t>AWS/Azure compute, storage, bandwidth for platform and monitoring</w:t>
            </w:r>
          </w:p>
        </w:tc>
        <w:tc>
          <w:tcPr>
            <w:tcW w:type="dxa" w:w="1584"/>
          </w:tcPr>
          <w:p>
            <w:r>
              <w:rPr>
                <w:rFonts w:ascii="Arial" w:hAnsi="Arial"/>
                <w:sz w:val="20"/>
              </w:rPr>
              <w:t>0.2</w:t>
            </w:r>
          </w:p>
        </w:tc>
        <w:tc>
          <w:tcPr>
            <w:tcW w:type="dxa" w:w="1584"/>
          </w:tcPr>
          <w:p>
            <w:r>
              <w:rPr>
                <w:rFonts w:ascii="Arial" w:hAnsi="Arial"/>
                <w:sz w:val="20"/>
              </w:rPr>
              <w:t>0.8</w:t>
            </w:r>
          </w:p>
        </w:tc>
        <w:tc>
          <w:tcPr>
            <w:tcW w:type="dxa" w:w="1440"/>
          </w:tcPr>
          <w:p>
            <w:r>
              <w:rPr>
                <w:rFonts w:ascii="Arial" w:hAnsi="Arial"/>
                <w:sz w:val="20"/>
              </w:rPr>
              <w:t>2.2</w:t>
            </w:r>
          </w:p>
        </w:tc>
      </w:tr>
      <w:tr>
        <w:tc>
          <w:tcPr>
            <w:tcW w:type="dxa" w:w="2880"/>
          </w:tcPr>
          <w:p>
            <w:r>
              <w:rPr>
                <w:rFonts w:ascii="Arial" w:hAnsi="Arial"/>
                <w:b/>
                <w:sz w:val="20"/>
              </w:rPr>
              <w:t>R&amp;D &amp; Product Engineering</w:t>
            </w:r>
          </w:p>
        </w:tc>
        <w:tc>
          <w:tcPr>
            <w:tcW w:type="dxa" w:w="3456"/>
          </w:tcPr>
          <w:p>
            <w:r>
              <w:rPr>
                <w:rFonts w:ascii="Arial" w:hAnsi="Arial"/>
                <w:sz w:val="20"/>
              </w:rPr>
              <w:t>Salaries (hardware + software engineers), lab costs, IP filings, prototyping</w:t>
            </w:r>
          </w:p>
        </w:tc>
        <w:tc>
          <w:tcPr>
            <w:tcW w:type="dxa" w:w="1584"/>
          </w:tcPr>
          <w:p>
            <w:r>
              <w:rPr>
                <w:rFonts w:ascii="Arial" w:hAnsi="Arial"/>
                <w:sz w:val="20"/>
              </w:rPr>
              <w:t>5.5</w:t>
            </w:r>
          </w:p>
        </w:tc>
        <w:tc>
          <w:tcPr>
            <w:tcW w:type="dxa" w:w="1584"/>
          </w:tcPr>
          <w:p>
            <w:r>
              <w:rPr>
                <w:rFonts w:ascii="Arial" w:hAnsi="Arial"/>
                <w:sz w:val="20"/>
              </w:rPr>
              <w:t>7.0</w:t>
            </w:r>
          </w:p>
        </w:tc>
        <w:tc>
          <w:tcPr>
            <w:tcW w:type="dxa" w:w="1440"/>
          </w:tcPr>
          <w:p>
            <w:r>
              <w:rPr>
                <w:rFonts w:ascii="Arial" w:hAnsi="Arial"/>
                <w:sz w:val="20"/>
              </w:rPr>
              <w:t>8.0</w:t>
            </w:r>
          </w:p>
        </w:tc>
      </w:tr>
      <w:tr>
        <w:tc>
          <w:tcPr>
            <w:tcW w:type="dxa" w:w="2880"/>
          </w:tcPr>
          <w:p>
            <w:r>
              <w:rPr>
                <w:rFonts w:ascii="Arial" w:hAnsi="Arial"/>
                <w:b/>
                <w:sz w:val="20"/>
              </w:rPr>
              <w:t>Sales &amp; Marketing</w:t>
            </w:r>
          </w:p>
        </w:tc>
        <w:tc>
          <w:tcPr>
            <w:tcW w:type="dxa" w:w="3456"/>
          </w:tcPr>
          <w:p>
            <w:r>
              <w:rPr>
                <w:rFonts w:ascii="Arial" w:hAnsi="Arial"/>
                <w:sz w:val="20"/>
              </w:rPr>
              <w:t>Sales team salaries, commissions, industry events, marketing collateral</w:t>
            </w:r>
          </w:p>
        </w:tc>
        <w:tc>
          <w:tcPr>
            <w:tcW w:type="dxa" w:w="1584"/>
          </w:tcPr>
          <w:p>
            <w:r>
              <w:rPr>
                <w:rFonts w:ascii="Arial" w:hAnsi="Arial"/>
                <w:sz w:val="20"/>
              </w:rPr>
              <w:t>1.5</w:t>
            </w:r>
          </w:p>
        </w:tc>
        <w:tc>
          <w:tcPr>
            <w:tcW w:type="dxa" w:w="1584"/>
          </w:tcPr>
          <w:p>
            <w:r>
              <w:rPr>
                <w:rFonts w:ascii="Arial" w:hAnsi="Arial"/>
                <w:sz w:val="20"/>
              </w:rPr>
              <w:t>3.5</w:t>
            </w:r>
          </w:p>
        </w:tc>
        <w:tc>
          <w:tcPr>
            <w:tcW w:type="dxa" w:w="1440"/>
          </w:tcPr>
          <w:p>
            <w:r>
              <w:rPr>
                <w:rFonts w:ascii="Arial" w:hAnsi="Arial"/>
                <w:sz w:val="20"/>
              </w:rPr>
              <w:t>7.0</w:t>
            </w:r>
          </w:p>
        </w:tc>
      </w:tr>
      <w:tr>
        <w:tc>
          <w:tcPr>
            <w:tcW w:type="dxa" w:w="2880"/>
          </w:tcPr>
          <w:p>
            <w:r>
              <w:rPr>
                <w:rFonts w:ascii="Arial" w:hAnsi="Arial"/>
                <w:b/>
                <w:sz w:val="20"/>
              </w:rPr>
              <w:t>General &amp; Administrative</w:t>
            </w:r>
          </w:p>
        </w:tc>
        <w:tc>
          <w:tcPr>
            <w:tcW w:type="dxa" w:w="3456"/>
          </w:tcPr>
          <w:p>
            <w:r>
              <w:rPr>
                <w:rFonts w:ascii="Arial" w:hAnsi="Arial"/>
                <w:sz w:val="20"/>
              </w:rPr>
              <w:t>Finance, legal, HR, office rent, compliance</w:t>
            </w:r>
          </w:p>
        </w:tc>
        <w:tc>
          <w:tcPr>
            <w:tcW w:type="dxa" w:w="1584"/>
          </w:tcPr>
          <w:p>
            <w:r>
              <w:rPr>
                <w:rFonts w:ascii="Arial" w:hAnsi="Arial"/>
                <w:sz w:val="20"/>
              </w:rPr>
              <w:t>1.0</w:t>
            </w:r>
          </w:p>
        </w:tc>
        <w:tc>
          <w:tcPr>
            <w:tcW w:type="dxa" w:w="1584"/>
          </w:tcPr>
          <w:p>
            <w:r>
              <w:rPr>
                <w:rFonts w:ascii="Arial" w:hAnsi="Arial"/>
                <w:sz w:val="20"/>
              </w:rPr>
              <w:t>1.5</w:t>
            </w:r>
          </w:p>
        </w:tc>
        <w:tc>
          <w:tcPr>
            <w:tcW w:type="dxa" w:w="1440"/>
          </w:tcPr>
          <w:p>
            <w:r>
              <w:rPr>
                <w:rFonts w:ascii="Arial" w:hAnsi="Arial"/>
                <w:sz w:val="20"/>
              </w:rPr>
              <w:t>2.5</w:t>
            </w:r>
          </w:p>
        </w:tc>
      </w:tr>
      <w:tr>
        <w:tc>
          <w:tcPr>
            <w:tcW w:type="dxa" w:w="2880"/>
          </w:tcPr>
          <w:p>
            <w:r>
              <w:rPr>
                <w:rFonts w:ascii="Arial" w:hAnsi="Arial"/>
                <w:b/>
                <w:sz w:val="20"/>
              </w:rPr>
              <w:t>Depreciation &amp; Amortisation</w:t>
            </w:r>
          </w:p>
        </w:tc>
        <w:tc>
          <w:tcPr>
            <w:tcW w:type="dxa" w:w="3456"/>
          </w:tcPr>
          <w:p>
            <w:r>
              <w:rPr>
                <w:rFonts w:ascii="Arial" w:hAnsi="Arial"/>
                <w:sz w:val="20"/>
              </w:rPr>
              <w:t>Lab equipment, IP amortisation, leasehold improvements</w:t>
            </w:r>
          </w:p>
        </w:tc>
        <w:tc>
          <w:tcPr>
            <w:tcW w:type="dxa" w:w="1584"/>
          </w:tcPr>
          <w:p>
            <w:r>
              <w:rPr>
                <w:rFonts w:ascii="Arial" w:hAnsi="Arial"/>
                <w:sz w:val="20"/>
              </w:rPr>
              <w:t>0.4</w:t>
            </w:r>
          </w:p>
        </w:tc>
        <w:tc>
          <w:tcPr>
            <w:tcW w:type="dxa" w:w="1584"/>
          </w:tcPr>
          <w:p>
            <w:r>
              <w:rPr>
                <w:rFonts w:ascii="Arial" w:hAnsi="Arial"/>
                <w:sz w:val="20"/>
              </w:rPr>
              <w:t>0.6</w:t>
            </w:r>
          </w:p>
        </w:tc>
        <w:tc>
          <w:tcPr>
            <w:tcW w:type="dxa" w:w="1440"/>
          </w:tcPr>
          <w:p>
            <w:r>
              <w:rPr>
                <w:rFonts w:ascii="Arial" w:hAnsi="Arial"/>
                <w:sz w:val="20"/>
              </w:rPr>
              <w:t>0.9</w:t>
            </w:r>
          </w:p>
        </w:tc>
      </w:tr>
      <w:tr>
        <w:tc>
          <w:tcPr>
            <w:tcW w:type="dxa" w:w="2880"/>
          </w:tcPr>
          <w:p>
            <w:r>
              <w:rPr>
                <w:rFonts w:ascii="Arial" w:hAnsi="Arial"/>
                <w:b/>
                <w:sz w:val="20"/>
              </w:rPr>
              <w:t>Total Operating Costs</w:t>
            </w:r>
          </w:p>
        </w:tc>
        <w:tc>
          <w:tcPr>
            <w:tcW w:type="dxa" w:w="3456"/>
          </w:tcPr>
          <w:p>
            <w:r>
              <w:rPr>
                <w:rFonts w:ascii="Arial" w:hAnsi="Arial"/>
                <w:sz w:val="20"/>
              </w:rPr>
            </w:r>
          </w:p>
        </w:tc>
        <w:tc>
          <w:tcPr>
            <w:tcW w:type="dxa" w:w="1584"/>
          </w:tcPr>
          <w:p>
            <w:r>
              <w:rPr>
                <w:rFonts w:ascii="Arial" w:hAnsi="Arial"/>
                <w:sz w:val="20"/>
              </w:rPr>
              <w:t>9.8</w:t>
            </w:r>
          </w:p>
        </w:tc>
        <w:tc>
          <w:tcPr>
            <w:tcW w:type="dxa" w:w="1584"/>
          </w:tcPr>
          <w:p>
            <w:r>
              <w:rPr>
                <w:rFonts w:ascii="Arial" w:hAnsi="Arial"/>
                <w:sz w:val="20"/>
              </w:rPr>
              <w:t>16.9</w:t>
            </w:r>
          </w:p>
        </w:tc>
        <w:tc>
          <w:tcPr>
            <w:tcW w:type="dxa" w:w="1440"/>
          </w:tcPr>
          <w:p>
            <w:r>
              <w:rPr>
                <w:rFonts w:ascii="Arial" w:hAnsi="Arial"/>
                <w:sz w:val="20"/>
              </w:rPr>
              <w:t>27.6</w:t>
            </w:r>
          </w:p>
        </w:tc>
      </w:tr>
    </w:tbl>
    <w:p>
      <w:pPr>
        <w:spacing w:after="80"/>
      </w:pPr>
    </w:p>
    <w:p>
      <w:pPr>
        <w:pStyle w:val="Heading2"/>
      </w:pPr>
      <w:r>
        <w:t>6.2  Unit Economics (Per Robot — RaaS Model)</w:t>
      </w:r>
    </w:p>
    <w:tbl>
      <w:tblPr>
        <w:tblStyle w:val="TableGrid"/>
        <w:tblW w:type="auto" w:w="0"/>
        <w:tblLook w:firstColumn="1" w:firstRow="1" w:lastColumn="0" w:lastRow="0" w:noHBand="0" w:noVBand="1" w:val="04A0"/>
      </w:tblPr>
      <w:tblGrid>
        <w:gridCol w:w="4392"/>
        <w:gridCol w:w="4392"/>
      </w:tblGrid>
      <w:tr>
        <w:tc>
          <w:tcPr>
            <w:tcW w:type="dxa" w:w="5760"/>
            <w:shd w:val="clear" w:color="auto" w:fill="1F487E"/>
          </w:tcPr>
          <w:p>
            <w:r>
              <w:rPr>
                <w:rFonts w:ascii="Arial" w:hAnsi="Arial"/>
                <w:b/>
                <w:color w:val="FFFFFF"/>
                <w:sz w:val="20"/>
              </w:rPr>
              <w:t>Item</w:t>
            </w:r>
          </w:p>
        </w:tc>
        <w:tc>
          <w:tcPr>
            <w:tcW w:type="dxa" w:w="3744"/>
            <w:shd w:val="clear" w:color="auto" w:fill="1F487E"/>
          </w:tcPr>
          <w:p>
            <w:r>
              <w:rPr>
                <w:rFonts w:ascii="Arial" w:hAnsi="Arial"/>
                <w:b/>
                <w:color w:val="FFFFFF"/>
                <w:sz w:val="20"/>
              </w:rPr>
              <w:t>Per Robot / Month (INR)</w:t>
            </w:r>
          </w:p>
        </w:tc>
      </w:tr>
      <w:tr>
        <w:tc>
          <w:tcPr>
            <w:tcW w:type="dxa" w:w="5760"/>
          </w:tcPr>
          <w:p>
            <w:r>
              <w:rPr>
                <w:rFonts w:ascii="Arial" w:hAnsi="Arial"/>
                <w:b/>
                <w:sz w:val="20"/>
              </w:rPr>
              <w:t>RaaS Revenue</w:t>
            </w:r>
          </w:p>
        </w:tc>
        <w:tc>
          <w:tcPr>
            <w:tcW w:type="dxa" w:w="3744"/>
          </w:tcPr>
          <w:p>
            <w:r>
              <w:rPr>
                <w:rFonts w:ascii="Arial" w:hAnsi="Arial"/>
                <w:sz w:val="20"/>
              </w:rPr>
              <w:t>1,80,000</w:t>
            </w:r>
          </w:p>
        </w:tc>
      </w:tr>
      <w:tr>
        <w:tc>
          <w:tcPr>
            <w:tcW w:type="dxa" w:w="5760"/>
          </w:tcPr>
          <w:p>
            <w:r>
              <w:rPr>
                <w:rFonts w:ascii="Arial" w:hAnsi="Arial"/>
                <w:b/>
                <w:sz w:val="20"/>
              </w:rPr>
              <w:t>Less: Hardware amortisation</w:t>
            </w:r>
          </w:p>
        </w:tc>
        <w:tc>
          <w:tcPr>
            <w:tcW w:type="dxa" w:w="3744"/>
          </w:tcPr>
          <w:p>
            <w:r>
              <w:rPr>
                <w:rFonts w:ascii="Arial" w:hAnsi="Arial"/>
                <w:sz w:val="20"/>
              </w:rPr>
              <w:t>(6,000)</w:t>
            </w:r>
          </w:p>
        </w:tc>
      </w:tr>
      <w:tr>
        <w:tc>
          <w:tcPr>
            <w:tcW w:type="dxa" w:w="5760"/>
          </w:tcPr>
          <w:p>
            <w:r>
              <w:rPr>
                <w:rFonts w:ascii="Arial" w:hAnsi="Arial"/>
                <w:b/>
                <w:sz w:val="20"/>
              </w:rPr>
              <w:t>Less: Cloud infra (per robot)</w:t>
            </w:r>
          </w:p>
        </w:tc>
        <w:tc>
          <w:tcPr>
            <w:tcW w:type="dxa" w:w="3744"/>
          </w:tcPr>
          <w:p>
            <w:r>
              <w:rPr>
                <w:rFonts w:ascii="Arial" w:hAnsi="Arial"/>
                <w:sz w:val="20"/>
              </w:rPr>
              <w:t>(4,000)</w:t>
            </w:r>
          </w:p>
        </w:tc>
      </w:tr>
      <w:tr>
        <w:tc>
          <w:tcPr>
            <w:tcW w:type="dxa" w:w="5760"/>
          </w:tcPr>
          <w:p>
            <w:r>
              <w:rPr>
                <w:rFonts w:ascii="Arial" w:hAnsi="Arial"/>
                <w:b/>
                <w:sz w:val="20"/>
              </w:rPr>
              <w:t>Less: Support &amp; maintenance</w:t>
            </w:r>
          </w:p>
        </w:tc>
        <w:tc>
          <w:tcPr>
            <w:tcW w:type="dxa" w:w="3744"/>
          </w:tcPr>
          <w:p>
            <w:r>
              <w:rPr>
                <w:rFonts w:ascii="Arial" w:hAnsi="Arial"/>
                <w:sz w:val="20"/>
              </w:rPr>
              <w:t>(8,000)</w:t>
            </w:r>
          </w:p>
        </w:tc>
      </w:tr>
      <w:tr>
        <w:tc>
          <w:tcPr>
            <w:tcW w:type="dxa" w:w="5760"/>
          </w:tcPr>
          <w:p>
            <w:r>
              <w:rPr>
                <w:rFonts w:ascii="Arial" w:hAnsi="Arial"/>
                <w:b/>
                <w:sz w:val="20"/>
              </w:rPr>
              <w:t>Contribution Margin</w:t>
            </w:r>
          </w:p>
        </w:tc>
        <w:tc>
          <w:tcPr>
            <w:tcW w:type="dxa" w:w="3744"/>
          </w:tcPr>
          <w:p>
            <w:r>
              <w:rPr>
                <w:rFonts w:ascii="Arial" w:hAnsi="Arial"/>
                <w:sz w:val="20"/>
              </w:rPr>
              <w:t>1,62,000  (~90%)</w:t>
            </w:r>
          </w:p>
        </w:tc>
      </w:tr>
      <w:tr>
        <w:tc>
          <w:tcPr>
            <w:tcW w:type="dxa" w:w="5760"/>
          </w:tcPr>
          <w:p>
            <w:r>
              <w:rPr>
                <w:rFonts w:ascii="Arial" w:hAnsi="Arial"/>
                <w:b/>
                <w:sz w:val="20"/>
              </w:rPr>
              <w:t>Less: Allocated S&amp;M (CAC/36 mo)</w:t>
            </w:r>
          </w:p>
        </w:tc>
        <w:tc>
          <w:tcPr>
            <w:tcW w:type="dxa" w:w="3744"/>
          </w:tcPr>
          <w:p>
            <w:r>
              <w:rPr>
                <w:rFonts w:ascii="Arial" w:hAnsi="Arial"/>
                <w:sz w:val="20"/>
              </w:rPr>
              <w:t>(12,000)</w:t>
            </w:r>
          </w:p>
        </w:tc>
      </w:tr>
      <w:tr>
        <w:tc>
          <w:tcPr>
            <w:tcW w:type="dxa" w:w="5760"/>
          </w:tcPr>
          <w:p>
            <w:r>
              <w:rPr>
                <w:rFonts w:ascii="Arial" w:hAnsi="Arial"/>
                <w:b/>
                <w:sz w:val="20"/>
              </w:rPr>
              <w:t>Net Unit Contribution</w:t>
            </w:r>
          </w:p>
        </w:tc>
        <w:tc>
          <w:tcPr>
            <w:tcW w:type="dxa" w:w="3744"/>
          </w:tcPr>
          <w:p>
            <w:r>
              <w:rPr>
                <w:rFonts w:ascii="Arial" w:hAnsi="Arial"/>
                <w:sz w:val="20"/>
              </w:rPr>
              <w:t>1,50,000  (~83%)</w:t>
            </w:r>
          </w:p>
        </w:tc>
      </w:tr>
    </w:tbl>
    <w:p>
      <w:pPr>
        <w:spacing w:after="80"/>
      </w:pPr>
    </w:p>
    <w:p>
      <w:pPr>
        <w:spacing w:after="120"/>
      </w:pPr>
      <w:r>
        <w:rPr>
          <w:b w:val="0"/>
          <w:i w:val="0"/>
        </w:rPr>
        <w:t>Customer Acquisition Cost (CAC) is estimated at INR 4.5 lakh per customer (averaging 8 robots per customer). Lifetime Value (LTV) over a 5-year contract is approximately INR 86.4 lakh per customer (8 robots × INR 1.8 lakh × 60 months). LTV:CAC ratio of 19:1.</w:t>
      </w:r>
    </w:p>
    <w:p>
      <w:pPr>
        <w:pStyle w:val="Heading2"/>
      </w:pPr>
      <w:r>
        <w:t>6.3  Path to Gross Margin Improvement</w:t>
      </w:r>
    </w:p>
    <w:tbl>
      <w:tblPr>
        <w:tblStyle w:val="TableGrid"/>
        <w:tblW w:type="auto" w:w="0"/>
        <w:tblLook w:firstColumn="1" w:firstRow="1" w:lastColumn="0" w:lastRow="0" w:noHBand="0" w:noVBand="1" w:val="04A0"/>
      </w:tblPr>
      <w:tblGrid>
        <w:gridCol w:w="4392"/>
        <w:gridCol w:w="4392"/>
      </w:tblGrid>
      <w:tr>
        <w:tc>
          <w:tcPr>
            <w:tcW w:type="dxa" w:w="5760"/>
            <w:shd w:val="clear" w:color="auto" w:fill="1F487E"/>
          </w:tcPr>
          <w:p>
            <w:r>
              <w:rPr>
                <w:rFonts w:ascii="Arial" w:hAnsi="Arial"/>
                <w:b/>
                <w:color w:val="FFFFFF"/>
                <w:sz w:val="20"/>
              </w:rPr>
              <w:t>Driver</w:t>
            </w:r>
          </w:p>
        </w:tc>
        <w:tc>
          <w:tcPr>
            <w:tcW w:type="dxa" w:w="3744"/>
            <w:shd w:val="clear" w:color="auto" w:fill="1F487E"/>
          </w:tcPr>
          <w:p>
            <w:r>
              <w:rPr>
                <w:rFonts w:ascii="Arial" w:hAnsi="Arial"/>
                <w:b/>
                <w:color w:val="FFFFFF"/>
                <w:sz w:val="20"/>
              </w:rPr>
              <w:t>Impact</w:t>
            </w:r>
          </w:p>
        </w:tc>
      </w:tr>
      <w:tr>
        <w:tc>
          <w:tcPr>
            <w:tcW w:type="dxa" w:w="5760"/>
          </w:tcPr>
          <w:p>
            <w:r>
              <w:rPr>
                <w:rFonts w:ascii="Arial" w:hAnsi="Arial"/>
                <w:sz w:val="20"/>
              </w:rPr>
              <w:t>RaaS mix increasing from 20% (FY26) to 58% (FY28)</w:t>
            </w:r>
          </w:p>
        </w:tc>
        <w:tc>
          <w:tcPr>
            <w:tcW w:type="dxa" w:w="3744"/>
          </w:tcPr>
          <w:p>
            <w:r>
              <w:rPr>
                <w:rFonts w:ascii="Arial" w:hAnsi="Arial"/>
                <w:sz w:val="20"/>
              </w:rPr>
              <w:t>Overall blended gross margin improves from ~38% to ~64%</w:t>
            </w:r>
          </w:p>
        </w:tc>
      </w:tr>
      <w:tr>
        <w:tc>
          <w:tcPr>
            <w:tcW w:type="dxa" w:w="5760"/>
          </w:tcPr>
          <w:p>
            <w:r>
              <w:rPr>
                <w:rFonts w:ascii="Arial" w:hAnsi="Arial"/>
                <w:sz w:val="20"/>
              </w:rPr>
              <w:t>Volume-based BOM cost reduction (50+ units → 10–15% hardware COGS reduction)</w:t>
            </w:r>
          </w:p>
        </w:tc>
        <w:tc>
          <w:tcPr>
            <w:tcW w:type="dxa" w:w="3744"/>
          </w:tcPr>
          <w:p>
            <w:r>
              <w:rPr>
                <w:rFonts w:ascii="Arial" w:hAnsi="Arial"/>
                <w:sz w:val="20"/>
              </w:rPr>
              <w:t>Hardware gross margin improves from 35% to ~45% by FY28</w:t>
            </w:r>
          </w:p>
        </w:tc>
      </w:tr>
      <w:tr>
        <w:tc>
          <w:tcPr>
            <w:tcW w:type="dxa" w:w="5760"/>
          </w:tcPr>
          <w:p>
            <w:r>
              <w:rPr>
                <w:rFonts w:ascii="Arial" w:hAnsi="Arial"/>
                <w:sz w:val="20"/>
              </w:rPr>
              <w:t>Multi-tenant cloud architecture amortises infra cost across larger fleet</w:t>
            </w:r>
          </w:p>
        </w:tc>
        <w:tc>
          <w:tcPr>
            <w:tcW w:type="dxa" w:w="3744"/>
          </w:tcPr>
          <w:p>
            <w:r>
              <w:rPr>
                <w:rFonts w:ascii="Arial" w:hAnsi="Arial"/>
                <w:sz w:val="20"/>
              </w:rPr>
              <w:t>Cloud COGS per robot declines ~40% by FY28</w:t>
            </w:r>
          </w:p>
        </w:tc>
      </w:tr>
    </w:tbl>
    <w:p>
      <w:pPr>
        <w:spacing w:after="80"/>
      </w:pPr>
    </w:p>
    <w:p>
      <w:pPr>
        <w:pStyle w:val="Heading1"/>
      </w:pPr>
      <w:r>
        <w:t>7. Capital Requirements &amp; Funding Needs</w:t>
      </w:r>
    </w:p>
    <w:p>
      <w:pPr>
        <w:pStyle w:val="Heading2"/>
      </w:pPr>
      <w:r>
        <w:t>7.1  Funding History</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2016"/>
            <w:shd w:val="clear" w:color="auto" w:fill="1F487E"/>
          </w:tcPr>
          <w:p>
            <w:r>
              <w:rPr>
                <w:rFonts w:ascii="Arial" w:hAnsi="Arial"/>
                <w:b/>
                <w:color w:val="FFFFFF"/>
                <w:sz w:val="20"/>
              </w:rPr>
              <w:t>Round</w:t>
            </w:r>
          </w:p>
        </w:tc>
        <w:tc>
          <w:tcPr>
            <w:tcW w:type="dxa" w:w="1152"/>
            <w:shd w:val="clear" w:color="auto" w:fill="1F487E"/>
          </w:tcPr>
          <w:p>
            <w:r>
              <w:rPr>
                <w:rFonts w:ascii="Arial" w:hAnsi="Arial"/>
                <w:b/>
                <w:color w:val="FFFFFF"/>
                <w:sz w:val="20"/>
              </w:rPr>
              <w:t>Date</w:t>
            </w:r>
          </w:p>
        </w:tc>
        <w:tc>
          <w:tcPr>
            <w:tcW w:type="dxa" w:w="1440"/>
            <w:shd w:val="clear" w:color="auto" w:fill="1F487E"/>
          </w:tcPr>
          <w:p>
            <w:r>
              <w:rPr>
                <w:rFonts w:ascii="Arial" w:hAnsi="Arial"/>
                <w:b/>
                <w:color w:val="FFFFFF"/>
                <w:sz w:val="20"/>
              </w:rPr>
              <w:t>Amount</w:t>
            </w:r>
          </w:p>
        </w:tc>
        <w:tc>
          <w:tcPr>
            <w:tcW w:type="dxa" w:w="2880"/>
            <w:shd w:val="clear" w:color="auto" w:fill="1F487E"/>
          </w:tcPr>
          <w:p>
            <w:r>
              <w:rPr>
                <w:rFonts w:ascii="Arial" w:hAnsi="Arial"/>
                <w:b/>
                <w:color w:val="FFFFFF"/>
                <w:sz w:val="20"/>
              </w:rPr>
              <w:t>Investors</w:t>
            </w:r>
          </w:p>
        </w:tc>
        <w:tc>
          <w:tcPr>
            <w:tcW w:type="dxa" w:w="3456"/>
            <w:shd w:val="clear" w:color="auto" w:fill="1F487E"/>
          </w:tcPr>
          <w:p>
            <w:r>
              <w:rPr>
                <w:rFonts w:ascii="Arial" w:hAnsi="Arial"/>
                <w:b/>
                <w:color w:val="FFFFFF"/>
                <w:sz w:val="20"/>
              </w:rPr>
              <w:t>Use</w:t>
            </w:r>
          </w:p>
        </w:tc>
      </w:tr>
      <w:tr>
        <w:tc>
          <w:tcPr>
            <w:tcW w:type="dxa" w:w="2016"/>
          </w:tcPr>
          <w:p>
            <w:r>
              <w:rPr>
                <w:rFonts w:ascii="Arial" w:hAnsi="Arial"/>
                <w:sz w:val="20"/>
              </w:rPr>
              <w:t>Pre-seed / Bootstrapped</w:t>
            </w:r>
          </w:p>
        </w:tc>
        <w:tc>
          <w:tcPr>
            <w:tcW w:type="dxa" w:w="1152"/>
          </w:tcPr>
          <w:p>
            <w:r>
              <w:rPr>
                <w:rFonts w:ascii="Arial" w:hAnsi="Arial"/>
                <w:sz w:val="20"/>
              </w:rPr>
              <w:t>2024</w:t>
            </w:r>
          </w:p>
        </w:tc>
        <w:tc>
          <w:tcPr>
            <w:tcW w:type="dxa" w:w="1440"/>
          </w:tcPr>
          <w:p>
            <w:r>
              <w:rPr>
                <w:rFonts w:ascii="Arial" w:hAnsi="Arial"/>
                <w:sz w:val="20"/>
              </w:rPr>
              <w:t>INR 0.5 Cr</w:t>
            </w:r>
          </w:p>
        </w:tc>
        <w:tc>
          <w:tcPr>
            <w:tcW w:type="dxa" w:w="2880"/>
          </w:tcPr>
          <w:p>
            <w:r>
              <w:rPr>
                <w:rFonts w:ascii="Arial" w:hAnsi="Arial"/>
                <w:sz w:val="20"/>
              </w:rPr>
              <w:t>Founders</w:t>
            </w:r>
          </w:p>
        </w:tc>
        <w:tc>
          <w:tcPr>
            <w:tcW w:type="dxa" w:w="3456"/>
          </w:tcPr>
          <w:p>
            <w:r>
              <w:rPr>
                <w:rFonts w:ascii="Arial" w:hAnsi="Arial"/>
                <w:sz w:val="20"/>
              </w:rPr>
              <w:t>Concept validation, initial prototyping</w:t>
            </w:r>
          </w:p>
        </w:tc>
      </w:tr>
      <w:tr>
        <w:tc>
          <w:tcPr>
            <w:tcW w:type="dxa" w:w="2016"/>
          </w:tcPr>
          <w:p>
            <w:r>
              <w:rPr>
                <w:rFonts w:ascii="Arial" w:hAnsi="Arial"/>
                <w:sz w:val="20"/>
              </w:rPr>
              <w:t>Seed</w:t>
            </w:r>
          </w:p>
        </w:tc>
        <w:tc>
          <w:tcPr>
            <w:tcW w:type="dxa" w:w="1152"/>
          </w:tcPr>
          <w:p>
            <w:r>
              <w:rPr>
                <w:rFonts w:ascii="Arial" w:hAnsi="Arial"/>
                <w:sz w:val="20"/>
              </w:rPr>
              <w:t>Q2 2025</w:t>
            </w:r>
          </w:p>
        </w:tc>
        <w:tc>
          <w:tcPr>
            <w:tcW w:type="dxa" w:w="1440"/>
          </w:tcPr>
          <w:p>
            <w:r>
              <w:rPr>
                <w:rFonts w:ascii="Arial" w:hAnsi="Arial"/>
                <w:sz w:val="20"/>
              </w:rPr>
              <w:t>INR 3.5 Cr</w:t>
            </w:r>
          </w:p>
        </w:tc>
        <w:tc>
          <w:tcPr>
            <w:tcW w:type="dxa" w:w="2880"/>
          </w:tcPr>
          <w:p>
            <w:r>
              <w:rPr>
                <w:rFonts w:ascii="Arial" w:hAnsi="Arial"/>
                <w:sz w:val="20"/>
              </w:rPr>
              <w:t>SeedFund Ventures + 3 Angels</w:t>
            </w:r>
          </w:p>
        </w:tc>
        <w:tc>
          <w:tcPr>
            <w:tcW w:type="dxa" w:w="3456"/>
          </w:tcPr>
          <w:p>
            <w:r>
              <w:rPr>
                <w:rFonts w:ascii="Arial" w:hAnsi="Arial"/>
                <w:sz w:val="20"/>
              </w:rPr>
              <w:t>Prototype completion, cloud platform v1, first pilot</w:t>
            </w:r>
          </w:p>
        </w:tc>
      </w:tr>
    </w:tbl>
    <w:p>
      <w:pPr>
        <w:spacing w:after="80"/>
      </w:pPr>
    </w:p>
    <w:p>
      <w:pPr>
        <w:pStyle w:val="Heading2"/>
      </w:pPr>
      <w:r>
        <w:t>7.2  Current Funding Ask — Series A</w:t>
      </w:r>
    </w:p>
    <w:p>
      <w:pPr>
        <w:spacing w:before="40" w:after="40"/>
        <w:shd w:val="clear" w:color="auto" w:fill="1F487E"/>
      </w:pPr>
      <w:r>
        <w:rPr>
          <w:rFonts w:ascii="Arial" w:hAnsi="Arial"/>
          <w:b/>
          <w:color w:val="FFFFFF"/>
          <w:sz w:val="22"/>
        </w:rPr>
        <w:t xml:space="preserve">  Funding Ask:  INR 30 Crore  |  Series A  |  Target Close: Q3 FY2027</w:t>
      </w:r>
    </w:p>
    <w:p>
      <w:pPr>
        <w:spacing w:after="80"/>
      </w:pPr>
    </w:p>
    <w:p>
      <w:pPr>
        <w:spacing w:after="120"/>
      </w:pPr>
      <w:r>
        <w:rPr>
          <w:b w:val="0"/>
          <w:i w:val="0"/>
        </w:rPr>
        <w:t>The Series A round of INR 30 Crore will fund CloudRobotics through to EBITDA breakeven (Q3 FY2028) and position the company for a Series B targeting international expansion in FY2029.</w:t>
      </w:r>
    </w:p>
    <w:p>
      <w:pPr>
        <w:pStyle w:val="Heading2"/>
      </w:pPr>
      <w:r>
        <w:t>7.3  Use of Proceeds</w:t>
      </w:r>
    </w:p>
    <w:tbl>
      <w:tblPr>
        <w:tblStyle w:val="TableGrid"/>
        <w:tblW w:type="auto" w:w="0"/>
        <w:tblLook w:firstColumn="1" w:firstRow="1" w:lastColumn="0" w:lastRow="0" w:noHBand="0" w:noVBand="1" w:val="04A0"/>
      </w:tblPr>
      <w:tblGrid>
        <w:gridCol w:w="2196"/>
        <w:gridCol w:w="2196"/>
        <w:gridCol w:w="2196"/>
        <w:gridCol w:w="2196"/>
      </w:tblGrid>
      <w:tr>
        <w:tc>
          <w:tcPr>
            <w:tcW w:type="dxa" w:w="3168"/>
            <w:shd w:val="clear" w:color="auto" w:fill="1F487E"/>
          </w:tcPr>
          <w:p>
            <w:r>
              <w:rPr>
                <w:rFonts w:ascii="Arial" w:hAnsi="Arial"/>
                <w:b/>
                <w:color w:val="FFFFFF"/>
                <w:sz w:val="20"/>
              </w:rPr>
              <w:t>Category</w:t>
            </w:r>
          </w:p>
        </w:tc>
        <w:tc>
          <w:tcPr>
            <w:tcW w:type="dxa" w:w="1872"/>
            <w:shd w:val="clear" w:color="auto" w:fill="1F487E"/>
          </w:tcPr>
          <w:p>
            <w:r>
              <w:rPr>
                <w:rFonts w:ascii="Arial" w:hAnsi="Arial"/>
                <w:b/>
                <w:color w:val="FFFFFF"/>
                <w:sz w:val="20"/>
              </w:rPr>
              <w:t>Amount (INR Cr)</w:t>
            </w:r>
          </w:p>
        </w:tc>
        <w:tc>
          <w:tcPr>
            <w:tcW w:type="dxa" w:w="1296"/>
            <w:shd w:val="clear" w:color="auto" w:fill="1F487E"/>
          </w:tcPr>
          <w:p>
            <w:r>
              <w:rPr>
                <w:rFonts w:ascii="Arial" w:hAnsi="Arial"/>
                <w:b/>
                <w:color w:val="FFFFFF"/>
                <w:sz w:val="20"/>
              </w:rPr>
              <w:t>% of Round</w:t>
            </w:r>
          </w:p>
        </w:tc>
        <w:tc>
          <w:tcPr>
            <w:tcW w:type="dxa" w:w="4608"/>
            <w:shd w:val="clear" w:color="auto" w:fill="1F487E"/>
          </w:tcPr>
          <w:p>
            <w:r>
              <w:rPr>
                <w:rFonts w:ascii="Arial" w:hAnsi="Arial"/>
                <w:b/>
                <w:color w:val="FFFFFF"/>
                <w:sz w:val="20"/>
              </w:rPr>
              <w:t>Key Activities</w:t>
            </w:r>
          </w:p>
        </w:tc>
      </w:tr>
      <w:tr>
        <w:tc>
          <w:tcPr>
            <w:tcW w:type="dxa" w:w="3168"/>
          </w:tcPr>
          <w:p>
            <w:r>
              <w:rPr>
                <w:rFonts w:ascii="Arial" w:hAnsi="Arial"/>
                <w:b/>
                <w:sz w:val="20"/>
              </w:rPr>
              <w:t>R&amp;D &amp; Product Engineering</w:t>
            </w:r>
          </w:p>
        </w:tc>
        <w:tc>
          <w:tcPr>
            <w:tcW w:type="dxa" w:w="1872"/>
          </w:tcPr>
          <w:p>
            <w:r>
              <w:rPr>
                <w:rFonts w:ascii="Arial" w:hAnsi="Arial"/>
                <w:sz w:val="20"/>
              </w:rPr>
              <w:t>10.0</w:t>
            </w:r>
          </w:p>
        </w:tc>
        <w:tc>
          <w:tcPr>
            <w:tcW w:type="dxa" w:w="1296"/>
          </w:tcPr>
          <w:p>
            <w:r>
              <w:rPr>
                <w:rFonts w:ascii="Arial" w:hAnsi="Arial"/>
                <w:sz w:val="20"/>
              </w:rPr>
              <w:t>33%</w:t>
            </w:r>
          </w:p>
        </w:tc>
        <w:tc>
          <w:tcPr>
            <w:tcW w:type="dxa" w:w="4608"/>
          </w:tcPr>
          <w:p>
            <w:r>
              <w:rPr>
                <w:rFonts w:ascii="Arial" w:hAnsi="Arial"/>
                <w:sz w:val="20"/>
              </w:rPr>
              <w:t>10 new task profiles, platform v2, edge AI capability, 2 additional patent filings</w:t>
            </w:r>
          </w:p>
        </w:tc>
      </w:tr>
      <w:tr>
        <w:tc>
          <w:tcPr>
            <w:tcW w:type="dxa" w:w="3168"/>
          </w:tcPr>
          <w:p>
            <w:r>
              <w:rPr>
                <w:rFonts w:ascii="Arial" w:hAnsi="Arial"/>
                <w:b/>
                <w:sz w:val="20"/>
              </w:rPr>
              <w:t>Manufacturing Scale-Up</w:t>
            </w:r>
          </w:p>
        </w:tc>
        <w:tc>
          <w:tcPr>
            <w:tcW w:type="dxa" w:w="1872"/>
          </w:tcPr>
          <w:p>
            <w:r>
              <w:rPr>
                <w:rFonts w:ascii="Arial" w:hAnsi="Arial"/>
                <w:sz w:val="20"/>
              </w:rPr>
              <w:t>8.0</w:t>
            </w:r>
          </w:p>
        </w:tc>
        <w:tc>
          <w:tcPr>
            <w:tcW w:type="dxa" w:w="1296"/>
          </w:tcPr>
          <w:p>
            <w:r>
              <w:rPr>
                <w:rFonts w:ascii="Arial" w:hAnsi="Arial"/>
                <w:sz w:val="20"/>
              </w:rPr>
              <w:t>27%</w:t>
            </w:r>
          </w:p>
        </w:tc>
        <w:tc>
          <w:tcPr>
            <w:tcW w:type="dxa" w:w="4608"/>
          </w:tcPr>
          <w:p>
            <w:r>
              <w:rPr>
                <w:rFonts w:ascii="Arial" w:hAnsi="Arial"/>
                <w:sz w:val="20"/>
              </w:rPr>
              <w:t>Contract manufacturing setup in Pune, tooling, supply chain, quality systems</w:t>
            </w:r>
          </w:p>
        </w:tc>
      </w:tr>
      <w:tr>
        <w:tc>
          <w:tcPr>
            <w:tcW w:type="dxa" w:w="3168"/>
          </w:tcPr>
          <w:p>
            <w:r>
              <w:rPr>
                <w:rFonts w:ascii="Arial" w:hAnsi="Arial"/>
                <w:b/>
                <w:sz w:val="20"/>
              </w:rPr>
              <w:t>Sales &amp; Marketing</w:t>
            </w:r>
          </w:p>
        </w:tc>
        <w:tc>
          <w:tcPr>
            <w:tcW w:type="dxa" w:w="1872"/>
          </w:tcPr>
          <w:p>
            <w:r>
              <w:rPr>
                <w:rFonts w:ascii="Arial" w:hAnsi="Arial"/>
                <w:sz w:val="20"/>
              </w:rPr>
              <w:t>7.0</w:t>
            </w:r>
          </w:p>
        </w:tc>
        <w:tc>
          <w:tcPr>
            <w:tcW w:type="dxa" w:w="1296"/>
          </w:tcPr>
          <w:p>
            <w:r>
              <w:rPr>
                <w:rFonts w:ascii="Arial" w:hAnsi="Arial"/>
                <w:sz w:val="20"/>
              </w:rPr>
              <w:t>23%</w:t>
            </w:r>
          </w:p>
        </w:tc>
        <w:tc>
          <w:tcPr>
            <w:tcW w:type="dxa" w:w="4608"/>
          </w:tcPr>
          <w:p>
            <w:r>
              <w:rPr>
                <w:rFonts w:ascii="Arial" w:hAnsi="Arial"/>
                <w:sz w:val="20"/>
              </w:rPr>
              <w:t>25-person sales/CS team, 3 regional offices, industry events, digital marketing</w:t>
            </w:r>
          </w:p>
        </w:tc>
      </w:tr>
      <w:tr>
        <w:tc>
          <w:tcPr>
            <w:tcW w:type="dxa" w:w="3168"/>
          </w:tcPr>
          <w:p>
            <w:r>
              <w:rPr>
                <w:rFonts w:ascii="Arial" w:hAnsi="Arial"/>
                <w:b/>
                <w:sz w:val="20"/>
              </w:rPr>
              <w:t>Working Capital</w:t>
            </w:r>
          </w:p>
        </w:tc>
        <w:tc>
          <w:tcPr>
            <w:tcW w:type="dxa" w:w="1872"/>
          </w:tcPr>
          <w:p>
            <w:r>
              <w:rPr>
                <w:rFonts w:ascii="Arial" w:hAnsi="Arial"/>
                <w:sz w:val="20"/>
              </w:rPr>
              <w:t>3.0</w:t>
            </w:r>
          </w:p>
        </w:tc>
        <w:tc>
          <w:tcPr>
            <w:tcW w:type="dxa" w:w="1296"/>
          </w:tcPr>
          <w:p>
            <w:r>
              <w:rPr>
                <w:rFonts w:ascii="Arial" w:hAnsi="Arial"/>
                <w:sz w:val="20"/>
              </w:rPr>
              <w:t>10%</w:t>
            </w:r>
          </w:p>
        </w:tc>
        <w:tc>
          <w:tcPr>
            <w:tcW w:type="dxa" w:w="4608"/>
          </w:tcPr>
          <w:p>
            <w:r>
              <w:rPr>
                <w:rFonts w:ascii="Arial" w:hAnsi="Arial"/>
                <w:sz w:val="20"/>
              </w:rPr>
              <w:t>Inventory buffer, receivables financing, pilot-to-commercial conversion support</w:t>
            </w:r>
          </w:p>
        </w:tc>
      </w:tr>
      <w:tr>
        <w:tc>
          <w:tcPr>
            <w:tcW w:type="dxa" w:w="3168"/>
          </w:tcPr>
          <w:p>
            <w:r>
              <w:rPr>
                <w:rFonts w:ascii="Arial" w:hAnsi="Arial"/>
                <w:b/>
                <w:sz w:val="20"/>
              </w:rPr>
              <w:t>General &amp; Administrative</w:t>
            </w:r>
          </w:p>
        </w:tc>
        <w:tc>
          <w:tcPr>
            <w:tcW w:type="dxa" w:w="1872"/>
          </w:tcPr>
          <w:p>
            <w:r>
              <w:rPr>
                <w:rFonts w:ascii="Arial" w:hAnsi="Arial"/>
                <w:sz w:val="20"/>
              </w:rPr>
              <w:t>2.0</w:t>
            </w:r>
          </w:p>
        </w:tc>
        <w:tc>
          <w:tcPr>
            <w:tcW w:type="dxa" w:w="1296"/>
          </w:tcPr>
          <w:p>
            <w:r>
              <w:rPr>
                <w:rFonts w:ascii="Arial" w:hAnsi="Arial"/>
                <w:sz w:val="20"/>
              </w:rPr>
              <w:t>7%</w:t>
            </w:r>
          </w:p>
        </w:tc>
        <w:tc>
          <w:tcPr>
            <w:tcW w:type="dxa" w:w="4608"/>
          </w:tcPr>
          <w:p>
            <w:r>
              <w:rPr>
                <w:rFonts w:ascii="Arial" w:hAnsi="Arial"/>
                <w:sz w:val="20"/>
              </w:rPr>
              <w:t>Finance, legal, HR, compliance, ERP implementation</w:t>
            </w:r>
          </w:p>
        </w:tc>
      </w:tr>
      <w:tr>
        <w:tc>
          <w:tcPr>
            <w:tcW w:type="dxa" w:w="3168"/>
          </w:tcPr>
          <w:p>
            <w:r>
              <w:rPr>
                <w:rFonts w:ascii="Arial" w:hAnsi="Arial"/>
                <w:b/>
                <w:sz w:val="20"/>
              </w:rPr>
              <w:t>Total</w:t>
            </w:r>
          </w:p>
        </w:tc>
        <w:tc>
          <w:tcPr>
            <w:tcW w:type="dxa" w:w="1872"/>
          </w:tcPr>
          <w:p>
            <w:r>
              <w:rPr>
                <w:rFonts w:ascii="Arial" w:hAnsi="Arial"/>
                <w:sz w:val="20"/>
              </w:rPr>
              <w:t>30.0</w:t>
            </w:r>
          </w:p>
        </w:tc>
        <w:tc>
          <w:tcPr>
            <w:tcW w:type="dxa" w:w="1296"/>
          </w:tcPr>
          <w:p>
            <w:r>
              <w:rPr>
                <w:rFonts w:ascii="Arial" w:hAnsi="Arial"/>
                <w:sz w:val="20"/>
              </w:rPr>
              <w:t>100%</w:t>
            </w:r>
          </w:p>
        </w:tc>
        <w:tc>
          <w:tcPr>
            <w:tcW w:type="dxa" w:w="4608"/>
          </w:tcPr>
          <w:p>
            <w:r>
              <w:rPr>
                <w:rFonts w:ascii="Arial" w:hAnsi="Arial"/>
                <w:sz w:val="20"/>
              </w:rPr>
            </w:r>
          </w:p>
        </w:tc>
      </w:tr>
    </w:tbl>
    <w:p>
      <w:pPr>
        <w:spacing w:after="80"/>
      </w:pPr>
    </w:p>
    <w:p>
      <w:pPr>
        <w:pStyle w:val="Heading2"/>
      </w:pPr>
      <w:r>
        <w:t>7.4  Runway &amp; Milestones Funded</w:t>
      </w:r>
    </w:p>
    <w:p>
      <w:pPr>
        <w:spacing w:after="120"/>
      </w:pPr>
      <w:r>
        <w:rPr>
          <w:b w:val="0"/>
          <w:i w:val="0"/>
        </w:rPr>
        <w:t>The Series A provides approximately 24 months of runway at projected burn rates, through to EBITDA breakeven in Q3 FY2028. Key milestones this funding unlocks:</w:t>
      </w:r>
    </w:p>
    <w:tbl>
      <w:tblPr>
        <w:tblStyle w:val="TableGrid"/>
        <w:tblW w:type="auto" w:w="0"/>
        <w:tblLook w:firstColumn="1" w:firstRow="1" w:lastColumn="0" w:lastRow="0" w:noHBand="0" w:noVBand="1" w:val="04A0"/>
      </w:tblPr>
      <w:tblGrid>
        <w:gridCol w:w="2928"/>
        <w:gridCol w:w="2928"/>
        <w:gridCol w:w="2928"/>
      </w:tblGrid>
      <w:tr>
        <w:tc>
          <w:tcPr>
            <w:tcW w:type="dxa" w:w="5040"/>
            <w:shd w:val="clear" w:color="auto" w:fill="1F487E"/>
          </w:tcPr>
          <w:p>
            <w:r>
              <w:rPr>
                <w:rFonts w:ascii="Arial" w:hAnsi="Arial"/>
                <w:b/>
                <w:color w:val="FFFFFF"/>
                <w:sz w:val="20"/>
              </w:rPr>
              <w:t>Milestone</w:t>
            </w:r>
          </w:p>
        </w:tc>
        <w:tc>
          <w:tcPr>
            <w:tcW w:type="dxa" w:w="1872"/>
            <w:shd w:val="clear" w:color="auto" w:fill="1F487E"/>
          </w:tcPr>
          <w:p>
            <w:r>
              <w:rPr>
                <w:rFonts w:ascii="Arial" w:hAnsi="Arial"/>
                <w:b/>
                <w:color w:val="FFFFFF"/>
                <w:sz w:val="20"/>
              </w:rPr>
              <w:t>Target Date</w:t>
            </w:r>
          </w:p>
        </w:tc>
        <w:tc>
          <w:tcPr>
            <w:tcW w:type="dxa" w:w="2592"/>
            <w:shd w:val="clear" w:color="auto" w:fill="1F487E"/>
          </w:tcPr>
          <w:p>
            <w:r>
              <w:rPr>
                <w:rFonts w:ascii="Arial" w:hAnsi="Arial"/>
                <w:b/>
                <w:color w:val="FFFFFF"/>
                <w:sz w:val="20"/>
              </w:rPr>
              <w:t>Funded By Series A?</w:t>
            </w:r>
          </w:p>
        </w:tc>
      </w:tr>
      <w:tr>
        <w:tc>
          <w:tcPr>
            <w:tcW w:type="dxa" w:w="5040"/>
          </w:tcPr>
          <w:p>
            <w:r>
              <w:rPr>
                <w:rFonts w:ascii="Arial" w:hAnsi="Arial"/>
                <w:sz w:val="20"/>
              </w:rPr>
              <w:t>200 robots manufactured and available for deployment</w:t>
            </w:r>
          </w:p>
        </w:tc>
        <w:tc>
          <w:tcPr>
            <w:tcW w:type="dxa" w:w="1872"/>
          </w:tcPr>
          <w:p>
            <w:r>
              <w:rPr>
                <w:rFonts w:ascii="Arial" w:hAnsi="Arial"/>
                <w:sz w:val="20"/>
              </w:rPr>
              <w:t>Q4 FY2027</w:t>
            </w:r>
          </w:p>
        </w:tc>
        <w:tc>
          <w:tcPr>
            <w:tcW w:type="dxa" w:w="2592"/>
          </w:tcPr>
          <w:p>
            <w:r>
              <w:rPr>
                <w:rFonts w:ascii="Arial" w:hAnsi="Arial"/>
                <w:sz w:val="20"/>
              </w:rPr>
              <w:t>Yes</w:t>
            </w:r>
          </w:p>
        </w:tc>
      </w:tr>
      <w:tr>
        <w:tc>
          <w:tcPr>
            <w:tcW w:type="dxa" w:w="5040"/>
          </w:tcPr>
          <w:p>
            <w:r>
              <w:rPr>
                <w:rFonts w:ascii="Arial" w:hAnsi="Arial"/>
                <w:sz w:val="20"/>
              </w:rPr>
              <w:t>10 paying commercial customers (post-pilot)</w:t>
            </w:r>
          </w:p>
        </w:tc>
        <w:tc>
          <w:tcPr>
            <w:tcW w:type="dxa" w:w="1872"/>
          </w:tcPr>
          <w:p>
            <w:r>
              <w:rPr>
                <w:rFonts w:ascii="Arial" w:hAnsi="Arial"/>
                <w:sz w:val="20"/>
              </w:rPr>
              <w:t>Q2 FY2027</w:t>
            </w:r>
          </w:p>
        </w:tc>
        <w:tc>
          <w:tcPr>
            <w:tcW w:type="dxa" w:w="2592"/>
          </w:tcPr>
          <w:p>
            <w:r>
              <w:rPr>
                <w:rFonts w:ascii="Arial" w:hAnsi="Arial"/>
                <w:sz w:val="20"/>
              </w:rPr>
              <w:t>Yes</w:t>
            </w:r>
          </w:p>
        </w:tc>
      </w:tr>
      <w:tr>
        <w:tc>
          <w:tcPr>
            <w:tcW w:type="dxa" w:w="5040"/>
          </w:tcPr>
          <w:p>
            <w:r>
              <w:rPr>
                <w:rFonts w:ascii="Arial" w:hAnsi="Arial"/>
                <w:sz w:val="20"/>
              </w:rPr>
              <w:t>Cloud platform v2 with 10 task profiles live</w:t>
            </w:r>
          </w:p>
        </w:tc>
        <w:tc>
          <w:tcPr>
            <w:tcW w:type="dxa" w:w="1872"/>
          </w:tcPr>
          <w:p>
            <w:r>
              <w:rPr>
                <w:rFonts w:ascii="Arial" w:hAnsi="Arial"/>
                <w:sz w:val="20"/>
              </w:rPr>
              <w:t>Q3 FY2027</w:t>
            </w:r>
          </w:p>
        </w:tc>
        <w:tc>
          <w:tcPr>
            <w:tcW w:type="dxa" w:w="2592"/>
          </w:tcPr>
          <w:p>
            <w:r>
              <w:rPr>
                <w:rFonts w:ascii="Arial" w:hAnsi="Arial"/>
                <w:sz w:val="20"/>
              </w:rPr>
              <w:t>Yes</w:t>
            </w:r>
          </w:p>
        </w:tc>
      </w:tr>
      <w:tr>
        <w:tc>
          <w:tcPr>
            <w:tcW w:type="dxa" w:w="5040"/>
          </w:tcPr>
          <w:p>
            <w:r>
              <w:rPr>
                <w:rFonts w:ascii="Arial" w:hAnsi="Arial"/>
                <w:sz w:val="20"/>
              </w:rPr>
              <w:t>IATF 16949 certification (automotive quality standard)</w:t>
            </w:r>
          </w:p>
        </w:tc>
        <w:tc>
          <w:tcPr>
            <w:tcW w:type="dxa" w:w="1872"/>
          </w:tcPr>
          <w:p>
            <w:r>
              <w:rPr>
                <w:rFonts w:ascii="Arial" w:hAnsi="Arial"/>
                <w:sz w:val="20"/>
              </w:rPr>
              <w:t>Q1 FY2028</w:t>
            </w:r>
          </w:p>
        </w:tc>
        <w:tc>
          <w:tcPr>
            <w:tcW w:type="dxa" w:w="2592"/>
          </w:tcPr>
          <w:p>
            <w:r>
              <w:rPr>
                <w:rFonts w:ascii="Arial" w:hAnsi="Arial"/>
                <w:sz w:val="20"/>
              </w:rPr>
              <w:t>Yes</w:t>
            </w:r>
          </w:p>
        </w:tc>
      </w:tr>
      <w:tr>
        <w:tc>
          <w:tcPr>
            <w:tcW w:type="dxa" w:w="5040"/>
          </w:tcPr>
          <w:p>
            <w:r>
              <w:rPr>
                <w:rFonts w:ascii="Arial" w:hAnsi="Arial"/>
                <w:sz w:val="20"/>
              </w:rPr>
              <w:t>Revenue of INR 12 Cr</w:t>
            </w:r>
          </w:p>
        </w:tc>
        <w:tc>
          <w:tcPr>
            <w:tcW w:type="dxa" w:w="1872"/>
          </w:tcPr>
          <w:p>
            <w:r>
              <w:rPr>
                <w:rFonts w:ascii="Arial" w:hAnsi="Arial"/>
                <w:sz w:val="20"/>
              </w:rPr>
              <w:t>FY2027</w:t>
            </w:r>
          </w:p>
        </w:tc>
        <w:tc>
          <w:tcPr>
            <w:tcW w:type="dxa" w:w="2592"/>
          </w:tcPr>
          <w:p>
            <w:r>
              <w:rPr>
                <w:rFonts w:ascii="Arial" w:hAnsi="Arial"/>
                <w:sz w:val="20"/>
              </w:rPr>
              <w:t>Yes</w:t>
            </w:r>
          </w:p>
        </w:tc>
      </w:tr>
      <w:tr>
        <w:tc>
          <w:tcPr>
            <w:tcW w:type="dxa" w:w="5040"/>
          </w:tcPr>
          <w:p>
            <w:r>
              <w:rPr>
                <w:rFonts w:ascii="Arial" w:hAnsi="Arial"/>
                <w:sz w:val="20"/>
              </w:rPr>
              <w:t>EBITDA breakeven</w:t>
            </w:r>
          </w:p>
        </w:tc>
        <w:tc>
          <w:tcPr>
            <w:tcW w:type="dxa" w:w="1872"/>
          </w:tcPr>
          <w:p>
            <w:r>
              <w:rPr>
                <w:rFonts w:ascii="Arial" w:hAnsi="Arial"/>
                <w:sz w:val="20"/>
              </w:rPr>
              <w:t>Q3 FY2028</w:t>
            </w:r>
          </w:p>
        </w:tc>
        <w:tc>
          <w:tcPr>
            <w:tcW w:type="dxa" w:w="2592"/>
          </w:tcPr>
          <w:p>
            <w:r>
              <w:rPr>
                <w:rFonts w:ascii="Arial" w:hAnsi="Arial"/>
                <w:sz w:val="20"/>
              </w:rPr>
              <w:t>Yes</w:t>
            </w:r>
          </w:p>
        </w:tc>
      </w:tr>
      <w:tr>
        <w:tc>
          <w:tcPr>
            <w:tcW w:type="dxa" w:w="5040"/>
          </w:tcPr>
          <w:p>
            <w:r>
              <w:rPr>
                <w:rFonts w:ascii="Arial" w:hAnsi="Arial"/>
                <w:sz w:val="20"/>
              </w:rPr>
              <w:t>Series B raise (INR 80 Cr) for international expansion</w:t>
            </w:r>
          </w:p>
        </w:tc>
        <w:tc>
          <w:tcPr>
            <w:tcW w:type="dxa" w:w="1872"/>
          </w:tcPr>
          <w:p>
            <w:r>
              <w:rPr>
                <w:rFonts w:ascii="Arial" w:hAnsi="Arial"/>
                <w:sz w:val="20"/>
              </w:rPr>
              <w:t>Q4 FY2028</w:t>
            </w:r>
          </w:p>
        </w:tc>
        <w:tc>
          <w:tcPr>
            <w:tcW w:type="dxa" w:w="2592"/>
          </w:tcPr>
          <w:p>
            <w:r>
              <w:rPr>
                <w:rFonts w:ascii="Arial" w:hAnsi="Arial"/>
                <w:sz w:val="20"/>
              </w:rPr>
              <w:t>Milestone trigger</w:t>
            </w:r>
          </w:p>
        </w:tc>
      </w:tr>
    </w:tbl>
    <w:p>
      <w:pPr>
        <w:spacing w:after="80"/>
      </w:pPr>
    </w:p>
    <w:p>
      <w:pPr>
        <w:pStyle w:val="Heading2"/>
      </w:pPr>
      <w:r>
        <w:t>7.5  Future Funding Roadmap</w:t>
      </w:r>
    </w:p>
    <w:tbl>
      <w:tblPr>
        <w:tblStyle w:val="TableGrid"/>
        <w:tblW w:type="auto" w:w="0"/>
        <w:tblLook w:firstColumn="1" w:firstRow="1" w:lastColumn="0" w:lastRow="0" w:noHBand="0" w:noVBand="1" w:val="04A0"/>
      </w:tblPr>
      <w:tblGrid>
        <w:gridCol w:w="2196"/>
        <w:gridCol w:w="2196"/>
        <w:gridCol w:w="2196"/>
        <w:gridCol w:w="2196"/>
      </w:tblGrid>
      <w:tr>
        <w:tc>
          <w:tcPr>
            <w:tcW w:type="dxa" w:w="2592"/>
            <w:shd w:val="clear" w:color="auto" w:fill="1F487E"/>
          </w:tcPr>
          <w:p>
            <w:r>
              <w:rPr>
                <w:rFonts w:ascii="Arial" w:hAnsi="Arial"/>
                <w:b/>
                <w:color w:val="FFFFFF"/>
                <w:sz w:val="20"/>
              </w:rPr>
              <w:t>Round</w:t>
            </w:r>
          </w:p>
        </w:tc>
        <w:tc>
          <w:tcPr>
            <w:tcW w:type="dxa" w:w="1728"/>
            <w:shd w:val="clear" w:color="auto" w:fill="1F487E"/>
          </w:tcPr>
          <w:p>
            <w:r>
              <w:rPr>
                <w:rFonts w:ascii="Arial" w:hAnsi="Arial"/>
                <w:b/>
                <w:color w:val="FFFFFF"/>
                <w:sz w:val="20"/>
              </w:rPr>
              <w:t>Timing</w:t>
            </w:r>
          </w:p>
        </w:tc>
        <w:tc>
          <w:tcPr>
            <w:tcW w:type="dxa" w:w="2016"/>
            <w:shd w:val="clear" w:color="auto" w:fill="1F487E"/>
          </w:tcPr>
          <w:p>
            <w:r>
              <w:rPr>
                <w:rFonts w:ascii="Arial" w:hAnsi="Arial"/>
                <w:b/>
                <w:color w:val="FFFFFF"/>
                <w:sz w:val="20"/>
              </w:rPr>
              <w:t>Target Size</w:t>
            </w:r>
          </w:p>
        </w:tc>
        <w:tc>
          <w:tcPr>
            <w:tcW w:type="dxa" w:w="4608"/>
            <w:shd w:val="clear" w:color="auto" w:fill="1F487E"/>
          </w:tcPr>
          <w:p>
            <w:r>
              <w:rPr>
                <w:rFonts w:ascii="Arial" w:hAnsi="Arial"/>
                <w:b/>
                <w:color w:val="FFFFFF"/>
                <w:sz w:val="20"/>
              </w:rPr>
              <w:t>Purpose</w:t>
            </w:r>
          </w:p>
        </w:tc>
      </w:tr>
      <w:tr>
        <w:tc>
          <w:tcPr>
            <w:tcW w:type="dxa" w:w="2592"/>
          </w:tcPr>
          <w:p>
            <w:r>
              <w:rPr>
                <w:rFonts w:ascii="Arial" w:hAnsi="Arial"/>
                <w:sz w:val="20"/>
              </w:rPr>
              <w:t>Series A (current)</w:t>
            </w:r>
          </w:p>
        </w:tc>
        <w:tc>
          <w:tcPr>
            <w:tcW w:type="dxa" w:w="1728"/>
          </w:tcPr>
          <w:p>
            <w:r>
              <w:rPr>
                <w:rFonts w:ascii="Arial" w:hAnsi="Arial"/>
                <w:sz w:val="20"/>
              </w:rPr>
              <w:t>Q3 FY2027</w:t>
            </w:r>
          </w:p>
        </w:tc>
        <w:tc>
          <w:tcPr>
            <w:tcW w:type="dxa" w:w="2016"/>
          </w:tcPr>
          <w:p>
            <w:r>
              <w:rPr>
                <w:rFonts w:ascii="Arial" w:hAnsi="Arial"/>
                <w:sz w:val="20"/>
              </w:rPr>
              <w:t>INR 30 Cr</w:t>
            </w:r>
          </w:p>
        </w:tc>
        <w:tc>
          <w:tcPr>
            <w:tcW w:type="dxa" w:w="4608"/>
          </w:tcPr>
          <w:p>
            <w:r>
              <w:rPr>
                <w:rFonts w:ascii="Arial" w:hAnsi="Arial"/>
                <w:sz w:val="20"/>
              </w:rPr>
              <w:t>India scale-up, manufacturing, breakeven</w:t>
            </w:r>
          </w:p>
        </w:tc>
      </w:tr>
      <w:tr>
        <w:tc>
          <w:tcPr>
            <w:tcW w:type="dxa" w:w="2592"/>
          </w:tcPr>
          <w:p>
            <w:r>
              <w:rPr>
                <w:rFonts w:ascii="Arial" w:hAnsi="Arial"/>
                <w:sz w:val="20"/>
              </w:rPr>
              <w:t>Series B</w:t>
            </w:r>
          </w:p>
        </w:tc>
        <w:tc>
          <w:tcPr>
            <w:tcW w:type="dxa" w:w="1728"/>
          </w:tcPr>
          <w:p>
            <w:r>
              <w:rPr>
                <w:rFonts w:ascii="Arial" w:hAnsi="Arial"/>
                <w:sz w:val="20"/>
              </w:rPr>
              <w:t>Q4 FY2028</w:t>
            </w:r>
          </w:p>
        </w:tc>
        <w:tc>
          <w:tcPr>
            <w:tcW w:type="dxa" w:w="2016"/>
          </w:tcPr>
          <w:p>
            <w:r>
              <w:rPr>
                <w:rFonts w:ascii="Arial" w:hAnsi="Arial"/>
                <w:sz w:val="20"/>
              </w:rPr>
              <w:t>INR 80 Cr</w:t>
            </w:r>
          </w:p>
        </w:tc>
        <w:tc>
          <w:tcPr>
            <w:tcW w:type="dxa" w:w="4608"/>
          </w:tcPr>
          <w:p>
            <w:r>
              <w:rPr>
                <w:rFonts w:ascii="Arial" w:hAnsi="Arial"/>
                <w:sz w:val="20"/>
              </w:rPr>
              <w:t>South-East Asia launch, task marketplace, 1,000+ robots</w:t>
            </w:r>
          </w:p>
        </w:tc>
      </w:tr>
      <w:tr>
        <w:tc>
          <w:tcPr>
            <w:tcW w:type="dxa" w:w="2592"/>
          </w:tcPr>
          <w:p>
            <w:r>
              <w:rPr>
                <w:rFonts w:ascii="Arial" w:hAnsi="Arial"/>
                <w:sz w:val="20"/>
              </w:rPr>
              <w:t>Series C / Pre-IPO</w:t>
            </w:r>
          </w:p>
        </w:tc>
        <w:tc>
          <w:tcPr>
            <w:tcW w:type="dxa" w:w="1728"/>
          </w:tcPr>
          <w:p>
            <w:r>
              <w:rPr>
                <w:rFonts w:ascii="Arial" w:hAnsi="Arial"/>
                <w:sz w:val="20"/>
              </w:rPr>
              <w:t>FY2031</w:t>
            </w:r>
          </w:p>
        </w:tc>
        <w:tc>
          <w:tcPr>
            <w:tcW w:type="dxa" w:w="2016"/>
          </w:tcPr>
          <w:p>
            <w:r>
              <w:rPr>
                <w:rFonts w:ascii="Arial" w:hAnsi="Arial"/>
                <w:sz w:val="20"/>
              </w:rPr>
              <w:t>INR 250 Cr</w:t>
            </w:r>
          </w:p>
        </w:tc>
        <w:tc>
          <w:tcPr>
            <w:tcW w:type="dxa" w:w="4608"/>
          </w:tcPr>
          <w:p>
            <w:r>
              <w:rPr>
                <w:rFonts w:ascii="Arial" w:hAnsi="Arial"/>
                <w:sz w:val="20"/>
              </w:rPr>
              <w:t>EU / North America expansion, full-stack autonomy R&amp;D</w:t>
            </w:r>
          </w:p>
        </w:tc>
      </w:tr>
    </w:tbl>
    <w:p>
      <w:pPr>
        <w:spacing w:after="80"/>
      </w:pPr>
    </w:p>
    <w:p>
      <w:pPr>
        <w:pStyle w:val="Heading1"/>
      </w:pPr>
      <w:r>
        <w:t>8. Financial Projections (FY2026 – FY2030)</w:t>
      </w:r>
    </w:p>
    <w:p>
      <w:pPr>
        <w:spacing w:after="120"/>
      </w:pPr>
      <w:r>
        <w:rPr>
          <w:b w:val="0"/>
          <w:i w:val="0"/>
        </w:rPr>
        <w:t>All figures in INR Crore. Projections are based on bottom-up assumptions from confirmed pilot pipeline, industry pricing benchmarks, and planned team ramp. These are forward-looking estimates and subject to material uncertainty.</w:t>
      </w:r>
    </w:p>
    <w:p>
      <w:pPr>
        <w:pStyle w:val="Heading2"/>
      </w:pPr>
      <w:r>
        <w:t>8.1  Key Operating Assumptions</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3744"/>
            <w:shd w:val="clear" w:color="auto" w:fill="1F487E"/>
          </w:tcPr>
          <w:p>
            <w:r>
              <w:rPr>
                <w:rFonts w:ascii="Arial" w:hAnsi="Arial"/>
                <w:b/>
                <w:color w:val="FFFFFF"/>
                <w:sz w:val="20"/>
              </w:rPr>
              <w:t>Assumption</w:t>
            </w:r>
          </w:p>
        </w:tc>
        <w:tc>
          <w:tcPr>
            <w:tcW w:type="dxa" w:w="1224"/>
            <w:shd w:val="clear" w:color="auto" w:fill="1F487E"/>
          </w:tcPr>
          <w:p>
            <w:r>
              <w:rPr>
                <w:rFonts w:ascii="Arial" w:hAnsi="Arial"/>
                <w:b/>
                <w:color w:val="FFFFFF"/>
                <w:sz w:val="20"/>
              </w:rPr>
              <w:t>FY2026</w:t>
            </w:r>
          </w:p>
        </w:tc>
        <w:tc>
          <w:tcPr>
            <w:tcW w:type="dxa" w:w="1224"/>
            <w:shd w:val="clear" w:color="auto" w:fill="1F487E"/>
          </w:tcPr>
          <w:p>
            <w:r>
              <w:rPr>
                <w:rFonts w:ascii="Arial" w:hAnsi="Arial"/>
                <w:b/>
                <w:color w:val="FFFFFF"/>
                <w:sz w:val="20"/>
              </w:rPr>
              <w:t>FY2027</w:t>
            </w:r>
          </w:p>
        </w:tc>
        <w:tc>
          <w:tcPr>
            <w:tcW w:type="dxa" w:w="1224"/>
            <w:shd w:val="clear" w:color="auto" w:fill="1F487E"/>
          </w:tcPr>
          <w:p>
            <w:r>
              <w:rPr>
                <w:rFonts w:ascii="Arial" w:hAnsi="Arial"/>
                <w:b/>
                <w:color w:val="FFFFFF"/>
                <w:sz w:val="20"/>
              </w:rPr>
              <w:t>FY2028</w:t>
            </w:r>
          </w:p>
        </w:tc>
        <w:tc>
          <w:tcPr>
            <w:tcW w:type="dxa" w:w="1224"/>
            <w:shd w:val="clear" w:color="auto" w:fill="1F487E"/>
          </w:tcPr>
          <w:p>
            <w:r>
              <w:rPr>
                <w:rFonts w:ascii="Arial" w:hAnsi="Arial"/>
                <w:b/>
                <w:color w:val="FFFFFF"/>
                <w:sz w:val="20"/>
              </w:rPr>
              <w:t>FY2029</w:t>
            </w:r>
          </w:p>
        </w:tc>
        <w:tc>
          <w:tcPr>
            <w:tcW w:type="dxa" w:w="1224"/>
            <w:shd w:val="clear" w:color="auto" w:fill="1F487E"/>
          </w:tcPr>
          <w:p>
            <w:r>
              <w:rPr>
                <w:rFonts w:ascii="Arial" w:hAnsi="Arial"/>
                <w:b/>
                <w:color w:val="FFFFFF"/>
                <w:sz w:val="20"/>
              </w:rPr>
              <w:t>FY2030</w:t>
            </w:r>
          </w:p>
        </w:tc>
      </w:tr>
      <w:tr>
        <w:tc>
          <w:tcPr>
            <w:tcW w:type="dxa" w:w="3744"/>
          </w:tcPr>
          <w:p>
            <w:r>
              <w:rPr>
                <w:rFonts w:ascii="Arial" w:hAnsi="Arial"/>
                <w:b/>
                <w:sz w:val="20"/>
              </w:rPr>
              <w:t>Robots deployed (cumulative)</w:t>
            </w:r>
          </w:p>
        </w:tc>
        <w:tc>
          <w:tcPr>
            <w:tcW w:type="dxa" w:w="1224"/>
          </w:tcPr>
          <w:p>
            <w:r>
              <w:rPr>
                <w:rFonts w:ascii="Arial" w:hAnsi="Arial"/>
                <w:sz w:val="20"/>
              </w:rPr>
              <w:t>15</w:t>
            </w:r>
          </w:p>
        </w:tc>
        <w:tc>
          <w:tcPr>
            <w:tcW w:type="dxa" w:w="1224"/>
          </w:tcPr>
          <w:p>
            <w:r>
              <w:rPr>
                <w:rFonts w:ascii="Arial" w:hAnsi="Arial"/>
                <w:sz w:val="20"/>
              </w:rPr>
              <w:t>75</w:t>
            </w:r>
          </w:p>
        </w:tc>
        <w:tc>
          <w:tcPr>
            <w:tcW w:type="dxa" w:w="1224"/>
          </w:tcPr>
          <w:p>
            <w:r>
              <w:rPr>
                <w:rFonts w:ascii="Arial" w:hAnsi="Arial"/>
                <w:sz w:val="20"/>
              </w:rPr>
              <w:t>255</w:t>
            </w:r>
          </w:p>
        </w:tc>
        <w:tc>
          <w:tcPr>
            <w:tcW w:type="dxa" w:w="1224"/>
          </w:tcPr>
          <w:p>
            <w:r>
              <w:rPr>
                <w:rFonts w:ascii="Arial" w:hAnsi="Arial"/>
                <w:sz w:val="20"/>
              </w:rPr>
              <w:t>555</w:t>
            </w:r>
          </w:p>
        </w:tc>
        <w:tc>
          <w:tcPr>
            <w:tcW w:type="dxa" w:w="1224"/>
          </w:tcPr>
          <w:p>
            <w:r>
              <w:rPr>
                <w:rFonts w:ascii="Arial" w:hAnsi="Arial"/>
                <w:sz w:val="20"/>
              </w:rPr>
              <w:t>1,005</w:t>
            </w:r>
          </w:p>
        </w:tc>
      </w:tr>
      <w:tr>
        <w:tc>
          <w:tcPr>
            <w:tcW w:type="dxa" w:w="3744"/>
          </w:tcPr>
          <w:p>
            <w:r>
              <w:rPr>
                <w:rFonts w:ascii="Arial" w:hAnsi="Arial"/>
                <w:b/>
                <w:sz w:val="20"/>
              </w:rPr>
              <w:t>New customers (annual)</w:t>
            </w:r>
          </w:p>
        </w:tc>
        <w:tc>
          <w:tcPr>
            <w:tcW w:type="dxa" w:w="1224"/>
          </w:tcPr>
          <w:p>
            <w:r>
              <w:rPr>
                <w:rFonts w:ascii="Arial" w:hAnsi="Arial"/>
                <w:sz w:val="20"/>
              </w:rPr>
              <w:t>2</w:t>
            </w:r>
          </w:p>
        </w:tc>
        <w:tc>
          <w:tcPr>
            <w:tcW w:type="dxa" w:w="1224"/>
          </w:tcPr>
          <w:p>
            <w:r>
              <w:rPr>
                <w:rFonts w:ascii="Arial" w:hAnsi="Arial"/>
                <w:sz w:val="20"/>
              </w:rPr>
              <w:t>8</w:t>
            </w:r>
          </w:p>
        </w:tc>
        <w:tc>
          <w:tcPr>
            <w:tcW w:type="dxa" w:w="1224"/>
          </w:tcPr>
          <w:p>
            <w:r>
              <w:rPr>
                <w:rFonts w:ascii="Arial" w:hAnsi="Arial"/>
                <w:sz w:val="20"/>
              </w:rPr>
              <w:t>17</w:t>
            </w:r>
          </w:p>
        </w:tc>
        <w:tc>
          <w:tcPr>
            <w:tcW w:type="dxa" w:w="1224"/>
          </w:tcPr>
          <w:p>
            <w:r>
              <w:rPr>
                <w:rFonts w:ascii="Arial" w:hAnsi="Arial"/>
                <w:sz w:val="20"/>
              </w:rPr>
              <w:t>30</w:t>
            </w:r>
          </w:p>
        </w:tc>
        <w:tc>
          <w:tcPr>
            <w:tcW w:type="dxa" w:w="1224"/>
          </w:tcPr>
          <w:p>
            <w:r>
              <w:rPr>
                <w:rFonts w:ascii="Arial" w:hAnsi="Arial"/>
                <w:sz w:val="20"/>
              </w:rPr>
              <w:t>45</w:t>
            </w:r>
          </w:p>
        </w:tc>
      </w:tr>
      <w:tr>
        <w:tc>
          <w:tcPr>
            <w:tcW w:type="dxa" w:w="3744"/>
          </w:tcPr>
          <w:p>
            <w:r>
              <w:rPr>
                <w:rFonts w:ascii="Arial" w:hAnsi="Arial"/>
                <w:b/>
                <w:sz w:val="20"/>
              </w:rPr>
              <w:t>Avg robots per customer</w:t>
            </w:r>
          </w:p>
        </w:tc>
        <w:tc>
          <w:tcPr>
            <w:tcW w:type="dxa" w:w="1224"/>
          </w:tcPr>
          <w:p>
            <w:r>
              <w:rPr>
                <w:rFonts w:ascii="Arial" w:hAnsi="Arial"/>
                <w:sz w:val="20"/>
              </w:rPr>
              <w:t>7</w:t>
            </w:r>
          </w:p>
        </w:tc>
        <w:tc>
          <w:tcPr>
            <w:tcW w:type="dxa" w:w="1224"/>
          </w:tcPr>
          <w:p>
            <w:r>
              <w:rPr>
                <w:rFonts w:ascii="Arial" w:hAnsi="Arial"/>
                <w:sz w:val="20"/>
              </w:rPr>
              <w:t>8</w:t>
            </w:r>
          </w:p>
        </w:tc>
        <w:tc>
          <w:tcPr>
            <w:tcW w:type="dxa" w:w="1224"/>
          </w:tcPr>
          <w:p>
            <w:r>
              <w:rPr>
                <w:rFonts w:ascii="Arial" w:hAnsi="Arial"/>
                <w:sz w:val="20"/>
              </w:rPr>
              <w:t>10</w:t>
            </w:r>
          </w:p>
        </w:tc>
        <w:tc>
          <w:tcPr>
            <w:tcW w:type="dxa" w:w="1224"/>
          </w:tcPr>
          <w:p>
            <w:r>
              <w:rPr>
                <w:rFonts w:ascii="Arial" w:hAnsi="Arial"/>
                <w:sz w:val="20"/>
              </w:rPr>
              <w:t>12</w:t>
            </w:r>
          </w:p>
        </w:tc>
        <w:tc>
          <w:tcPr>
            <w:tcW w:type="dxa" w:w="1224"/>
          </w:tcPr>
          <w:p>
            <w:r>
              <w:rPr>
                <w:rFonts w:ascii="Arial" w:hAnsi="Arial"/>
                <w:sz w:val="20"/>
              </w:rPr>
              <w:t>13</w:t>
            </w:r>
          </w:p>
        </w:tc>
      </w:tr>
      <w:tr>
        <w:tc>
          <w:tcPr>
            <w:tcW w:type="dxa" w:w="3744"/>
          </w:tcPr>
          <w:p>
            <w:r>
              <w:rPr>
                <w:rFonts w:ascii="Arial" w:hAnsi="Arial"/>
                <w:b/>
                <w:sz w:val="20"/>
              </w:rPr>
              <w:t>RaaS adoption rate</w:t>
            </w:r>
          </w:p>
        </w:tc>
        <w:tc>
          <w:tcPr>
            <w:tcW w:type="dxa" w:w="1224"/>
          </w:tcPr>
          <w:p>
            <w:r>
              <w:rPr>
                <w:rFonts w:ascii="Arial" w:hAnsi="Arial"/>
                <w:sz w:val="20"/>
              </w:rPr>
              <w:t>30%</w:t>
            </w:r>
          </w:p>
        </w:tc>
        <w:tc>
          <w:tcPr>
            <w:tcW w:type="dxa" w:w="1224"/>
          </w:tcPr>
          <w:p>
            <w:r>
              <w:rPr>
                <w:rFonts w:ascii="Arial" w:hAnsi="Arial"/>
                <w:sz w:val="20"/>
              </w:rPr>
              <w:t>55%</w:t>
            </w:r>
          </w:p>
        </w:tc>
        <w:tc>
          <w:tcPr>
            <w:tcW w:type="dxa" w:w="1224"/>
          </w:tcPr>
          <w:p>
            <w:r>
              <w:rPr>
                <w:rFonts w:ascii="Arial" w:hAnsi="Arial"/>
                <w:sz w:val="20"/>
              </w:rPr>
              <w:t>70%</w:t>
            </w:r>
          </w:p>
        </w:tc>
        <w:tc>
          <w:tcPr>
            <w:tcW w:type="dxa" w:w="1224"/>
          </w:tcPr>
          <w:p>
            <w:r>
              <w:rPr>
                <w:rFonts w:ascii="Arial" w:hAnsi="Arial"/>
                <w:sz w:val="20"/>
              </w:rPr>
              <w:t>80%</w:t>
            </w:r>
          </w:p>
        </w:tc>
        <w:tc>
          <w:tcPr>
            <w:tcW w:type="dxa" w:w="1224"/>
          </w:tcPr>
          <w:p>
            <w:r>
              <w:rPr>
                <w:rFonts w:ascii="Arial" w:hAnsi="Arial"/>
                <w:sz w:val="20"/>
              </w:rPr>
              <w:t>85%</w:t>
            </w:r>
          </w:p>
        </w:tc>
      </w:tr>
      <w:tr>
        <w:tc>
          <w:tcPr>
            <w:tcW w:type="dxa" w:w="3744"/>
          </w:tcPr>
          <w:p>
            <w:r>
              <w:rPr>
                <w:rFonts w:ascii="Arial" w:hAnsi="Arial"/>
                <w:b/>
                <w:sz w:val="20"/>
              </w:rPr>
              <w:t>Hardware ASP (INR lakh)</w:t>
            </w:r>
          </w:p>
        </w:tc>
        <w:tc>
          <w:tcPr>
            <w:tcW w:type="dxa" w:w="1224"/>
          </w:tcPr>
          <w:p>
            <w:r>
              <w:rPr>
                <w:rFonts w:ascii="Arial" w:hAnsi="Arial"/>
                <w:sz w:val="20"/>
              </w:rPr>
              <w:t>16</w:t>
            </w:r>
          </w:p>
        </w:tc>
        <w:tc>
          <w:tcPr>
            <w:tcW w:type="dxa" w:w="1224"/>
          </w:tcPr>
          <w:p>
            <w:r>
              <w:rPr>
                <w:rFonts w:ascii="Arial" w:hAnsi="Arial"/>
                <w:sz w:val="20"/>
              </w:rPr>
              <w:t>17</w:t>
            </w:r>
          </w:p>
        </w:tc>
        <w:tc>
          <w:tcPr>
            <w:tcW w:type="dxa" w:w="1224"/>
          </w:tcPr>
          <w:p>
            <w:r>
              <w:rPr>
                <w:rFonts w:ascii="Arial" w:hAnsi="Arial"/>
                <w:sz w:val="20"/>
              </w:rPr>
              <w:t>18</w:t>
            </w:r>
          </w:p>
        </w:tc>
        <w:tc>
          <w:tcPr>
            <w:tcW w:type="dxa" w:w="1224"/>
          </w:tcPr>
          <w:p>
            <w:r>
              <w:rPr>
                <w:rFonts w:ascii="Arial" w:hAnsi="Arial"/>
                <w:sz w:val="20"/>
              </w:rPr>
              <w:t>19</w:t>
            </w:r>
          </w:p>
        </w:tc>
        <w:tc>
          <w:tcPr>
            <w:tcW w:type="dxa" w:w="1224"/>
          </w:tcPr>
          <w:p>
            <w:r>
              <w:rPr>
                <w:rFonts w:ascii="Arial" w:hAnsi="Arial"/>
                <w:sz w:val="20"/>
              </w:rPr>
              <w:t>20</w:t>
            </w:r>
          </w:p>
        </w:tc>
      </w:tr>
      <w:tr>
        <w:tc>
          <w:tcPr>
            <w:tcW w:type="dxa" w:w="3744"/>
          </w:tcPr>
          <w:p>
            <w:r>
              <w:rPr>
                <w:rFonts w:ascii="Arial" w:hAnsi="Arial"/>
                <w:b/>
                <w:sz w:val="20"/>
              </w:rPr>
              <w:t>RaaS ARPU (INR lakh/robot/mo)</w:t>
            </w:r>
          </w:p>
        </w:tc>
        <w:tc>
          <w:tcPr>
            <w:tcW w:type="dxa" w:w="1224"/>
          </w:tcPr>
          <w:p>
            <w:r>
              <w:rPr>
                <w:rFonts w:ascii="Arial" w:hAnsi="Arial"/>
                <w:sz w:val="20"/>
              </w:rPr>
              <w:t>1.6</w:t>
            </w:r>
          </w:p>
        </w:tc>
        <w:tc>
          <w:tcPr>
            <w:tcW w:type="dxa" w:w="1224"/>
          </w:tcPr>
          <w:p>
            <w:r>
              <w:rPr>
                <w:rFonts w:ascii="Arial" w:hAnsi="Arial"/>
                <w:sz w:val="20"/>
              </w:rPr>
              <w:t>1.7</w:t>
            </w:r>
          </w:p>
        </w:tc>
        <w:tc>
          <w:tcPr>
            <w:tcW w:type="dxa" w:w="1224"/>
          </w:tcPr>
          <w:p>
            <w:r>
              <w:rPr>
                <w:rFonts w:ascii="Arial" w:hAnsi="Arial"/>
                <w:sz w:val="20"/>
              </w:rPr>
              <w:t>1.8</w:t>
            </w:r>
          </w:p>
        </w:tc>
        <w:tc>
          <w:tcPr>
            <w:tcW w:type="dxa" w:w="1224"/>
          </w:tcPr>
          <w:p>
            <w:r>
              <w:rPr>
                <w:rFonts w:ascii="Arial" w:hAnsi="Arial"/>
                <w:sz w:val="20"/>
              </w:rPr>
              <w:t>1.9</w:t>
            </w:r>
          </w:p>
        </w:tc>
        <w:tc>
          <w:tcPr>
            <w:tcW w:type="dxa" w:w="1224"/>
          </w:tcPr>
          <w:p>
            <w:r>
              <w:rPr>
                <w:rFonts w:ascii="Arial" w:hAnsi="Arial"/>
                <w:sz w:val="20"/>
              </w:rPr>
              <w:t>2.0</w:t>
            </w:r>
          </w:p>
        </w:tc>
      </w:tr>
      <w:tr>
        <w:tc>
          <w:tcPr>
            <w:tcW w:type="dxa" w:w="3744"/>
          </w:tcPr>
          <w:p>
            <w:r>
              <w:rPr>
                <w:rFonts w:ascii="Arial" w:hAnsi="Arial"/>
                <w:b/>
                <w:sz w:val="20"/>
              </w:rPr>
              <w:t>Headcount (FTEs)</w:t>
            </w:r>
          </w:p>
        </w:tc>
        <w:tc>
          <w:tcPr>
            <w:tcW w:type="dxa" w:w="1224"/>
          </w:tcPr>
          <w:p>
            <w:r>
              <w:rPr>
                <w:rFonts w:ascii="Arial" w:hAnsi="Arial"/>
                <w:sz w:val="20"/>
              </w:rPr>
              <w:t>12</w:t>
            </w:r>
          </w:p>
        </w:tc>
        <w:tc>
          <w:tcPr>
            <w:tcW w:type="dxa" w:w="1224"/>
          </w:tcPr>
          <w:p>
            <w:r>
              <w:rPr>
                <w:rFonts w:ascii="Arial" w:hAnsi="Arial"/>
                <w:sz w:val="20"/>
              </w:rPr>
              <w:t>45</w:t>
            </w:r>
          </w:p>
        </w:tc>
        <w:tc>
          <w:tcPr>
            <w:tcW w:type="dxa" w:w="1224"/>
          </w:tcPr>
          <w:p>
            <w:r>
              <w:rPr>
                <w:rFonts w:ascii="Arial" w:hAnsi="Arial"/>
                <w:sz w:val="20"/>
              </w:rPr>
              <w:t>95</w:t>
            </w:r>
          </w:p>
        </w:tc>
        <w:tc>
          <w:tcPr>
            <w:tcW w:type="dxa" w:w="1224"/>
          </w:tcPr>
          <w:p>
            <w:r>
              <w:rPr>
                <w:rFonts w:ascii="Arial" w:hAnsi="Arial"/>
                <w:sz w:val="20"/>
              </w:rPr>
              <w:t>185</w:t>
            </w:r>
          </w:p>
        </w:tc>
        <w:tc>
          <w:tcPr>
            <w:tcW w:type="dxa" w:w="1224"/>
          </w:tcPr>
          <w:p>
            <w:r>
              <w:rPr>
                <w:rFonts w:ascii="Arial" w:hAnsi="Arial"/>
                <w:sz w:val="20"/>
              </w:rPr>
              <w:t>310</w:t>
            </w:r>
          </w:p>
        </w:tc>
      </w:tr>
    </w:tbl>
    <w:p>
      <w:pPr>
        <w:spacing w:after="80"/>
      </w:pPr>
    </w:p>
    <w:p>
      <w:pPr>
        <w:pStyle w:val="Heading2"/>
      </w:pPr>
      <w:r>
        <w:t>8.2  Revenue Projections</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3168"/>
            <w:shd w:val="clear" w:color="auto" w:fill="1F487E"/>
          </w:tcPr>
          <w:p>
            <w:r>
              <w:rPr>
                <w:rFonts w:ascii="Arial" w:hAnsi="Arial"/>
                <w:b/>
                <w:color w:val="FFFFFF"/>
                <w:sz w:val="20"/>
              </w:rPr>
              <w:t>Revenue (INR Cr)</w:t>
            </w:r>
          </w:p>
        </w:tc>
        <w:tc>
          <w:tcPr>
            <w:tcW w:type="dxa" w:w="1296"/>
            <w:shd w:val="clear" w:color="auto" w:fill="1F487E"/>
          </w:tcPr>
          <w:p>
            <w:r>
              <w:rPr>
                <w:rFonts w:ascii="Arial" w:hAnsi="Arial"/>
                <w:b/>
                <w:color w:val="FFFFFF"/>
                <w:sz w:val="20"/>
              </w:rPr>
              <w:t>FY2026E</w:t>
            </w:r>
          </w:p>
        </w:tc>
        <w:tc>
          <w:tcPr>
            <w:tcW w:type="dxa" w:w="1296"/>
            <w:shd w:val="clear" w:color="auto" w:fill="1F487E"/>
          </w:tcPr>
          <w:p>
            <w:r>
              <w:rPr>
                <w:rFonts w:ascii="Arial" w:hAnsi="Arial"/>
                <w:b/>
                <w:color w:val="FFFFFF"/>
                <w:sz w:val="20"/>
              </w:rPr>
              <w:t>FY2027E</w:t>
            </w:r>
          </w:p>
        </w:tc>
        <w:tc>
          <w:tcPr>
            <w:tcW w:type="dxa" w:w="1296"/>
            <w:shd w:val="clear" w:color="auto" w:fill="1F487E"/>
          </w:tcPr>
          <w:p>
            <w:r>
              <w:rPr>
                <w:rFonts w:ascii="Arial" w:hAnsi="Arial"/>
                <w:b/>
                <w:color w:val="FFFFFF"/>
                <w:sz w:val="20"/>
              </w:rPr>
              <w:t>FY2028E</w:t>
            </w:r>
          </w:p>
        </w:tc>
        <w:tc>
          <w:tcPr>
            <w:tcW w:type="dxa" w:w="1296"/>
            <w:shd w:val="clear" w:color="auto" w:fill="1F487E"/>
          </w:tcPr>
          <w:p>
            <w:r>
              <w:rPr>
                <w:rFonts w:ascii="Arial" w:hAnsi="Arial"/>
                <w:b/>
                <w:color w:val="FFFFFF"/>
                <w:sz w:val="20"/>
              </w:rPr>
              <w:t>FY2029E</w:t>
            </w:r>
          </w:p>
        </w:tc>
        <w:tc>
          <w:tcPr>
            <w:tcW w:type="dxa" w:w="1296"/>
            <w:shd w:val="clear" w:color="auto" w:fill="1F487E"/>
          </w:tcPr>
          <w:p>
            <w:r>
              <w:rPr>
                <w:rFonts w:ascii="Arial" w:hAnsi="Arial"/>
                <w:b/>
                <w:color w:val="FFFFFF"/>
                <w:sz w:val="20"/>
              </w:rPr>
              <w:t>FY2030E</w:t>
            </w:r>
          </w:p>
        </w:tc>
      </w:tr>
      <w:tr>
        <w:tc>
          <w:tcPr>
            <w:tcW w:type="dxa" w:w="3168"/>
          </w:tcPr>
          <w:p>
            <w:r>
              <w:rPr>
                <w:rFonts w:ascii="Arial" w:hAnsi="Arial"/>
                <w:b/>
                <w:sz w:val="20"/>
              </w:rPr>
              <w:t>Hardware Sales</w:t>
            </w:r>
          </w:p>
        </w:tc>
        <w:tc>
          <w:tcPr>
            <w:tcW w:type="dxa" w:w="1296"/>
          </w:tcPr>
          <w:p>
            <w:r>
              <w:rPr>
                <w:rFonts w:ascii="Arial" w:hAnsi="Arial"/>
                <w:sz w:val="20"/>
              </w:rPr>
              <w:t>1.8</w:t>
            </w:r>
          </w:p>
        </w:tc>
        <w:tc>
          <w:tcPr>
            <w:tcW w:type="dxa" w:w="1296"/>
          </w:tcPr>
          <w:p>
            <w:r>
              <w:rPr>
                <w:rFonts w:ascii="Arial" w:hAnsi="Arial"/>
                <w:sz w:val="20"/>
              </w:rPr>
              <w:t>5.4</w:t>
            </w:r>
          </w:p>
        </w:tc>
        <w:tc>
          <w:tcPr>
            <w:tcW w:type="dxa" w:w="1296"/>
          </w:tcPr>
          <w:p>
            <w:r>
              <w:rPr>
                <w:rFonts w:ascii="Arial" w:hAnsi="Arial"/>
                <w:sz w:val="20"/>
              </w:rPr>
              <w:t>10.8</w:t>
            </w:r>
          </w:p>
        </w:tc>
        <w:tc>
          <w:tcPr>
            <w:tcW w:type="dxa" w:w="1296"/>
          </w:tcPr>
          <w:p>
            <w:r>
              <w:rPr>
                <w:rFonts w:ascii="Arial" w:hAnsi="Arial"/>
                <w:sz w:val="20"/>
              </w:rPr>
              <w:t>18.0</w:t>
            </w:r>
          </w:p>
        </w:tc>
        <w:tc>
          <w:tcPr>
            <w:tcW w:type="dxa" w:w="1296"/>
          </w:tcPr>
          <w:p>
            <w:r>
              <w:rPr>
                <w:rFonts w:ascii="Arial" w:hAnsi="Arial"/>
                <w:sz w:val="20"/>
              </w:rPr>
              <w:t>24.0</w:t>
            </w:r>
          </w:p>
        </w:tc>
      </w:tr>
      <w:tr>
        <w:tc>
          <w:tcPr>
            <w:tcW w:type="dxa" w:w="3168"/>
          </w:tcPr>
          <w:p>
            <w:r>
              <w:rPr>
                <w:rFonts w:ascii="Arial" w:hAnsi="Arial"/>
                <w:b/>
                <w:sz w:val="20"/>
              </w:rPr>
              <w:t>RaaS Subscriptions</w:t>
            </w:r>
          </w:p>
        </w:tc>
        <w:tc>
          <w:tcPr>
            <w:tcW w:type="dxa" w:w="1296"/>
          </w:tcPr>
          <w:p>
            <w:r>
              <w:rPr>
                <w:rFonts w:ascii="Arial" w:hAnsi="Arial"/>
                <w:sz w:val="20"/>
              </w:rPr>
              <w:t>0.5</w:t>
            </w:r>
          </w:p>
        </w:tc>
        <w:tc>
          <w:tcPr>
            <w:tcW w:type="dxa" w:w="1296"/>
          </w:tcPr>
          <w:p>
            <w:r>
              <w:rPr>
                <w:rFonts w:ascii="Arial" w:hAnsi="Arial"/>
                <w:sz w:val="20"/>
              </w:rPr>
              <w:t>5.2</w:t>
            </w:r>
          </w:p>
        </w:tc>
        <w:tc>
          <w:tcPr>
            <w:tcW w:type="dxa" w:w="1296"/>
          </w:tcPr>
          <w:p>
            <w:r>
              <w:rPr>
                <w:rFonts w:ascii="Arial" w:hAnsi="Arial"/>
                <w:sz w:val="20"/>
              </w:rPr>
              <w:t>22.0</w:t>
            </w:r>
          </w:p>
        </w:tc>
        <w:tc>
          <w:tcPr>
            <w:tcW w:type="dxa" w:w="1296"/>
          </w:tcPr>
          <w:p>
            <w:r>
              <w:rPr>
                <w:rFonts w:ascii="Arial" w:hAnsi="Arial"/>
                <w:sz w:val="20"/>
              </w:rPr>
              <w:t>53.6</w:t>
            </w:r>
          </w:p>
        </w:tc>
        <w:tc>
          <w:tcPr>
            <w:tcW w:type="dxa" w:w="1296"/>
          </w:tcPr>
          <w:p>
            <w:r>
              <w:rPr>
                <w:rFonts w:ascii="Arial" w:hAnsi="Arial"/>
                <w:sz w:val="20"/>
              </w:rPr>
              <w:t>110.5</w:t>
            </w:r>
          </w:p>
        </w:tc>
      </w:tr>
      <w:tr>
        <w:tc>
          <w:tcPr>
            <w:tcW w:type="dxa" w:w="3168"/>
          </w:tcPr>
          <w:p>
            <w:r>
              <w:rPr>
                <w:rFonts w:ascii="Arial" w:hAnsi="Arial"/>
                <w:b/>
                <w:sz w:val="20"/>
              </w:rPr>
              <w:t>Platform License</w:t>
            </w:r>
          </w:p>
        </w:tc>
        <w:tc>
          <w:tcPr>
            <w:tcW w:type="dxa" w:w="1296"/>
          </w:tcPr>
          <w:p>
            <w:r>
              <w:rPr>
                <w:rFonts w:ascii="Arial" w:hAnsi="Arial"/>
                <w:sz w:val="20"/>
              </w:rPr>
              <w:t>0.2</w:t>
            </w:r>
          </w:p>
        </w:tc>
        <w:tc>
          <w:tcPr>
            <w:tcW w:type="dxa" w:w="1296"/>
          </w:tcPr>
          <w:p>
            <w:r>
              <w:rPr>
                <w:rFonts w:ascii="Arial" w:hAnsi="Arial"/>
                <w:sz w:val="20"/>
              </w:rPr>
              <w:t>1.4</w:t>
            </w:r>
          </w:p>
        </w:tc>
        <w:tc>
          <w:tcPr>
            <w:tcW w:type="dxa" w:w="1296"/>
          </w:tcPr>
          <w:p>
            <w:r>
              <w:rPr>
                <w:rFonts w:ascii="Arial" w:hAnsi="Arial"/>
                <w:sz w:val="20"/>
              </w:rPr>
              <w:t>4.8</w:t>
            </w:r>
          </w:p>
        </w:tc>
        <w:tc>
          <w:tcPr>
            <w:tcW w:type="dxa" w:w="1296"/>
          </w:tcPr>
          <w:p>
            <w:r>
              <w:rPr>
                <w:rFonts w:ascii="Arial" w:hAnsi="Arial"/>
                <w:sz w:val="20"/>
              </w:rPr>
              <w:t>10.5</w:t>
            </w:r>
          </w:p>
        </w:tc>
        <w:tc>
          <w:tcPr>
            <w:tcW w:type="dxa" w:w="1296"/>
          </w:tcPr>
          <w:p>
            <w:r>
              <w:rPr>
                <w:rFonts w:ascii="Arial" w:hAnsi="Arial"/>
                <w:sz w:val="20"/>
              </w:rPr>
              <w:t>20.4</w:t>
            </w:r>
          </w:p>
        </w:tc>
      </w:tr>
      <w:tr>
        <w:tc>
          <w:tcPr>
            <w:tcW w:type="dxa" w:w="3168"/>
          </w:tcPr>
          <w:p>
            <w:r>
              <w:rPr>
                <w:rFonts w:ascii="Arial" w:hAnsi="Arial"/>
                <w:b/>
                <w:sz w:val="20"/>
              </w:rPr>
              <w:t>Marketplace / Other</w:t>
            </w:r>
          </w:p>
        </w:tc>
        <w:tc>
          <w:tcPr>
            <w:tcW w:type="dxa" w:w="1296"/>
          </w:tcPr>
          <w:p>
            <w:r>
              <w:rPr>
                <w:rFonts w:ascii="Arial" w:hAnsi="Arial"/>
                <w:sz w:val="20"/>
              </w:rPr>
              <w:t>—</w:t>
            </w:r>
          </w:p>
        </w:tc>
        <w:tc>
          <w:tcPr>
            <w:tcW w:type="dxa" w:w="1296"/>
          </w:tcPr>
          <w:p>
            <w:r>
              <w:rPr>
                <w:rFonts w:ascii="Arial" w:hAnsi="Arial"/>
                <w:sz w:val="20"/>
              </w:rPr>
              <w:t>—</w:t>
            </w:r>
          </w:p>
        </w:tc>
        <w:tc>
          <w:tcPr>
            <w:tcW w:type="dxa" w:w="1296"/>
          </w:tcPr>
          <w:p>
            <w:r>
              <w:rPr>
                <w:rFonts w:ascii="Arial" w:hAnsi="Arial"/>
                <w:sz w:val="20"/>
              </w:rPr>
              <w:t>0.4</w:t>
            </w:r>
          </w:p>
        </w:tc>
        <w:tc>
          <w:tcPr>
            <w:tcW w:type="dxa" w:w="1296"/>
          </w:tcPr>
          <w:p>
            <w:r>
              <w:rPr>
                <w:rFonts w:ascii="Arial" w:hAnsi="Arial"/>
                <w:sz w:val="20"/>
              </w:rPr>
              <w:t>2.9</w:t>
            </w:r>
          </w:p>
        </w:tc>
        <w:tc>
          <w:tcPr>
            <w:tcW w:type="dxa" w:w="1296"/>
          </w:tcPr>
          <w:p>
            <w:r>
              <w:rPr>
                <w:rFonts w:ascii="Arial" w:hAnsi="Arial"/>
                <w:sz w:val="20"/>
              </w:rPr>
              <w:t>5.1</w:t>
            </w:r>
          </w:p>
        </w:tc>
      </w:tr>
      <w:tr>
        <w:tc>
          <w:tcPr>
            <w:tcW w:type="dxa" w:w="3168"/>
          </w:tcPr>
          <w:p>
            <w:r>
              <w:rPr>
                <w:rFonts w:ascii="Arial" w:hAnsi="Arial"/>
                <w:b/>
                <w:sz w:val="20"/>
              </w:rPr>
              <w:t>Total Revenue</w:t>
            </w:r>
          </w:p>
        </w:tc>
        <w:tc>
          <w:tcPr>
            <w:tcW w:type="dxa" w:w="1296"/>
          </w:tcPr>
          <w:p>
            <w:r>
              <w:rPr>
                <w:rFonts w:ascii="Arial" w:hAnsi="Arial"/>
                <w:sz w:val="20"/>
              </w:rPr>
              <w:t>2.5</w:t>
            </w:r>
          </w:p>
        </w:tc>
        <w:tc>
          <w:tcPr>
            <w:tcW w:type="dxa" w:w="1296"/>
          </w:tcPr>
          <w:p>
            <w:r>
              <w:rPr>
                <w:rFonts w:ascii="Arial" w:hAnsi="Arial"/>
                <w:sz w:val="20"/>
              </w:rPr>
              <w:t>12.0</w:t>
            </w:r>
          </w:p>
        </w:tc>
        <w:tc>
          <w:tcPr>
            <w:tcW w:type="dxa" w:w="1296"/>
          </w:tcPr>
          <w:p>
            <w:r>
              <w:rPr>
                <w:rFonts w:ascii="Arial" w:hAnsi="Arial"/>
                <w:sz w:val="20"/>
              </w:rPr>
              <w:t>38.0</w:t>
            </w:r>
          </w:p>
        </w:tc>
        <w:tc>
          <w:tcPr>
            <w:tcW w:type="dxa" w:w="1296"/>
          </w:tcPr>
          <w:p>
            <w:r>
              <w:rPr>
                <w:rFonts w:ascii="Arial" w:hAnsi="Arial"/>
                <w:sz w:val="20"/>
              </w:rPr>
              <w:t>85.0</w:t>
            </w:r>
          </w:p>
        </w:tc>
        <w:tc>
          <w:tcPr>
            <w:tcW w:type="dxa" w:w="1296"/>
          </w:tcPr>
          <w:p>
            <w:r>
              <w:rPr>
                <w:rFonts w:ascii="Arial" w:hAnsi="Arial"/>
                <w:sz w:val="20"/>
              </w:rPr>
              <w:t>160.0</w:t>
            </w:r>
          </w:p>
        </w:tc>
      </w:tr>
      <w:tr>
        <w:tc>
          <w:tcPr>
            <w:tcW w:type="dxa" w:w="3168"/>
          </w:tcPr>
          <w:p>
            <w:r>
              <w:rPr>
                <w:rFonts w:ascii="Arial" w:hAnsi="Arial"/>
                <w:b/>
                <w:sz w:val="20"/>
              </w:rPr>
              <w:t>YoY Growth</w:t>
            </w:r>
          </w:p>
        </w:tc>
        <w:tc>
          <w:tcPr>
            <w:tcW w:type="dxa" w:w="1296"/>
          </w:tcPr>
          <w:p>
            <w:r>
              <w:rPr>
                <w:rFonts w:ascii="Arial" w:hAnsi="Arial"/>
                <w:sz w:val="20"/>
              </w:rPr>
              <w:t>—</w:t>
            </w:r>
          </w:p>
        </w:tc>
        <w:tc>
          <w:tcPr>
            <w:tcW w:type="dxa" w:w="1296"/>
          </w:tcPr>
          <w:p>
            <w:r>
              <w:rPr>
                <w:rFonts w:ascii="Arial" w:hAnsi="Arial"/>
                <w:sz w:val="20"/>
              </w:rPr>
              <w:t>380%</w:t>
            </w:r>
          </w:p>
        </w:tc>
        <w:tc>
          <w:tcPr>
            <w:tcW w:type="dxa" w:w="1296"/>
          </w:tcPr>
          <w:p>
            <w:r>
              <w:rPr>
                <w:rFonts w:ascii="Arial" w:hAnsi="Arial"/>
                <w:sz w:val="20"/>
              </w:rPr>
              <w:t>217%</w:t>
            </w:r>
          </w:p>
        </w:tc>
        <w:tc>
          <w:tcPr>
            <w:tcW w:type="dxa" w:w="1296"/>
          </w:tcPr>
          <w:p>
            <w:r>
              <w:rPr>
                <w:rFonts w:ascii="Arial" w:hAnsi="Arial"/>
                <w:sz w:val="20"/>
              </w:rPr>
              <w:t>124%</w:t>
            </w:r>
          </w:p>
        </w:tc>
        <w:tc>
          <w:tcPr>
            <w:tcW w:type="dxa" w:w="1296"/>
          </w:tcPr>
          <w:p>
            <w:r>
              <w:rPr>
                <w:rFonts w:ascii="Arial" w:hAnsi="Arial"/>
                <w:sz w:val="20"/>
              </w:rPr>
              <w:t>88%</w:t>
            </w:r>
          </w:p>
        </w:tc>
      </w:tr>
    </w:tbl>
    <w:p>
      <w:pPr>
        <w:spacing w:after="80"/>
      </w:pPr>
    </w:p>
    <w:p>
      <w:pPr>
        <w:pStyle w:val="Heading2"/>
      </w:pPr>
      <w:r>
        <w:t>8.3  P&amp;L Summary</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3168"/>
            <w:shd w:val="clear" w:color="auto" w:fill="1F487E"/>
          </w:tcPr>
          <w:p>
            <w:r>
              <w:rPr>
                <w:rFonts w:ascii="Arial" w:hAnsi="Arial"/>
                <w:b/>
                <w:color w:val="FFFFFF"/>
                <w:sz w:val="20"/>
              </w:rPr>
              <w:t>P&amp;L (INR Cr)</w:t>
            </w:r>
          </w:p>
        </w:tc>
        <w:tc>
          <w:tcPr>
            <w:tcW w:type="dxa" w:w="1296"/>
            <w:shd w:val="clear" w:color="auto" w:fill="1F487E"/>
          </w:tcPr>
          <w:p>
            <w:r>
              <w:rPr>
                <w:rFonts w:ascii="Arial" w:hAnsi="Arial"/>
                <w:b/>
                <w:color w:val="FFFFFF"/>
                <w:sz w:val="20"/>
              </w:rPr>
              <w:t>FY2026E</w:t>
            </w:r>
          </w:p>
        </w:tc>
        <w:tc>
          <w:tcPr>
            <w:tcW w:type="dxa" w:w="1296"/>
            <w:shd w:val="clear" w:color="auto" w:fill="1F487E"/>
          </w:tcPr>
          <w:p>
            <w:r>
              <w:rPr>
                <w:rFonts w:ascii="Arial" w:hAnsi="Arial"/>
                <w:b/>
                <w:color w:val="FFFFFF"/>
                <w:sz w:val="20"/>
              </w:rPr>
              <w:t>FY2027E</w:t>
            </w:r>
          </w:p>
        </w:tc>
        <w:tc>
          <w:tcPr>
            <w:tcW w:type="dxa" w:w="1296"/>
            <w:shd w:val="clear" w:color="auto" w:fill="1F487E"/>
          </w:tcPr>
          <w:p>
            <w:r>
              <w:rPr>
                <w:rFonts w:ascii="Arial" w:hAnsi="Arial"/>
                <w:b/>
                <w:color w:val="FFFFFF"/>
                <w:sz w:val="20"/>
              </w:rPr>
              <w:t>FY2028E</w:t>
            </w:r>
          </w:p>
        </w:tc>
        <w:tc>
          <w:tcPr>
            <w:tcW w:type="dxa" w:w="1296"/>
            <w:shd w:val="clear" w:color="auto" w:fill="1F487E"/>
          </w:tcPr>
          <w:p>
            <w:r>
              <w:rPr>
                <w:rFonts w:ascii="Arial" w:hAnsi="Arial"/>
                <w:b/>
                <w:color w:val="FFFFFF"/>
                <w:sz w:val="20"/>
              </w:rPr>
              <w:t>FY2029E</w:t>
            </w:r>
          </w:p>
        </w:tc>
        <w:tc>
          <w:tcPr>
            <w:tcW w:type="dxa" w:w="1296"/>
            <w:shd w:val="clear" w:color="auto" w:fill="1F487E"/>
          </w:tcPr>
          <w:p>
            <w:r>
              <w:rPr>
                <w:rFonts w:ascii="Arial" w:hAnsi="Arial"/>
                <w:b/>
                <w:color w:val="FFFFFF"/>
                <w:sz w:val="20"/>
              </w:rPr>
              <w:t>FY2030E</w:t>
            </w:r>
          </w:p>
        </w:tc>
      </w:tr>
      <w:tr>
        <w:tc>
          <w:tcPr>
            <w:tcW w:type="dxa" w:w="3168"/>
          </w:tcPr>
          <w:p>
            <w:r>
              <w:rPr>
                <w:rFonts w:ascii="Arial" w:hAnsi="Arial"/>
                <w:b/>
                <w:sz w:val="20"/>
              </w:rPr>
              <w:t>Total Revenue</w:t>
            </w:r>
          </w:p>
        </w:tc>
        <w:tc>
          <w:tcPr>
            <w:tcW w:type="dxa" w:w="1296"/>
          </w:tcPr>
          <w:p>
            <w:r>
              <w:rPr>
                <w:rFonts w:ascii="Arial" w:hAnsi="Arial"/>
                <w:sz w:val="20"/>
              </w:rPr>
              <w:t>2.5</w:t>
            </w:r>
          </w:p>
        </w:tc>
        <w:tc>
          <w:tcPr>
            <w:tcW w:type="dxa" w:w="1296"/>
          </w:tcPr>
          <w:p>
            <w:r>
              <w:rPr>
                <w:rFonts w:ascii="Arial" w:hAnsi="Arial"/>
                <w:sz w:val="20"/>
              </w:rPr>
              <w:t>12.0</w:t>
            </w:r>
          </w:p>
        </w:tc>
        <w:tc>
          <w:tcPr>
            <w:tcW w:type="dxa" w:w="1296"/>
          </w:tcPr>
          <w:p>
            <w:r>
              <w:rPr>
                <w:rFonts w:ascii="Arial" w:hAnsi="Arial"/>
                <w:sz w:val="20"/>
              </w:rPr>
              <w:t>38.0</w:t>
            </w:r>
          </w:p>
        </w:tc>
        <w:tc>
          <w:tcPr>
            <w:tcW w:type="dxa" w:w="1296"/>
          </w:tcPr>
          <w:p>
            <w:r>
              <w:rPr>
                <w:rFonts w:ascii="Arial" w:hAnsi="Arial"/>
                <w:sz w:val="20"/>
              </w:rPr>
              <w:t>85.0</w:t>
            </w:r>
          </w:p>
        </w:tc>
        <w:tc>
          <w:tcPr>
            <w:tcW w:type="dxa" w:w="1296"/>
          </w:tcPr>
          <w:p>
            <w:r>
              <w:rPr>
                <w:rFonts w:ascii="Arial" w:hAnsi="Arial"/>
                <w:sz w:val="20"/>
              </w:rPr>
              <w:t>160.0</w:t>
            </w:r>
          </w:p>
        </w:tc>
      </w:tr>
      <w:tr>
        <w:tc>
          <w:tcPr>
            <w:tcW w:type="dxa" w:w="3168"/>
          </w:tcPr>
          <w:p>
            <w:r>
              <w:rPr>
                <w:rFonts w:ascii="Arial" w:hAnsi="Arial"/>
                <w:b/>
                <w:sz w:val="20"/>
              </w:rPr>
              <w:t>Gross Profit</w:t>
            </w:r>
          </w:p>
        </w:tc>
        <w:tc>
          <w:tcPr>
            <w:tcW w:type="dxa" w:w="1296"/>
          </w:tcPr>
          <w:p>
            <w:r>
              <w:rPr>
                <w:rFonts w:ascii="Arial" w:hAnsi="Arial"/>
                <w:sz w:val="20"/>
              </w:rPr>
              <w:t>1.0</w:t>
            </w:r>
          </w:p>
        </w:tc>
        <w:tc>
          <w:tcPr>
            <w:tcW w:type="dxa" w:w="1296"/>
          </w:tcPr>
          <w:p>
            <w:r>
              <w:rPr>
                <w:rFonts w:ascii="Arial" w:hAnsi="Arial"/>
                <w:sz w:val="20"/>
              </w:rPr>
              <w:t>6.0</w:t>
            </w:r>
          </w:p>
        </w:tc>
        <w:tc>
          <w:tcPr>
            <w:tcW w:type="dxa" w:w="1296"/>
          </w:tcPr>
          <w:p>
            <w:r>
              <w:rPr>
                <w:rFonts w:ascii="Arial" w:hAnsi="Arial"/>
                <w:sz w:val="20"/>
              </w:rPr>
              <w:t>24.3</w:t>
            </w:r>
          </w:p>
        </w:tc>
        <w:tc>
          <w:tcPr>
            <w:tcW w:type="dxa" w:w="1296"/>
          </w:tcPr>
          <w:p>
            <w:r>
              <w:rPr>
                <w:rFonts w:ascii="Arial" w:hAnsi="Arial"/>
                <w:sz w:val="20"/>
              </w:rPr>
              <w:t>59.5</w:t>
            </w:r>
          </w:p>
        </w:tc>
        <w:tc>
          <w:tcPr>
            <w:tcW w:type="dxa" w:w="1296"/>
          </w:tcPr>
          <w:p>
            <w:r>
              <w:rPr>
                <w:rFonts w:ascii="Arial" w:hAnsi="Arial"/>
                <w:sz w:val="20"/>
              </w:rPr>
              <w:t>118.4</w:t>
            </w:r>
          </w:p>
        </w:tc>
      </w:tr>
      <w:tr>
        <w:tc>
          <w:tcPr>
            <w:tcW w:type="dxa" w:w="3168"/>
          </w:tcPr>
          <w:p>
            <w:r>
              <w:rPr>
                <w:rFonts w:ascii="Arial" w:hAnsi="Arial"/>
                <w:b/>
                <w:sz w:val="20"/>
              </w:rPr>
              <w:t>Gross Margin %</w:t>
            </w:r>
          </w:p>
        </w:tc>
        <w:tc>
          <w:tcPr>
            <w:tcW w:type="dxa" w:w="1296"/>
          </w:tcPr>
          <w:p>
            <w:r>
              <w:rPr>
                <w:rFonts w:ascii="Arial" w:hAnsi="Arial"/>
                <w:sz w:val="20"/>
              </w:rPr>
              <w:t>38%</w:t>
            </w:r>
          </w:p>
        </w:tc>
        <w:tc>
          <w:tcPr>
            <w:tcW w:type="dxa" w:w="1296"/>
          </w:tcPr>
          <w:p>
            <w:r>
              <w:rPr>
                <w:rFonts w:ascii="Arial" w:hAnsi="Arial"/>
                <w:sz w:val="20"/>
              </w:rPr>
              <w:t>50%</w:t>
            </w:r>
          </w:p>
        </w:tc>
        <w:tc>
          <w:tcPr>
            <w:tcW w:type="dxa" w:w="1296"/>
          </w:tcPr>
          <w:p>
            <w:r>
              <w:rPr>
                <w:rFonts w:ascii="Arial" w:hAnsi="Arial"/>
                <w:sz w:val="20"/>
              </w:rPr>
              <w:t>64%</w:t>
            </w:r>
          </w:p>
        </w:tc>
        <w:tc>
          <w:tcPr>
            <w:tcW w:type="dxa" w:w="1296"/>
          </w:tcPr>
          <w:p>
            <w:r>
              <w:rPr>
                <w:rFonts w:ascii="Arial" w:hAnsi="Arial"/>
                <w:sz w:val="20"/>
              </w:rPr>
              <w:t>70%</w:t>
            </w:r>
          </w:p>
        </w:tc>
        <w:tc>
          <w:tcPr>
            <w:tcW w:type="dxa" w:w="1296"/>
          </w:tcPr>
          <w:p>
            <w:r>
              <w:rPr>
                <w:rFonts w:ascii="Arial" w:hAnsi="Arial"/>
                <w:sz w:val="20"/>
              </w:rPr>
              <w:t>74%</w:t>
            </w:r>
          </w:p>
        </w:tc>
      </w:tr>
      <w:tr>
        <w:tc>
          <w:tcPr>
            <w:tcW w:type="dxa" w:w="3168"/>
          </w:tcPr>
          <w:p>
            <w:r>
              <w:rPr>
                <w:rFonts w:ascii="Arial" w:hAnsi="Arial"/>
                <w:b/>
                <w:sz w:val="20"/>
              </w:rPr>
              <w:t>Operating Expenses</w:t>
            </w:r>
          </w:p>
        </w:tc>
        <w:tc>
          <w:tcPr>
            <w:tcW w:type="dxa" w:w="1296"/>
          </w:tcPr>
          <w:p>
            <w:r>
              <w:rPr>
                <w:rFonts w:ascii="Arial" w:hAnsi="Arial"/>
                <w:sz w:val="20"/>
              </w:rPr>
              <w:t>8.0</w:t>
            </w:r>
          </w:p>
        </w:tc>
        <w:tc>
          <w:tcPr>
            <w:tcW w:type="dxa" w:w="1296"/>
          </w:tcPr>
          <w:p>
            <w:r>
              <w:rPr>
                <w:rFonts w:ascii="Arial" w:hAnsi="Arial"/>
                <w:sz w:val="20"/>
              </w:rPr>
              <w:t>13.4</w:t>
            </w:r>
          </w:p>
        </w:tc>
        <w:tc>
          <w:tcPr>
            <w:tcW w:type="dxa" w:w="1296"/>
          </w:tcPr>
          <w:p>
            <w:r>
              <w:rPr>
                <w:rFonts w:ascii="Arial" w:hAnsi="Arial"/>
                <w:sz w:val="20"/>
              </w:rPr>
              <w:t>19.5</w:t>
            </w:r>
          </w:p>
        </w:tc>
        <w:tc>
          <w:tcPr>
            <w:tcW w:type="dxa" w:w="1296"/>
          </w:tcPr>
          <w:p>
            <w:r>
              <w:rPr>
                <w:rFonts w:ascii="Arial" w:hAnsi="Arial"/>
                <w:sz w:val="20"/>
              </w:rPr>
              <w:t>32.0</w:t>
            </w:r>
          </w:p>
        </w:tc>
        <w:tc>
          <w:tcPr>
            <w:tcW w:type="dxa" w:w="1296"/>
          </w:tcPr>
          <w:p>
            <w:r>
              <w:rPr>
                <w:rFonts w:ascii="Arial" w:hAnsi="Arial"/>
                <w:sz w:val="20"/>
              </w:rPr>
              <w:t>52.0</w:t>
            </w:r>
          </w:p>
        </w:tc>
      </w:tr>
      <w:tr>
        <w:tc>
          <w:tcPr>
            <w:tcW w:type="dxa" w:w="3168"/>
          </w:tcPr>
          <w:p>
            <w:r>
              <w:rPr>
                <w:rFonts w:ascii="Arial" w:hAnsi="Arial"/>
                <w:b/>
                <w:sz w:val="20"/>
              </w:rPr>
              <w:t>EBITDA</w:t>
            </w:r>
          </w:p>
        </w:tc>
        <w:tc>
          <w:tcPr>
            <w:tcW w:type="dxa" w:w="1296"/>
          </w:tcPr>
          <w:p>
            <w:r>
              <w:rPr>
                <w:rFonts w:ascii="Arial" w:hAnsi="Arial"/>
                <w:sz w:val="20"/>
              </w:rPr>
              <w:t>(7.0)</w:t>
            </w:r>
          </w:p>
        </w:tc>
        <w:tc>
          <w:tcPr>
            <w:tcW w:type="dxa" w:w="1296"/>
          </w:tcPr>
          <w:p>
            <w:r>
              <w:rPr>
                <w:rFonts w:ascii="Arial" w:hAnsi="Arial"/>
                <w:sz w:val="20"/>
              </w:rPr>
              <w:t>(7.4)</w:t>
            </w:r>
          </w:p>
        </w:tc>
        <w:tc>
          <w:tcPr>
            <w:tcW w:type="dxa" w:w="1296"/>
          </w:tcPr>
          <w:p>
            <w:r>
              <w:rPr>
                <w:rFonts w:ascii="Arial" w:hAnsi="Arial"/>
                <w:sz w:val="20"/>
              </w:rPr>
              <w:t>4.8</w:t>
            </w:r>
          </w:p>
        </w:tc>
        <w:tc>
          <w:tcPr>
            <w:tcW w:type="dxa" w:w="1296"/>
          </w:tcPr>
          <w:p>
            <w:r>
              <w:rPr>
                <w:rFonts w:ascii="Arial" w:hAnsi="Arial"/>
                <w:sz w:val="20"/>
              </w:rPr>
              <w:t>27.5</w:t>
            </w:r>
          </w:p>
        </w:tc>
        <w:tc>
          <w:tcPr>
            <w:tcW w:type="dxa" w:w="1296"/>
          </w:tcPr>
          <w:p>
            <w:r>
              <w:rPr>
                <w:rFonts w:ascii="Arial" w:hAnsi="Arial"/>
                <w:sz w:val="20"/>
              </w:rPr>
              <w:t>66.4</w:t>
            </w:r>
          </w:p>
        </w:tc>
      </w:tr>
      <w:tr>
        <w:tc>
          <w:tcPr>
            <w:tcW w:type="dxa" w:w="3168"/>
          </w:tcPr>
          <w:p>
            <w:r>
              <w:rPr>
                <w:rFonts w:ascii="Arial" w:hAnsi="Arial"/>
                <w:b/>
                <w:sz w:val="20"/>
              </w:rPr>
              <w:t>EBITDA Margin %</w:t>
            </w:r>
          </w:p>
        </w:tc>
        <w:tc>
          <w:tcPr>
            <w:tcW w:type="dxa" w:w="1296"/>
          </w:tcPr>
          <w:p>
            <w:r>
              <w:rPr>
                <w:rFonts w:ascii="Arial" w:hAnsi="Arial"/>
                <w:sz w:val="20"/>
              </w:rPr>
              <w:t>(280%)</w:t>
            </w:r>
          </w:p>
        </w:tc>
        <w:tc>
          <w:tcPr>
            <w:tcW w:type="dxa" w:w="1296"/>
          </w:tcPr>
          <w:p>
            <w:r>
              <w:rPr>
                <w:rFonts w:ascii="Arial" w:hAnsi="Arial"/>
                <w:sz w:val="20"/>
              </w:rPr>
              <w:t>(62%)</w:t>
            </w:r>
          </w:p>
        </w:tc>
        <w:tc>
          <w:tcPr>
            <w:tcW w:type="dxa" w:w="1296"/>
          </w:tcPr>
          <w:p>
            <w:r>
              <w:rPr>
                <w:rFonts w:ascii="Arial" w:hAnsi="Arial"/>
                <w:sz w:val="20"/>
              </w:rPr>
              <w:t>13%</w:t>
            </w:r>
          </w:p>
        </w:tc>
        <w:tc>
          <w:tcPr>
            <w:tcW w:type="dxa" w:w="1296"/>
          </w:tcPr>
          <w:p>
            <w:r>
              <w:rPr>
                <w:rFonts w:ascii="Arial" w:hAnsi="Arial"/>
                <w:sz w:val="20"/>
              </w:rPr>
              <w:t>32%</w:t>
            </w:r>
          </w:p>
        </w:tc>
        <w:tc>
          <w:tcPr>
            <w:tcW w:type="dxa" w:w="1296"/>
          </w:tcPr>
          <w:p>
            <w:r>
              <w:rPr>
                <w:rFonts w:ascii="Arial" w:hAnsi="Arial"/>
                <w:sz w:val="20"/>
              </w:rPr>
              <w:t>42%</w:t>
            </w:r>
          </w:p>
        </w:tc>
      </w:tr>
      <w:tr>
        <w:tc>
          <w:tcPr>
            <w:tcW w:type="dxa" w:w="3168"/>
          </w:tcPr>
          <w:p>
            <w:r>
              <w:rPr>
                <w:rFonts w:ascii="Arial" w:hAnsi="Arial"/>
                <w:b/>
                <w:sz w:val="20"/>
              </w:rPr>
              <w:t>Net Profit / (Loss)</w:t>
            </w:r>
          </w:p>
        </w:tc>
        <w:tc>
          <w:tcPr>
            <w:tcW w:type="dxa" w:w="1296"/>
          </w:tcPr>
          <w:p>
            <w:r>
              <w:rPr>
                <w:rFonts w:ascii="Arial" w:hAnsi="Arial"/>
                <w:sz w:val="20"/>
              </w:rPr>
              <w:t>(7.4)</w:t>
            </w:r>
          </w:p>
        </w:tc>
        <w:tc>
          <w:tcPr>
            <w:tcW w:type="dxa" w:w="1296"/>
          </w:tcPr>
          <w:p>
            <w:r>
              <w:rPr>
                <w:rFonts w:ascii="Arial" w:hAnsi="Arial"/>
                <w:sz w:val="20"/>
              </w:rPr>
              <w:t>(8.0)</w:t>
            </w:r>
          </w:p>
        </w:tc>
        <w:tc>
          <w:tcPr>
            <w:tcW w:type="dxa" w:w="1296"/>
          </w:tcPr>
          <w:p>
            <w:r>
              <w:rPr>
                <w:rFonts w:ascii="Arial" w:hAnsi="Arial"/>
                <w:sz w:val="20"/>
              </w:rPr>
              <w:t>3.9</w:t>
            </w:r>
          </w:p>
        </w:tc>
        <w:tc>
          <w:tcPr>
            <w:tcW w:type="dxa" w:w="1296"/>
          </w:tcPr>
          <w:p>
            <w:r>
              <w:rPr>
                <w:rFonts w:ascii="Arial" w:hAnsi="Arial"/>
                <w:sz w:val="20"/>
              </w:rPr>
              <w:t>22.5</w:t>
            </w:r>
          </w:p>
        </w:tc>
        <w:tc>
          <w:tcPr>
            <w:tcW w:type="dxa" w:w="1296"/>
          </w:tcPr>
          <w:p>
            <w:r>
              <w:rPr>
                <w:rFonts w:ascii="Arial" w:hAnsi="Arial"/>
                <w:sz w:val="20"/>
              </w:rPr>
              <w:t>57.5</w:t>
            </w:r>
          </w:p>
        </w:tc>
      </w:tr>
      <w:tr>
        <w:tc>
          <w:tcPr>
            <w:tcW w:type="dxa" w:w="3168"/>
          </w:tcPr>
          <w:p>
            <w:r>
              <w:rPr>
                <w:rFonts w:ascii="Arial" w:hAnsi="Arial"/>
                <w:b/>
                <w:sz w:val="20"/>
              </w:rPr>
              <w:t>Net Margin %</w:t>
            </w:r>
          </w:p>
        </w:tc>
        <w:tc>
          <w:tcPr>
            <w:tcW w:type="dxa" w:w="1296"/>
          </w:tcPr>
          <w:p>
            <w:r>
              <w:rPr>
                <w:rFonts w:ascii="Arial" w:hAnsi="Arial"/>
                <w:sz w:val="20"/>
              </w:rPr>
              <w:t>(296%)</w:t>
            </w:r>
          </w:p>
        </w:tc>
        <w:tc>
          <w:tcPr>
            <w:tcW w:type="dxa" w:w="1296"/>
          </w:tcPr>
          <w:p>
            <w:r>
              <w:rPr>
                <w:rFonts w:ascii="Arial" w:hAnsi="Arial"/>
                <w:sz w:val="20"/>
              </w:rPr>
              <w:t>(67%)</w:t>
            </w:r>
          </w:p>
        </w:tc>
        <w:tc>
          <w:tcPr>
            <w:tcW w:type="dxa" w:w="1296"/>
          </w:tcPr>
          <w:p>
            <w:r>
              <w:rPr>
                <w:rFonts w:ascii="Arial" w:hAnsi="Arial"/>
                <w:sz w:val="20"/>
              </w:rPr>
              <w:t>10%</w:t>
            </w:r>
          </w:p>
        </w:tc>
        <w:tc>
          <w:tcPr>
            <w:tcW w:type="dxa" w:w="1296"/>
          </w:tcPr>
          <w:p>
            <w:r>
              <w:rPr>
                <w:rFonts w:ascii="Arial" w:hAnsi="Arial"/>
                <w:sz w:val="20"/>
              </w:rPr>
              <w:t>26%</w:t>
            </w:r>
          </w:p>
        </w:tc>
        <w:tc>
          <w:tcPr>
            <w:tcW w:type="dxa" w:w="1296"/>
          </w:tcPr>
          <w:p>
            <w:r>
              <w:rPr>
                <w:rFonts w:ascii="Arial" w:hAnsi="Arial"/>
                <w:sz w:val="20"/>
              </w:rPr>
              <w:t>36%</w:t>
            </w:r>
          </w:p>
        </w:tc>
      </w:tr>
    </w:tbl>
    <w:p>
      <w:pPr>
        <w:spacing w:after="80"/>
      </w:pPr>
    </w:p>
    <w:p>
      <w:pPr>
        <w:pStyle w:val="Heading2"/>
      </w:pPr>
      <w:r>
        <w:t>8.4  Cash Flow Summary</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3744"/>
            <w:shd w:val="clear" w:color="auto" w:fill="1F487E"/>
          </w:tcPr>
          <w:p>
            <w:r>
              <w:rPr>
                <w:rFonts w:ascii="Arial" w:hAnsi="Arial"/>
                <w:b/>
                <w:color w:val="FFFFFF"/>
                <w:sz w:val="20"/>
              </w:rPr>
              <w:t>Cash Flow (INR Cr)</w:t>
            </w:r>
          </w:p>
        </w:tc>
        <w:tc>
          <w:tcPr>
            <w:tcW w:type="dxa" w:w="1224"/>
            <w:shd w:val="clear" w:color="auto" w:fill="1F487E"/>
          </w:tcPr>
          <w:p>
            <w:r>
              <w:rPr>
                <w:rFonts w:ascii="Arial" w:hAnsi="Arial"/>
                <w:b/>
                <w:color w:val="FFFFFF"/>
                <w:sz w:val="20"/>
              </w:rPr>
              <w:t>FY2026E</w:t>
            </w:r>
          </w:p>
        </w:tc>
        <w:tc>
          <w:tcPr>
            <w:tcW w:type="dxa" w:w="1224"/>
            <w:shd w:val="clear" w:color="auto" w:fill="1F487E"/>
          </w:tcPr>
          <w:p>
            <w:r>
              <w:rPr>
                <w:rFonts w:ascii="Arial" w:hAnsi="Arial"/>
                <w:b/>
                <w:color w:val="FFFFFF"/>
                <w:sz w:val="20"/>
              </w:rPr>
              <w:t>FY2027E</w:t>
            </w:r>
          </w:p>
        </w:tc>
        <w:tc>
          <w:tcPr>
            <w:tcW w:type="dxa" w:w="1224"/>
            <w:shd w:val="clear" w:color="auto" w:fill="1F487E"/>
          </w:tcPr>
          <w:p>
            <w:r>
              <w:rPr>
                <w:rFonts w:ascii="Arial" w:hAnsi="Arial"/>
                <w:b/>
                <w:color w:val="FFFFFF"/>
                <w:sz w:val="20"/>
              </w:rPr>
              <w:t>FY2028E</w:t>
            </w:r>
          </w:p>
        </w:tc>
        <w:tc>
          <w:tcPr>
            <w:tcW w:type="dxa" w:w="1224"/>
            <w:shd w:val="clear" w:color="auto" w:fill="1F487E"/>
          </w:tcPr>
          <w:p>
            <w:r>
              <w:rPr>
                <w:rFonts w:ascii="Arial" w:hAnsi="Arial"/>
                <w:b/>
                <w:color w:val="FFFFFF"/>
                <w:sz w:val="20"/>
              </w:rPr>
              <w:t>FY2029E</w:t>
            </w:r>
          </w:p>
        </w:tc>
        <w:tc>
          <w:tcPr>
            <w:tcW w:type="dxa" w:w="1224"/>
            <w:shd w:val="clear" w:color="auto" w:fill="1F487E"/>
          </w:tcPr>
          <w:p>
            <w:r>
              <w:rPr>
                <w:rFonts w:ascii="Arial" w:hAnsi="Arial"/>
                <w:b/>
                <w:color w:val="FFFFFF"/>
                <w:sz w:val="20"/>
              </w:rPr>
              <w:t>FY2030E</w:t>
            </w:r>
          </w:p>
        </w:tc>
      </w:tr>
      <w:tr>
        <w:tc>
          <w:tcPr>
            <w:tcW w:type="dxa" w:w="3744"/>
          </w:tcPr>
          <w:p>
            <w:r>
              <w:rPr>
                <w:rFonts w:ascii="Arial" w:hAnsi="Arial"/>
                <w:b/>
                <w:sz w:val="20"/>
              </w:rPr>
              <w:t>Opening Cash</w:t>
            </w:r>
          </w:p>
        </w:tc>
        <w:tc>
          <w:tcPr>
            <w:tcW w:type="dxa" w:w="1224"/>
          </w:tcPr>
          <w:p>
            <w:r>
              <w:rPr>
                <w:rFonts w:ascii="Arial" w:hAnsi="Arial"/>
                <w:sz w:val="20"/>
              </w:rPr>
              <w:t>3.5</w:t>
            </w:r>
          </w:p>
        </w:tc>
        <w:tc>
          <w:tcPr>
            <w:tcW w:type="dxa" w:w="1224"/>
          </w:tcPr>
          <w:p>
            <w:r>
              <w:rPr>
                <w:rFonts w:ascii="Arial" w:hAnsi="Arial"/>
                <w:sz w:val="20"/>
              </w:rPr>
              <w:t>26.1</w:t>
            </w:r>
          </w:p>
        </w:tc>
        <w:tc>
          <w:tcPr>
            <w:tcW w:type="dxa" w:w="1224"/>
          </w:tcPr>
          <w:p>
            <w:r>
              <w:rPr>
                <w:rFonts w:ascii="Arial" w:hAnsi="Arial"/>
                <w:sz w:val="20"/>
              </w:rPr>
              <w:t>15.7</w:t>
            </w:r>
          </w:p>
        </w:tc>
        <w:tc>
          <w:tcPr>
            <w:tcW w:type="dxa" w:w="1224"/>
          </w:tcPr>
          <w:p>
            <w:r>
              <w:rPr>
                <w:rFonts w:ascii="Arial" w:hAnsi="Arial"/>
                <w:sz w:val="20"/>
              </w:rPr>
              <w:t>18.5</w:t>
            </w:r>
          </w:p>
        </w:tc>
        <w:tc>
          <w:tcPr>
            <w:tcW w:type="dxa" w:w="1224"/>
          </w:tcPr>
          <w:p>
            <w:r>
              <w:rPr>
                <w:rFonts w:ascii="Arial" w:hAnsi="Arial"/>
                <w:sz w:val="20"/>
              </w:rPr>
              <w:t>38.0</w:t>
            </w:r>
          </w:p>
        </w:tc>
      </w:tr>
      <w:tr>
        <w:tc>
          <w:tcPr>
            <w:tcW w:type="dxa" w:w="3744"/>
          </w:tcPr>
          <w:p>
            <w:r>
              <w:rPr>
                <w:rFonts w:ascii="Arial" w:hAnsi="Arial"/>
                <w:b/>
                <w:sz w:val="20"/>
              </w:rPr>
              <w:t>Series A Proceeds</w:t>
            </w:r>
          </w:p>
        </w:tc>
        <w:tc>
          <w:tcPr>
            <w:tcW w:type="dxa" w:w="1224"/>
          </w:tcPr>
          <w:p>
            <w:r>
              <w:rPr>
                <w:rFonts w:ascii="Arial" w:hAnsi="Arial"/>
                <w:sz w:val="20"/>
              </w:rPr>
              <w:t>—</w:t>
            </w:r>
          </w:p>
        </w:tc>
        <w:tc>
          <w:tcPr>
            <w:tcW w:type="dxa" w:w="1224"/>
          </w:tcPr>
          <w:p>
            <w:r>
              <w:rPr>
                <w:rFonts w:ascii="Arial" w:hAnsi="Arial"/>
                <w:sz w:val="20"/>
              </w:rPr>
              <w:t>30.0</w:t>
            </w:r>
          </w:p>
        </w:tc>
        <w:tc>
          <w:tcPr>
            <w:tcW w:type="dxa" w:w="1224"/>
          </w:tcPr>
          <w:p>
            <w:r>
              <w:rPr>
                <w:rFonts w:ascii="Arial" w:hAnsi="Arial"/>
                <w:sz w:val="20"/>
              </w:rPr>
              <w:t>—</w:t>
            </w:r>
          </w:p>
        </w:tc>
        <w:tc>
          <w:tcPr>
            <w:tcW w:type="dxa" w:w="1224"/>
          </w:tcPr>
          <w:p>
            <w:r>
              <w:rPr>
                <w:rFonts w:ascii="Arial" w:hAnsi="Arial"/>
                <w:sz w:val="20"/>
              </w:rPr>
              <w:t>—</w:t>
            </w:r>
          </w:p>
        </w:tc>
        <w:tc>
          <w:tcPr>
            <w:tcW w:type="dxa" w:w="1224"/>
          </w:tcPr>
          <w:p>
            <w:r>
              <w:rPr>
                <w:rFonts w:ascii="Arial" w:hAnsi="Arial"/>
                <w:sz w:val="20"/>
              </w:rPr>
              <w:t>—</w:t>
            </w:r>
          </w:p>
        </w:tc>
      </w:tr>
      <w:tr>
        <w:tc>
          <w:tcPr>
            <w:tcW w:type="dxa" w:w="3744"/>
          </w:tcPr>
          <w:p>
            <w:r>
              <w:rPr>
                <w:rFonts w:ascii="Arial" w:hAnsi="Arial"/>
                <w:b/>
                <w:sz w:val="20"/>
              </w:rPr>
              <w:t>Series B Proceeds</w:t>
            </w:r>
          </w:p>
        </w:tc>
        <w:tc>
          <w:tcPr>
            <w:tcW w:type="dxa" w:w="1224"/>
          </w:tcPr>
          <w:p>
            <w:r>
              <w:rPr>
                <w:rFonts w:ascii="Arial" w:hAnsi="Arial"/>
                <w:sz w:val="20"/>
              </w:rPr>
              <w:t>—</w:t>
            </w:r>
          </w:p>
        </w:tc>
        <w:tc>
          <w:tcPr>
            <w:tcW w:type="dxa" w:w="1224"/>
          </w:tcPr>
          <w:p>
            <w:r>
              <w:rPr>
                <w:rFonts w:ascii="Arial" w:hAnsi="Arial"/>
                <w:sz w:val="20"/>
              </w:rPr>
              <w:t>—</w:t>
            </w:r>
          </w:p>
        </w:tc>
        <w:tc>
          <w:tcPr>
            <w:tcW w:type="dxa" w:w="1224"/>
          </w:tcPr>
          <w:p>
            <w:r>
              <w:rPr>
                <w:rFonts w:ascii="Arial" w:hAnsi="Arial"/>
                <w:sz w:val="20"/>
              </w:rPr>
              <w:t>—</w:t>
            </w:r>
          </w:p>
        </w:tc>
        <w:tc>
          <w:tcPr>
            <w:tcW w:type="dxa" w:w="1224"/>
          </w:tcPr>
          <w:p>
            <w:r>
              <w:rPr>
                <w:rFonts w:ascii="Arial" w:hAnsi="Arial"/>
                <w:sz w:val="20"/>
              </w:rPr>
              <w:t>80.0</w:t>
            </w:r>
          </w:p>
        </w:tc>
        <w:tc>
          <w:tcPr>
            <w:tcW w:type="dxa" w:w="1224"/>
          </w:tcPr>
          <w:p>
            <w:r>
              <w:rPr>
                <w:rFonts w:ascii="Arial" w:hAnsi="Arial"/>
                <w:sz w:val="20"/>
              </w:rPr>
              <w:t>—</w:t>
            </w:r>
          </w:p>
        </w:tc>
      </w:tr>
      <w:tr>
        <w:tc>
          <w:tcPr>
            <w:tcW w:type="dxa" w:w="3744"/>
          </w:tcPr>
          <w:p>
            <w:r>
              <w:rPr>
                <w:rFonts w:ascii="Arial" w:hAnsi="Arial"/>
                <w:b/>
                <w:sz w:val="20"/>
              </w:rPr>
              <w:t>Operating Cash Flow</w:t>
            </w:r>
          </w:p>
        </w:tc>
        <w:tc>
          <w:tcPr>
            <w:tcW w:type="dxa" w:w="1224"/>
          </w:tcPr>
          <w:p>
            <w:r>
              <w:rPr>
                <w:rFonts w:ascii="Arial" w:hAnsi="Arial"/>
                <w:sz w:val="20"/>
              </w:rPr>
              <w:t>(7.4)</w:t>
            </w:r>
          </w:p>
        </w:tc>
        <w:tc>
          <w:tcPr>
            <w:tcW w:type="dxa" w:w="1224"/>
          </w:tcPr>
          <w:p>
            <w:r>
              <w:rPr>
                <w:rFonts w:ascii="Arial" w:hAnsi="Arial"/>
                <w:sz w:val="20"/>
              </w:rPr>
              <w:t>(8.0)</w:t>
            </w:r>
          </w:p>
        </w:tc>
        <w:tc>
          <w:tcPr>
            <w:tcW w:type="dxa" w:w="1224"/>
          </w:tcPr>
          <w:p>
            <w:r>
              <w:rPr>
                <w:rFonts w:ascii="Arial" w:hAnsi="Arial"/>
                <w:sz w:val="20"/>
              </w:rPr>
              <w:t>2.8</w:t>
            </w:r>
          </w:p>
        </w:tc>
        <w:tc>
          <w:tcPr>
            <w:tcW w:type="dxa" w:w="1224"/>
          </w:tcPr>
          <w:p>
            <w:r>
              <w:rPr>
                <w:rFonts w:ascii="Arial" w:hAnsi="Arial"/>
                <w:sz w:val="20"/>
              </w:rPr>
              <w:t>19.5</w:t>
            </w:r>
          </w:p>
        </w:tc>
        <w:tc>
          <w:tcPr>
            <w:tcW w:type="dxa" w:w="1224"/>
          </w:tcPr>
          <w:p>
            <w:r>
              <w:rPr>
                <w:rFonts w:ascii="Arial" w:hAnsi="Arial"/>
                <w:sz w:val="20"/>
              </w:rPr>
              <w:t>52.0</w:t>
            </w:r>
          </w:p>
        </w:tc>
      </w:tr>
      <w:tr>
        <w:tc>
          <w:tcPr>
            <w:tcW w:type="dxa" w:w="3744"/>
          </w:tcPr>
          <w:p>
            <w:r>
              <w:rPr>
                <w:rFonts w:ascii="Arial" w:hAnsi="Arial"/>
                <w:b/>
                <w:sz w:val="20"/>
              </w:rPr>
              <w:t>Capex &amp; Investment</w:t>
            </w:r>
          </w:p>
        </w:tc>
        <w:tc>
          <w:tcPr>
            <w:tcW w:type="dxa" w:w="1224"/>
          </w:tcPr>
          <w:p>
            <w:r>
              <w:rPr>
                <w:rFonts w:ascii="Arial" w:hAnsi="Arial"/>
                <w:sz w:val="20"/>
              </w:rPr>
              <w:t>(1.0)</w:t>
            </w:r>
          </w:p>
        </w:tc>
        <w:tc>
          <w:tcPr>
            <w:tcW w:type="dxa" w:w="1224"/>
          </w:tcPr>
          <w:p>
            <w:r>
              <w:rPr>
                <w:rFonts w:ascii="Arial" w:hAnsi="Arial"/>
                <w:sz w:val="20"/>
              </w:rPr>
              <w:t>(2.4)</w:t>
            </w:r>
          </w:p>
        </w:tc>
        <w:tc>
          <w:tcPr>
            <w:tcW w:type="dxa" w:w="1224"/>
          </w:tcPr>
          <w:p>
            <w:r>
              <w:rPr>
                <w:rFonts w:ascii="Arial" w:hAnsi="Arial"/>
                <w:sz w:val="20"/>
              </w:rPr>
              <w:t>(3.0)</w:t>
            </w:r>
          </w:p>
        </w:tc>
        <w:tc>
          <w:tcPr>
            <w:tcW w:type="dxa" w:w="1224"/>
          </w:tcPr>
          <w:p>
            <w:r>
              <w:rPr>
                <w:rFonts w:ascii="Arial" w:hAnsi="Arial"/>
                <w:sz w:val="20"/>
              </w:rPr>
              <w:t>(5.0)</w:t>
            </w:r>
          </w:p>
        </w:tc>
        <w:tc>
          <w:tcPr>
            <w:tcW w:type="dxa" w:w="1224"/>
          </w:tcPr>
          <w:p>
            <w:r>
              <w:rPr>
                <w:rFonts w:ascii="Arial" w:hAnsi="Arial"/>
                <w:sz w:val="20"/>
              </w:rPr>
              <w:t>(8.0)</w:t>
            </w:r>
          </w:p>
        </w:tc>
      </w:tr>
      <w:tr>
        <w:tc>
          <w:tcPr>
            <w:tcW w:type="dxa" w:w="3744"/>
          </w:tcPr>
          <w:p>
            <w:r>
              <w:rPr>
                <w:rFonts w:ascii="Arial" w:hAnsi="Arial"/>
                <w:b/>
                <w:sz w:val="20"/>
              </w:rPr>
              <w:t>Closing Cash</w:t>
            </w:r>
          </w:p>
        </w:tc>
        <w:tc>
          <w:tcPr>
            <w:tcW w:type="dxa" w:w="1224"/>
          </w:tcPr>
          <w:p>
            <w:r>
              <w:rPr>
                <w:rFonts w:ascii="Arial" w:hAnsi="Arial"/>
                <w:sz w:val="20"/>
              </w:rPr>
              <w:t>26.1</w:t>
            </w:r>
          </w:p>
        </w:tc>
        <w:tc>
          <w:tcPr>
            <w:tcW w:type="dxa" w:w="1224"/>
          </w:tcPr>
          <w:p>
            <w:r>
              <w:rPr>
                <w:rFonts w:ascii="Arial" w:hAnsi="Arial"/>
                <w:sz w:val="20"/>
              </w:rPr>
              <w:t>45.7</w:t>
            </w:r>
          </w:p>
        </w:tc>
        <w:tc>
          <w:tcPr>
            <w:tcW w:type="dxa" w:w="1224"/>
          </w:tcPr>
          <w:p>
            <w:r>
              <w:rPr>
                <w:rFonts w:ascii="Arial" w:hAnsi="Arial"/>
                <w:sz w:val="20"/>
              </w:rPr>
              <w:t>15.5</w:t>
            </w:r>
          </w:p>
        </w:tc>
        <w:tc>
          <w:tcPr>
            <w:tcW w:type="dxa" w:w="1224"/>
          </w:tcPr>
          <w:p>
            <w:r>
              <w:rPr>
                <w:rFonts w:ascii="Arial" w:hAnsi="Arial"/>
                <w:sz w:val="20"/>
              </w:rPr>
              <w:t>113.0</w:t>
            </w:r>
          </w:p>
        </w:tc>
        <w:tc>
          <w:tcPr>
            <w:tcW w:type="dxa" w:w="1224"/>
          </w:tcPr>
          <w:p>
            <w:r>
              <w:rPr>
                <w:rFonts w:ascii="Arial" w:hAnsi="Arial"/>
                <w:sz w:val="20"/>
              </w:rPr>
              <w:t>182.0</w:t>
            </w:r>
          </w:p>
        </w:tc>
      </w:tr>
    </w:tbl>
    <w:p>
      <w:pPr>
        <w:spacing w:after="80"/>
      </w:pPr>
    </w:p>
    <w:p>
      <w:pPr>
        <w:pStyle w:val="Heading2"/>
      </w:pPr>
      <w:r>
        <w:t>8.5  Break-Even Analysis</w:t>
      </w:r>
    </w:p>
    <w:p>
      <w:pPr>
        <w:spacing w:after="120"/>
      </w:pPr>
      <w:r>
        <w:rPr>
          <w:b w:val="0"/>
          <w:i w:val="0"/>
        </w:rPr>
        <w:t>On a contribution margin basis, CloudRobotics reaches unit-level breakeven at approximately 85 robots under active RaaS subscription. This threshold is projected to be crossed in Q2 FY2028. Full EBITDA breakeven (including full opex allocation) is projected at Q3 FY2028 at ~INR 30 Cr annualised revenue run rate.</w:t>
      </w:r>
    </w:p>
    <w:p>
      <w:pPr>
        <w:pStyle w:val="Heading1"/>
      </w:pPr>
      <w:r>
        <w:t>9. Operational Plan</w:t>
      </w:r>
    </w:p>
    <w:p>
      <w:pPr>
        <w:pStyle w:val="Heading2"/>
      </w:pPr>
      <w:r>
        <w:t>9.1  Phase Overview</w:t>
      </w:r>
    </w:p>
    <w:tbl>
      <w:tblPr>
        <w:tblStyle w:val="TableGrid"/>
        <w:tblW w:type="auto" w:w="0"/>
        <w:tblLook w:firstColumn="1" w:firstRow="1" w:lastColumn="0" w:lastRow="0" w:noHBand="0" w:noVBand="1" w:val="04A0"/>
      </w:tblPr>
      <w:tblGrid>
        <w:gridCol w:w="2196"/>
        <w:gridCol w:w="2196"/>
        <w:gridCol w:w="2196"/>
        <w:gridCol w:w="2196"/>
      </w:tblGrid>
      <w:tr>
        <w:tc>
          <w:tcPr>
            <w:tcW w:type="dxa" w:w="1872"/>
            <w:shd w:val="clear" w:color="auto" w:fill="1F487E"/>
          </w:tcPr>
          <w:p>
            <w:r>
              <w:rPr>
                <w:rFonts w:ascii="Arial" w:hAnsi="Arial"/>
                <w:b/>
                <w:color w:val="FFFFFF"/>
                <w:sz w:val="20"/>
              </w:rPr>
              <w:t>Phase</w:t>
            </w:r>
          </w:p>
        </w:tc>
        <w:tc>
          <w:tcPr>
            <w:tcW w:type="dxa" w:w="1584"/>
            <w:shd w:val="clear" w:color="auto" w:fill="1F487E"/>
          </w:tcPr>
          <w:p>
            <w:r>
              <w:rPr>
                <w:rFonts w:ascii="Arial" w:hAnsi="Arial"/>
                <w:b/>
                <w:color w:val="FFFFFF"/>
                <w:sz w:val="20"/>
              </w:rPr>
              <w:t>Period</w:t>
            </w:r>
          </w:p>
        </w:tc>
        <w:tc>
          <w:tcPr>
            <w:tcW w:type="dxa" w:w="4176"/>
            <w:shd w:val="clear" w:color="auto" w:fill="1F487E"/>
          </w:tcPr>
          <w:p>
            <w:r>
              <w:rPr>
                <w:rFonts w:ascii="Arial" w:hAnsi="Arial"/>
                <w:b/>
                <w:color w:val="FFFFFF"/>
                <w:sz w:val="20"/>
              </w:rPr>
              <w:t>Focus</w:t>
            </w:r>
          </w:p>
        </w:tc>
        <w:tc>
          <w:tcPr>
            <w:tcW w:type="dxa" w:w="3312"/>
            <w:shd w:val="clear" w:color="auto" w:fill="1F487E"/>
          </w:tcPr>
          <w:p>
            <w:r>
              <w:rPr>
                <w:rFonts w:ascii="Arial" w:hAnsi="Arial"/>
                <w:b/>
                <w:color w:val="FFFFFF"/>
                <w:sz w:val="20"/>
              </w:rPr>
              <w:t>Exit Criteria</w:t>
            </w:r>
          </w:p>
        </w:tc>
      </w:tr>
      <w:tr>
        <w:tc>
          <w:tcPr>
            <w:tcW w:type="dxa" w:w="1872"/>
          </w:tcPr>
          <w:p>
            <w:r>
              <w:rPr>
                <w:rFonts w:ascii="Arial" w:hAnsi="Arial"/>
                <w:sz w:val="20"/>
              </w:rPr>
              <w:t>Phase 1 — Validate</w:t>
            </w:r>
          </w:p>
        </w:tc>
        <w:tc>
          <w:tcPr>
            <w:tcW w:type="dxa" w:w="1584"/>
          </w:tcPr>
          <w:p>
            <w:r>
              <w:rPr>
                <w:rFonts w:ascii="Arial" w:hAnsi="Arial"/>
                <w:sz w:val="20"/>
              </w:rPr>
              <w:t>FY2026 (current)</w:t>
            </w:r>
          </w:p>
        </w:tc>
        <w:tc>
          <w:tcPr>
            <w:tcW w:type="dxa" w:w="4176"/>
          </w:tcPr>
          <w:p>
            <w:r>
              <w:rPr>
                <w:rFonts w:ascii="Arial" w:hAnsi="Arial"/>
                <w:sz w:val="20"/>
              </w:rPr>
              <w:t>Complete pilot, finalise hardware v1, validate cloud platform reliability, file patents</w:t>
            </w:r>
          </w:p>
        </w:tc>
        <w:tc>
          <w:tcPr>
            <w:tcW w:type="dxa" w:w="3312"/>
          </w:tcPr>
          <w:p>
            <w:r>
              <w:rPr>
                <w:rFonts w:ascii="Arial" w:hAnsi="Arial"/>
                <w:sz w:val="20"/>
              </w:rPr>
              <w:t>≥2 paid pilots, 95% platform uptime, BOM cost confirmed</w:t>
            </w:r>
          </w:p>
        </w:tc>
      </w:tr>
      <w:tr>
        <w:tc>
          <w:tcPr>
            <w:tcW w:type="dxa" w:w="1872"/>
          </w:tcPr>
          <w:p>
            <w:r>
              <w:rPr>
                <w:rFonts w:ascii="Arial" w:hAnsi="Arial"/>
                <w:sz w:val="20"/>
              </w:rPr>
              <w:t>Phase 2 — Launch</w:t>
            </w:r>
          </w:p>
        </w:tc>
        <w:tc>
          <w:tcPr>
            <w:tcW w:type="dxa" w:w="1584"/>
          </w:tcPr>
          <w:p>
            <w:r>
              <w:rPr>
                <w:rFonts w:ascii="Arial" w:hAnsi="Arial"/>
                <w:sz w:val="20"/>
              </w:rPr>
              <w:t>FY2027</w:t>
            </w:r>
          </w:p>
        </w:tc>
        <w:tc>
          <w:tcPr>
            <w:tcW w:type="dxa" w:w="4176"/>
          </w:tcPr>
          <w:p>
            <w:r>
              <w:rPr>
                <w:rFonts w:ascii="Arial" w:hAnsi="Arial"/>
                <w:sz w:val="20"/>
              </w:rPr>
              <w:t>Series A deployment, manufacturing ramp, commercial sales motion, 10 new task profiles</w:t>
            </w:r>
          </w:p>
        </w:tc>
        <w:tc>
          <w:tcPr>
            <w:tcW w:type="dxa" w:w="3312"/>
          </w:tcPr>
          <w:p>
            <w:r>
              <w:rPr>
                <w:rFonts w:ascii="Arial" w:hAnsi="Arial"/>
                <w:sz w:val="20"/>
              </w:rPr>
              <w:t>10 commercial customers, 75 robots deployed, INR 12 Cr revenue</w:t>
            </w:r>
          </w:p>
        </w:tc>
      </w:tr>
      <w:tr>
        <w:tc>
          <w:tcPr>
            <w:tcW w:type="dxa" w:w="1872"/>
          </w:tcPr>
          <w:p>
            <w:r>
              <w:rPr>
                <w:rFonts w:ascii="Arial" w:hAnsi="Arial"/>
                <w:sz w:val="20"/>
              </w:rPr>
              <w:t>Phase 3 — Scale</w:t>
            </w:r>
          </w:p>
        </w:tc>
        <w:tc>
          <w:tcPr>
            <w:tcW w:type="dxa" w:w="1584"/>
          </w:tcPr>
          <w:p>
            <w:r>
              <w:rPr>
                <w:rFonts w:ascii="Arial" w:hAnsi="Arial"/>
                <w:sz w:val="20"/>
              </w:rPr>
              <w:t>FY2028</w:t>
            </w:r>
          </w:p>
        </w:tc>
        <w:tc>
          <w:tcPr>
            <w:tcW w:type="dxa" w:w="4176"/>
          </w:tcPr>
          <w:p>
            <w:r>
              <w:rPr>
                <w:rFonts w:ascii="Arial" w:hAnsi="Arial"/>
                <w:sz w:val="20"/>
              </w:rPr>
              <w:t>EBITDA breakeven, expand sales to electronics and FMCG verticals, marketplace launch</w:t>
            </w:r>
          </w:p>
        </w:tc>
        <w:tc>
          <w:tcPr>
            <w:tcW w:type="dxa" w:w="3312"/>
          </w:tcPr>
          <w:p>
            <w:r>
              <w:rPr>
                <w:rFonts w:ascii="Arial" w:hAnsi="Arial"/>
                <w:sz w:val="20"/>
              </w:rPr>
              <w:t>EBITDA positive, 255 robots, INR 38 Cr revenue, Series B pipeline active</w:t>
            </w:r>
          </w:p>
        </w:tc>
      </w:tr>
      <w:tr>
        <w:tc>
          <w:tcPr>
            <w:tcW w:type="dxa" w:w="1872"/>
          </w:tcPr>
          <w:p>
            <w:r>
              <w:rPr>
                <w:rFonts w:ascii="Arial" w:hAnsi="Arial"/>
                <w:sz w:val="20"/>
              </w:rPr>
              <w:t>Phase 4 — Expand</w:t>
            </w:r>
          </w:p>
        </w:tc>
        <w:tc>
          <w:tcPr>
            <w:tcW w:type="dxa" w:w="1584"/>
          </w:tcPr>
          <w:p>
            <w:r>
              <w:rPr>
                <w:rFonts w:ascii="Arial" w:hAnsi="Arial"/>
                <w:sz w:val="20"/>
              </w:rPr>
              <w:t>FY2029–30</w:t>
            </w:r>
          </w:p>
        </w:tc>
        <w:tc>
          <w:tcPr>
            <w:tcW w:type="dxa" w:w="4176"/>
          </w:tcPr>
          <w:p>
            <w:r>
              <w:rPr>
                <w:rFonts w:ascii="Arial" w:hAnsi="Arial"/>
                <w:sz w:val="20"/>
              </w:rPr>
              <w:t>International expansion (SE Asia), full autonomy R&amp;D, Series B deployment</w:t>
            </w:r>
          </w:p>
        </w:tc>
        <w:tc>
          <w:tcPr>
            <w:tcW w:type="dxa" w:w="3312"/>
          </w:tcPr>
          <w:p>
            <w:r>
              <w:rPr>
                <w:rFonts w:ascii="Arial" w:hAnsi="Arial"/>
                <w:sz w:val="20"/>
              </w:rPr>
              <w:t>1,000+ robots, INR 160 Cr revenue, Series C readiness</w:t>
            </w:r>
          </w:p>
        </w:tc>
      </w:tr>
    </w:tbl>
    <w:p>
      <w:pPr>
        <w:spacing w:after="80"/>
      </w:pPr>
    </w:p>
    <w:p>
      <w:pPr>
        <w:pStyle w:val="Heading2"/>
      </w:pPr>
      <w:r>
        <w:t>9.2  Product Roadmap</w:t>
      </w:r>
    </w:p>
    <w:tbl>
      <w:tblPr>
        <w:tblStyle w:val="TableGrid"/>
        <w:tblW w:type="auto" w:w="0"/>
        <w:tblLook w:firstColumn="1" w:firstRow="1" w:lastColumn="0" w:lastRow="0" w:noHBand="0" w:noVBand="1" w:val="04A0"/>
      </w:tblPr>
      <w:tblGrid>
        <w:gridCol w:w="4392"/>
        <w:gridCol w:w="4392"/>
      </w:tblGrid>
      <w:tr>
        <w:tc>
          <w:tcPr>
            <w:tcW w:type="dxa" w:w="1872"/>
            <w:shd w:val="clear" w:color="auto" w:fill="1F487E"/>
          </w:tcPr>
          <w:p>
            <w:r>
              <w:rPr>
                <w:rFonts w:ascii="Arial" w:hAnsi="Arial"/>
                <w:b/>
                <w:color w:val="FFFFFF"/>
                <w:sz w:val="20"/>
              </w:rPr>
              <w:t>Quarter</w:t>
            </w:r>
          </w:p>
        </w:tc>
        <w:tc>
          <w:tcPr>
            <w:tcW w:type="dxa" w:w="7632"/>
            <w:shd w:val="clear" w:color="auto" w:fill="1F487E"/>
          </w:tcPr>
          <w:p>
            <w:r>
              <w:rPr>
                <w:rFonts w:ascii="Arial" w:hAnsi="Arial"/>
                <w:b/>
                <w:color w:val="FFFFFF"/>
                <w:sz w:val="20"/>
              </w:rPr>
              <w:t>Deliverable</w:t>
            </w:r>
          </w:p>
        </w:tc>
      </w:tr>
      <w:tr>
        <w:tc>
          <w:tcPr>
            <w:tcW w:type="dxa" w:w="1872"/>
          </w:tcPr>
          <w:p>
            <w:r>
              <w:rPr>
                <w:rFonts w:ascii="Arial" w:hAnsi="Arial"/>
                <w:sz w:val="20"/>
              </w:rPr>
              <w:t>Q3 FY2027</w:t>
            </w:r>
          </w:p>
        </w:tc>
        <w:tc>
          <w:tcPr>
            <w:tcW w:type="dxa" w:w="7632"/>
          </w:tcPr>
          <w:p>
            <w:r>
              <w:rPr>
                <w:rFonts w:ascii="Arial" w:hAnsi="Arial"/>
                <w:sz w:val="20"/>
              </w:rPr>
              <w:t>Hardware v1.0 production-ready (50-unit capacity); Cloud platform v2 with 10 task profiles</w:t>
            </w:r>
          </w:p>
        </w:tc>
      </w:tr>
      <w:tr>
        <w:tc>
          <w:tcPr>
            <w:tcW w:type="dxa" w:w="1872"/>
          </w:tcPr>
          <w:p>
            <w:r>
              <w:rPr>
                <w:rFonts w:ascii="Arial" w:hAnsi="Arial"/>
                <w:sz w:val="20"/>
              </w:rPr>
              <w:t>Q4 FY2027</w:t>
            </w:r>
          </w:p>
        </w:tc>
        <w:tc>
          <w:tcPr>
            <w:tcW w:type="dxa" w:w="7632"/>
          </w:tcPr>
          <w:p>
            <w:r>
              <w:rPr>
                <w:rFonts w:ascii="Arial" w:hAnsi="Arial"/>
                <w:sz w:val="20"/>
              </w:rPr>
              <w:t>Edge AI module for autonomous task-switching recommendations; IATF 16949 certification submission</w:t>
            </w:r>
          </w:p>
        </w:tc>
      </w:tr>
      <w:tr>
        <w:tc>
          <w:tcPr>
            <w:tcW w:type="dxa" w:w="1872"/>
          </w:tcPr>
          <w:p>
            <w:r>
              <w:rPr>
                <w:rFonts w:ascii="Arial" w:hAnsi="Arial"/>
                <w:sz w:val="20"/>
              </w:rPr>
              <w:t>Q1 FY2028</w:t>
            </w:r>
          </w:p>
        </w:tc>
        <w:tc>
          <w:tcPr>
            <w:tcW w:type="dxa" w:w="7632"/>
          </w:tcPr>
          <w:p>
            <w:r>
              <w:rPr>
                <w:rFonts w:ascii="Arial" w:hAnsi="Arial"/>
                <w:sz w:val="20"/>
              </w:rPr>
              <w:t>Task Profile Marketplace beta (3 third-party profiles); Mobile monitoring app</w:t>
            </w:r>
          </w:p>
        </w:tc>
      </w:tr>
      <w:tr>
        <w:tc>
          <w:tcPr>
            <w:tcW w:type="dxa" w:w="1872"/>
          </w:tcPr>
          <w:p>
            <w:r>
              <w:rPr>
                <w:rFonts w:ascii="Arial" w:hAnsi="Arial"/>
                <w:sz w:val="20"/>
              </w:rPr>
              <w:t>Q2 FY2028</w:t>
            </w:r>
          </w:p>
        </w:tc>
        <w:tc>
          <w:tcPr>
            <w:tcW w:type="dxa" w:w="7632"/>
          </w:tcPr>
          <w:p>
            <w:r>
              <w:rPr>
                <w:rFonts w:ascii="Arial" w:hAnsi="Arial"/>
                <w:sz w:val="20"/>
              </w:rPr>
              <w:t>Full autonomy mode (robot self-selects optimal task profile based on sensor input); SE Asia localisation</w:t>
            </w:r>
          </w:p>
        </w:tc>
      </w:tr>
      <w:tr>
        <w:tc>
          <w:tcPr>
            <w:tcW w:type="dxa" w:w="1872"/>
          </w:tcPr>
          <w:p>
            <w:r>
              <w:rPr>
                <w:rFonts w:ascii="Arial" w:hAnsi="Arial"/>
                <w:sz w:val="20"/>
              </w:rPr>
              <w:t>FY2029</w:t>
            </w:r>
          </w:p>
        </w:tc>
        <w:tc>
          <w:tcPr>
            <w:tcW w:type="dxa" w:w="7632"/>
          </w:tcPr>
          <w:p>
            <w:r>
              <w:rPr>
                <w:rFonts w:ascii="Arial" w:hAnsi="Arial"/>
                <w:sz w:val="20"/>
              </w:rPr>
              <w:t>Natural language task configuration interface; multi-robot collaborative task orchestration</w:t>
            </w:r>
          </w:p>
        </w:tc>
      </w:tr>
    </w:tbl>
    <w:p>
      <w:pPr>
        <w:spacing w:after="80"/>
      </w:pPr>
    </w:p>
    <w:p>
      <w:pPr>
        <w:pStyle w:val="Heading2"/>
      </w:pPr>
      <w:r>
        <w:t>9.3  Manufacturing &amp; Supply Chain</w:t>
      </w:r>
    </w:p>
    <w:p>
      <w:pPr>
        <w:spacing w:after="120"/>
      </w:pPr>
      <w:r>
        <w:rPr>
          <w:b w:val="0"/>
          <w:i w:val="0"/>
        </w:rPr>
        <w:t>CloudRobotics will use a contract manufacturing (CM) model for hardware production, partnering with a Pune-based electronics and precision manufacturing facility. This avoids large capital expenditure on factory infrastructure while maintaining full design control.</w:t>
      </w:r>
    </w:p>
    <w:p>
      <w:pPr>
        <w:pStyle w:val="ListBullet"/>
        <w:spacing w:after="60"/>
        <w:ind w:left="432"/>
      </w:pPr>
      <w:r>
        <w:t>BOM sourcing: critical components (servo motors, vision sensors, edge compute) sourced from qualified vendors in India, Taiwan, and Japan.</w:t>
      </w:r>
    </w:p>
    <w:p>
      <w:pPr>
        <w:pStyle w:val="ListBullet"/>
        <w:spacing w:after="60"/>
        <w:ind w:left="432"/>
      </w:pPr>
      <w:r>
        <w:t>Quality: ISO 9001 and IATF 16949 quality management system implemented at the CM partner.</w:t>
      </w:r>
    </w:p>
    <w:p>
      <w:pPr>
        <w:pStyle w:val="ListBullet"/>
        <w:spacing w:after="60"/>
        <w:ind w:left="432"/>
      </w:pPr>
      <w:r>
        <w:t>Inventory: 4-week safety stock maintained for critical long-lead-time components.</w:t>
      </w:r>
    </w:p>
    <w:p>
      <w:pPr>
        <w:pStyle w:val="ListBullet"/>
        <w:spacing w:after="60"/>
        <w:ind w:left="432"/>
      </w:pPr>
      <w:r>
        <w:t>Capacity: CM facility can scale to 50 units/month by Q3 FY2027, expandable to 200 units/month with Series B capex.</w:t>
      </w:r>
    </w:p>
    <w:p>
      <w:pPr>
        <w:pStyle w:val="Heading2"/>
      </w:pPr>
      <w:r>
        <w:t>9.4  Technology &amp; Engineering Operations</w:t>
      </w:r>
    </w:p>
    <w:p>
      <w:pPr>
        <w:pStyle w:val="ListBullet"/>
        <w:spacing w:after="60"/>
        <w:ind w:left="432"/>
      </w:pPr>
      <w:r>
        <w:t>Hardware engineering team (6 engineers): responsible for robot mechanical design, end-effector development, and sensor integration.</w:t>
      </w:r>
    </w:p>
    <w:p>
      <w:pPr>
        <w:pStyle w:val="ListBullet"/>
        <w:spacing w:after="60"/>
        <w:ind w:left="432"/>
      </w:pPr>
      <w:r>
        <w:t>Cloud &amp; software team (8 engineers): responsible for control platform, edge firmware, OTA update system, and cybersecurity.</w:t>
      </w:r>
    </w:p>
    <w:p>
      <w:pPr>
        <w:pStyle w:val="ListBullet"/>
        <w:spacing w:after="60"/>
        <w:ind w:left="432"/>
      </w:pPr>
      <w:r>
        <w:t>Cloud infrastructure: hosted on AWS India region (Mumbai) with multi-AZ redundancy; 99.9% SLA target.</w:t>
      </w:r>
    </w:p>
    <w:p>
      <w:pPr>
        <w:pStyle w:val="ListBullet"/>
        <w:spacing w:after="60"/>
        <w:ind w:left="432"/>
      </w:pPr>
      <w:r>
        <w:t>DevOps: CI/CD pipeline with automated testing for firmware and platform releases; no-downtime OTA deployment.</w:t>
      </w:r>
    </w:p>
    <w:p>
      <w:pPr>
        <w:pStyle w:val="ListBullet"/>
        <w:spacing w:after="60"/>
        <w:ind w:left="432"/>
      </w:pPr>
      <w:r>
        <w:t>Cybersecurity: TLS 1.3 for all robot-cloud communication; hardware root of trust; SOC 2 Type II certification target (FY2028).</w:t>
      </w:r>
    </w:p>
    <w:p>
      <w:pPr>
        <w:pStyle w:val="Heading2"/>
      </w:pPr>
      <w:r>
        <w:t>9.5  Customer Operations</w:t>
      </w:r>
    </w:p>
    <w:p>
      <w:pPr>
        <w:pStyle w:val="ListBullet"/>
        <w:spacing w:after="60"/>
        <w:ind w:left="432"/>
      </w:pPr>
      <w:r>
        <w:t>Onboarding: standard deployment takes 3 days (installation, connectivity, profile configuration, operator training).</w:t>
      </w:r>
    </w:p>
    <w:p>
      <w:pPr>
        <w:pStyle w:val="ListBullet"/>
        <w:spacing w:after="60"/>
        <w:ind w:left="432"/>
      </w:pPr>
      <w:r>
        <w:t>Support: 24/7 remote monitoring and support for RaaS customers; 4-hour on-site SLA for critical issues.</w:t>
      </w:r>
    </w:p>
    <w:p>
      <w:pPr>
        <w:pStyle w:val="ListBullet"/>
        <w:spacing w:after="60"/>
        <w:ind w:left="432"/>
      </w:pPr>
      <w:r>
        <w:t>Customer Success: dedicated CS manager assigned to accounts with &gt;10 robots.</w:t>
      </w:r>
    </w:p>
    <w:p>
      <w:pPr>
        <w:pStyle w:val="ListBullet"/>
        <w:spacing w:after="60"/>
        <w:ind w:left="432"/>
      </w:pPr>
      <w:r>
        <w:t>Training: certified operator training programme (2-day course) delivered on-site or remotely.</w:t>
      </w:r>
    </w:p>
    <w:p>
      <w:pPr>
        <w:pStyle w:val="Heading2"/>
      </w:pPr>
      <w:r>
        <w:t>9.6  Headcount Plan</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3456"/>
            <w:shd w:val="clear" w:color="auto" w:fill="1F487E"/>
          </w:tcPr>
          <w:p>
            <w:r>
              <w:rPr>
                <w:rFonts w:ascii="Arial" w:hAnsi="Arial"/>
                <w:b/>
                <w:color w:val="FFFFFF"/>
                <w:sz w:val="20"/>
              </w:rPr>
              <w:t>Function</w:t>
            </w:r>
          </w:p>
        </w:tc>
        <w:tc>
          <w:tcPr>
            <w:tcW w:type="dxa" w:w="1152"/>
            <w:shd w:val="clear" w:color="auto" w:fill="1F487E"/>
          </w:tcPr>
          <w:p>
            <w:r>
              <w:rPr>
                <w:rFonts w:ascii="Arial" w:hAnsi="Arial"/>
                <w:b/>
                <w:color w:val="FFFFFF"/>
                <w:sz w:val="20"/>
              </w:rPr>
              <w:t>FY2026</w:t>
            </w:r>
          </w:p>
        </w:tc>
        <w:tc>
          <w:tcPr>
            <w:tcW w:type="dxa" w:w="1152"/>
            <w:shd w:val="clear" w:color="auto" w:fill="1F487E"/>
          </w:tcPr>
          <w:p>
            <w:r>
              <w:rPr>
                <w:rFonts w:ascii="Arial" w:hAnsi="Arial"/>
                <w:b/>
                <w:color w:val="FFFFFF"/>
                <w:sz w:val="20"/>
              </w:rPr>
              <w:t>FY2027</w:t>
            </w:r>
          </w:p>
        </w:tc>
        <w:tc>
          <w:tcPr>
            <w:tcW w:type="dxa" w:w="1152"/>
            <w:shd w:val="clear" w:color="auto" w:fill="1F487E"/>
          </w:tcPr>
          <w:p>
            <w:r>
              <w:rPr>
                <w:rFonts w:ascii="Arial" w:hAnsi="Arial"/>
                <w:b/>
                <w:color w:val="FFFFFF"/>
                <w:sz w:val="20"/>
              </w:rPr>
              <w:t>FY2028</w:t>
            </w:r>
          </w:p>
        </w:tc>
        <w:tc>
          <w:tcPr>
            <w:tcW w:type="dxa" w:w="1152"/>
            <w:shd w:val="clear" w:color="auto" w:fill="1F487E"/>
          </w:tcPr>
          <w:p>
            <w:r>
              <w:rPr>
                <w:rFonts w:ascii="Arial" w:hAnsi="Arial"/>
                <w:b/>
                <w:color w:val="FFFFFF"/>
                <w:sz w:val="20"/>
              </w:rPr>
              <w:t>FY2029</w:t>
            </w:r>
          </w:p>
        </w:tc>
        <w:tc>
          <w:tcPr>
            <w:tcW w:type="dxa" w:w="1152"/>
            <w:shd w:val="clear" w:color="auto" w:fill="1F487E"/>
          </w:tcPr>
          <w:p>
            <w:r>
              <w:rPr>
                <w:rFonts w:ascii="Arial" w:hAnsi="Arial"/>
                <w:b/>
                <w:color w:val="FFFFFF"/>
                <w:sz w:val="20"/>
              </w:rPr>
              <w:t>FY2030</w:t>
            </w:r>
          </w:p>
        </w:tc>
      </w:tr>
      <w:tr>
        <w:tc>
          <w:tcPr>
            <w:tcW w:type="dxa" w:w="3456"/>
          </w:tcPr>
          <w:p>
            <w:r>
              <w:rPr>
                <w:rFonts w:ascii="Arial" w:hAnsi="Arial"/>
                <w:b/>
                <w:sz w:val="20"/>
              </w:rPr>
              <w:t>Hardware Engineering</w:t>
            </w:r>
          </w:p>
        </w:tc>
        <w:tc>
          <w:tcPr>
            <w:tcW w:type="dxa" w:w="1152"/>
          </w:tcPr>
          <w:p>
            <w:r>
              <w:rPr>
                <w:rFonts w:ascii="Arial" w:hAnsi="Arial"/>
                <w:sz w:val="20"/>
              </w:rPr>
              <w:t>4</w:t>
            </w:r>
          </w:p>
        </w:tc>
        <w:tc>
          <w:tcPr>
            <w:tcW w:type="dxa" w:w="1152"/>
          </w:tcPr>
          <w:p>
            <w:r>
              <w:rPr>
                <w:rFonts w:ascii="Arial" w:hAnsi="Arial"/>
                <w:sz w:val="20"/>
              </w:rPr>
              <w:t>10</w:t>
            </w:r>
          </w:p>
        </w:tc>
        <w:tc>
          <w:tcPr>
            <w:tcW w:type="dxa" w:w="1152"/>
          </w:tcPr>
          <w:p>
            <w:r>
              <w:rPr>
                <w:rFonts w:ascii="Arial" w:hAnsi="Arial"/>
                <w:sz w:val="20"/>
              </w:rPr>
              <w:t>18</w:t>
            </w:r>
          </w:p>
        </w:tc>
        <w:tc>
          <w:tcPr>
            <w:tcW w:type="dxa" w:w="1152"/>
          </w:tcPr>
          <w:p>
            <w:r>
              <w:rPr>
                <w:rFonts w:ascii="Arial" w:hAnsi="Arial"/>
                <w:sz w:val="20"/>
              </w:rPr>
              <w:t>28</w:t>
            </w:r>
          </w:p>
        </w:tc>
        <w:tc>
          <w:tcPr>
            <w:tcW w:type="dxa" w:w="1152"/>
          </w:tcPr>
          <w:p>
            <w:r>
              <w:rPr>
                <w:rFonts w:ascii="Arial" w:hAnsi="Arial"/>
                <w:sz w:val="20"/>
              </w:rPr>
              <w:t>40</w:t>
            </w:r>
          </w:p>
        </w:tc>
      </w:tr>
      <w:tr>
        <w:tc>
          <w:tcPr>
            <w:tcW w:type="dxa" w:w="3456"/>
          </w:tcPr>
          <w:p>
            <w:r>
              <w:rPr>
                <w:rFonts w:ascii="Arial" w:hAnsi="Arial"/>
                <w:b/>
                <w:sz w:val="20"/>
              </w:rPr>
              <w:t>Cloud &amp; Software</w:t>
            </w:r>
          </w:p>
        </w:tc>
        <w:tc>
          <w:tcPr>
            <w:tcW w:type="dxa" w:w="1152"/>
          </w:tcPr>
          <w:p>
            <w:r>
              <w:rPr>
                <w:rFonts w:ascii="Arial" w:hAnsi="Arial"/>
                <w:sz w:val="20"/>
              </w:rPr>
              <w:t>5</w:t>
            </w:r>
          </w:p>
        </w:tc>
        <w:tc>
          <w:tcPr>
            <w:tcW w:type="dxa" w:w="1152"/>
          </w:tcPr>
          <w:p>
            <w:r>
              <w:rPr>
                <w:rFonts w:ascii="Arial" w:hAnsi="Arial"/>
                <w:sz w:val="20"/>
              </w:rPr>
              <w:t>12</w:t>
            </w:r>
          </w:p>
        </w:tc>
        <w:tc>
          <w:tcPr>
            <w:tcW w:type="dxa" w:w="1152"/>
          </w:tcPr>
          <w:p>
            <w:r>
              <w:rPr>
                <w:rFonts w:ascii="Arial" w:hAnsi="Arial"/>
                <w:sz w:val="20"/>
              </w:rPr>
              <w:t>22</w:t>
            </w:r>
          </w:p>
        </w:tc>
        <w:tc>
          <w:tcPr>
            <w:tcW w:type="dxa" w:w="1152"/>
          </w:tcPr>
          <w:p>
            <w:r>
              <w:rPr>
                <w:rFonts w:ascii="Arial" w:hAnsi="Arial"/>
                <w:sz w:val="20"/>
              </w:rPr>
              <w:t>40</w:t>
            </w:r>
          </w:p>
        </w:tc>
        <w:tc>
          <w:tcPr>
            <w:tcW w:type="dxa" w:w="1152"/>
          </w:tcPr>
          <w:p>
            <w:r>
              <w:rPr>
                <w:rFonts w:ascii="Arial" w:hAnsi="Arial"/>
                <w:sz w:val="20"/>
              </w:rPr>
              <w:t>65</w:t>
            </w:r>
          </w:p>
        </w:tc>
      </w:tr>
      <w:tr>
        <w:tc>
          <w:tcPr>
            <w:tcW w:type="dxa" w:w="3456"/>
          </w:tcPr>
          <w:p>
            <w:r>
              <w:rPr>
                <w:rFonts w:ascii="Arial" w:hAnsi="Arial"/>
                <w:b/>
                <w:sz w:val="20"/>
              </w:rPr>
              <w:t>Sales &amp; BD</w:t>
            </w:r>
          </w:p>
        </w:tc>
        <w:tc>
          <w:tcPr>
            <w:tcW w:type="dxa" w:w="1152"/>
          </w:tcPr>
          <w:p>
            <w:r>
              <w:rPr>
                <w:rFonts w:ascii="Arial" w:hAnsi="Arial"/>
                <w:sz w:val="20"/>
              </w:rPr>
              <w:t>1</w:t>
            </w:r>
          </w:p>
        </w:tc>
        <w:tc>
          <w:tcPr>
            <w:tcW w:type="dxa" w:w="1152"/>
          </w:tcPr>
          <w:p>
            <w:r>
              <w:rPr>
                <w:rFonts w:ascii="Arial" w:hAnsi="Arial"/>
                <w:sz w:val="20"/>
              </w:rPr>
              <w:t>10</w:t>
            </w:r>
          </w:p>
        </w:tc>
        <w:tc>
          <w:tcPr>
            <w:tcW w:type="dxa" w:w="1152"/>
          </w:tcPr>
          <w:p>
            <w:r>
              <w:rPr>
                <w:rFonts w:ascii="Arial" w:hAnsi="Arial"/>
                <w:sz w:val="20"/>
              </w:rPr>
              <w:t>22</w:t>
            </w:r>
          </w:p>
        </w:tc>
        <w:tc>
          <w:tcPr>
            <w:tcW w:type="dxa" w:w="1152"/>
          </w:tcPr>
          <w:p>
            <w:r>
              <w:rPr>
                <w:rFonts w:ascii="Arial" w:hAnsi="Arial"/>
                <w:sz w:val="20"/>
              </w:rPr>
              <w:t>45</w:t>
            </w:r>
          </w:p>
        </w:tc>
        <w:tc>
          <w:tcPr>
            <w:tcW w:type="dxa" w:w="1152"/>
          </w:tcPr>
          <w:p>
            <w:r>
              <w:rPr>
                <w:rFonts w:ascii="Arial" w:hAnsi="Arial"/>
                <w:sz w:val="20"/>
              </w:rPr>
              <w:t>80</w:t>
            </w:r>
          </w:p>
        </w:tc>
      </w:tr>
      <w:tr>
        <w:tc>
          <w:tcPr>
            <w:tcW w:type="dxa" w:w="3456"/>
          </w:tcPr>
          <w:p>
            <w:r>
              <w:rPr>
                <w:rFonts w:ascii="Arial" w:hAnsi="Arial"/>
                <w:b/>
                <w:sz w:val="20"/>
              </w:rPr>
              <w:t>Customer Success</w:t>
            </w:r>
          </w:p>
        </w:tc>
        <w:tc>
          <w:tcPr>
            <w:tcW w:type="dxa" w:w="1152"/>
          </w:tcPr>
          <w:p>
            <w:r>
              <w:rPr>
                <w:rFonts w:ascii="Arial" w:hAnsi="Arial"/>
                <w:sz w:val="20"/>
              </w:rPr>
              <w:t>0</w:t>
            </w:r>
          </w:p>
        </w:tc>
        <w:tc>
          <w:tcPr>
            <w:tcW w:type="dxa" w:w="1152"/>
          </w:tcPr>
          <w:p>
            <w:r>
              <w:rPr>
                <w:rFonts w:ascii="Arial" w:hAnsi="Arial"/>
                <w:sz w:val="20"/>
              </w:rPr>
              <w:t>5</w:t>
            </w:r>
          </w:p>
        </w:tc>
        <w:tc>
          <w:tcPr>
            <w:tcW w:type="dxa" w:w="1152"/>
          </w:tcPr>
          <w:p>
            <w:r>
              <w:rPr>
                <w:rFonts w:ascii="Arial" w:hAnsi="Arial"/>
                <w:sz w:val="20"/>
              </w:rPr>
              <w:t>12</w:t>
            </w:r>
          </w:p>
        </w:tc>
        <w:tc>
          <w:tcPr>
            <w:tcW w:type="dxa" w:w="1152"/>
          </w:tcPr>
          <w:p>
            <w:r>
              <w:rPr>
                <w:rFonts w:ascii="Arial" w:hAnsi="Arial"/>
                <w:sz w:val="20"/>
              </w:rPr>
              <w:t>25</w:t>
            </w:r>
          </w:p>
        </w:tc>
        <w:tc>
          <w:tcPr>
            <w:tcW w:type="dxa" w:w="1152"/>
          </w:tcPr>
          <w:p>
            <w:r>
              <w:rPr>
                <w:rFonts w:ascii="Arial" w:hAnsi="Arial"/>
                <w:sz w:val="20"/>
              </w:rPr>
              <w:t>45</w:t>
            </w:r>
          </w:p>
        </w:tc>
      </w:tr>
      <w:tr>
        <w:tc>
          <w:tcPr>
            <w:tcW w:type="dxa" w:w="3456"/>
          </w:tcPr>
          <w:p>
            <w:r>
              <w:rPr>
                <w:rFonts w:ascii="Arial" w:hAnsi="Arial"/>
                <w:b/>
                <w:sz w:val="20"/>
              </w:rPr>
              <w:t>Manufacturing / Ops</w:t>
            </w:r>
          </w:p>
        </w:tc>
        <w:tc>
          <w:tcPr>
            <w:tcW w:type="dxa" w:w="1152"/>
          </w:tcPr>
          <w:p>
            <w:r>
              <w:rPr>
                <w:rFonts w:ascii="Arial" w:hAnsi="Arial"/>
                <w:sz w:val="20"/>
              </w:rPr>
              <w:t>1</w:t>
            </w:r>
          </w:p>
        </w:tc>
        <w:tc>
          <w:tcPr>
            <w:tcW w:type="dxa" w:w="1152"/>
          </w:tcPr>
          <w:p>
            <w:r>
              <w:rPr>
                <w:rFonts w:ascii="Arial" w:hAnsi="Arial"/>
                <w:sz w:val="20"/>
              </w:rPr>
              <w:t>4</w:t>
            </w:r>
          </w:p>
        </w:tc>
        <w:tc>
          <w:tcPr>
            <w:tcW w:type="dxa" w:w="1152"/>
          </w:tcPr>
          <w:p>
            <w:r>
              <w:rPr>
                <w:rFonts w:ascii="Arial" w:hAnsi="Arial"/>
                <w:sz w:val="20"/>
              </w:rPr>
              <w:t>8</w:t>
            </w:r>
          </w:p>
        </w:tc>
        <w:tc>
          <w:tcPr>
            <w:tcW w:type="dxa" w:w="1152"/>
          </w:tcPr>
          <w:p>
            <w:r>
              <w:rPr>
                <w:rFonts w:ascii="Arial" w:hAnsi="Arial"/>
                <w:sz w:val="20"/>
              </w:rPr>
              <w:t>18</w:t>
            </w:r>
          </w:p>
        </w:tc>
        <w:tc>
          <w:tcPr>
            <w:tcW w:type="dxa" w:w="1152"/>
          </w:tcPr>
          <w:p>
            <w:r>
              <w:rPr>
                <w:rFonts w:ascii="Arial" w:hAnsi="Arial"/>
                <w:sz w:val="20"/>
              </w:rPr>
              <w:t>30</w:t>
            </w:r>
          </w:p>
        </w:tc>
      </w:tr>
      <w:tr>
        <w:tc>
          <w:tcPr>
            <w:tcW w:type="dxa" w:w="3456"/>
          </w:tcPr>
          <w:p>
            <w:r>
              <w:rPr>
                <w:rFonts w:ascii="Arial" w:hAnsi="Arial"/>
                <w:b/>
                <w:sz w:val="20"/>
              </w:rPr>
              <w:t>Finance, Legal, HR, G&amp;A</w:t>
            </w:r>
          </w:p>
        </w:tc>
        <w:tc>
          <w:tcPr>
            <w:tcW w:type="dxa" w:w="1152"/>
          </w:tcPr>
          <w:p>
            <w:r>
              <w:rPr>
                <w:rFonts w:ascii="Arial" w:hAnsi="Arial"/>
                <w:sz w:val="20"/>
              </w:rPr>
              <w:t>1</w:t>
            </w:r>
          </w:p>
        </w:tc>
        <w:tc>
          <w:tcPr>
            <w:tcW w:type="dxa" w:w="1152"/>
          </w:tcPr>
          <w:p>
            <w:r>
              <w:rPr>
                <w:rFonts w:ascii="Arial" w:hAnsi="Arial"/>
                <w:sz w:val="20"/>
              </w:rPr>
              <w:t>4</w:t>
            </w:r>
          </w:p>
        </w:tc>
        <w:tc>
          <w:tcPr>
            <w:tcW w:type="dxa" w:w="1152"/>
          </w:tcPr>
          <w:p>
            <w:r>
              <w:rPr>
                <w:rFonts w:ascii="Arial" w:hAnsi="Arial"/>
                <w:sz w:val="20"/>
              </w:rPr>
              <w:t>8</w:t>
            </w:r>
          </w:p>
        </w:tc>
        <w:tc>
          <w:tcPr>
            <w:tcW w:type="dxa" w:w="1152"/>
          </w:tcPr>
          <w:p>
            <w:r>
              <w:rPr>
                <w:rFonts w:ascii="Arial" w:hAnsi="Arial"/>
                <w:sz w:val="20"/>
              </w:rPr>
              <w:t>15</w:t>
            </w:r>
          </w:p>
        </w:tc>
        <w:tc>
          <w:tcPr>
            <w:tcW w:type="dxa" w:w="1152"/>
          </w:tcPr>
          <w:p>
            <w:r>
              <w:rPr>
                <w:rFonts w:ascii="Arial" w:hAnsi="Arial"/>
                <w:sz w:val="20"/>
              </w:rPr>
              <w:t>25</w:t>
            </w:r>
          </w:p>
        </w:tc>
      </w:tr>
      <w:tr>
        <w:tc>
          <w:tcPr>
            <w:tcW w:type="dxa" w:w="3456"/>
          </w:tcPr>
          <w:p>
            <w:r>
              <w:rPr>
                <w:rFonts w:ascii="Arial" w:hAnsi="Arial"/>
                <w:b/>
                <w:sz w:val="20"/>
              </w:rPr>
              <w:t>Leadership / Other</w:t>
            </w:r>
          </w:p>
        </w:tc>
        <w:tc>
          <w:tcPr>
            <w:tcW w:type="dxa" w:w="1152"/>
          </w:tcPr>
          <w:p>
            <w:r>
              <w:rPr>
                <w:rFonts w:ascii="Arial" w:hAnsi="Arial"/>
                <w:sz w:val="20"/>
              </w:rPr>
              <w:t>0</w:t>
            </w:r>
          </w:p>
        </w:tc>
        <w:tc>
          <w:tcPr>
            <w:tcW w:type="dxa" w:w="1152"/>
          </w:tcPr>
          <w:p>
            <w:r>
              <w:rPr>
                <w:rFonts w:ascii="Arial" w:hAnsi="Arial"/>
                <w:sz w:val="20"/>
              </w:rPr>
              <w:t>0</w:t>
            </w:r>
          </w:p>
        </w:tc>
        <w:tc>
          <w:tcPr>
            <w:tcW w:type="dxa" w:w="1152"/>
          </w:tcPr>
          <w:p>
            <w:r>
              <w:rPr>
                <w:rFonts w:ascii="Arial" w:hAnsi="Arial"/>
                <w:sz w:val="20"/>
              </w:rPr>
              <w:t>5</w:t>
            </w:r>
          </w:p>
        </w:tc>
        <w:tc>
          <w:tcPr>
            <w:tcW w:type="dxa" w:w="1152"/>
          </w:tcPr>
          <w:p>
            <w:r>
              <w:rPr>
                <w:rFonts w:ascii="Arial" w:hAnsi="Arial"/>
                <w:sz w:val="20"/>
              </w:rPr>
              <w:t>14</w:t>
            </w:r>
          </w:p>
        </w:tc>
        <w:tc>
          <w:tcPr>
            <w:tcW w:type="dxa" w:w="1152"/>
          </w:tcPr>
          <w:p>
            <w:r>
              <w:rPr>
                <w:rFonts w:ascii="Arial" w:hAnsi="Arial"/>
                <w:sz w:val="20"/>
              </w:rPr>
              <w:t>25</w:t>
            </w:r>
          </w:p>
        </w:tc>
      </w:tr>
      <w:tr>
        <w:tc>
          <w:tcPr>
            <w:tcW w:type="dxa" w:w="3456"/>
          </w:tcPr>
          <w:p>
            <w:r>
              <w:rPr>
                <w:rFonts w:ascii="Arial" w:hAnsi="Arial"/>
                <w:b/>
                <w:sz w:val="20"/>
              </w:rPr>
              <w:t>Total FTEs</w:t>
            </w:r>
          </w:p>
        </w:tc>
        <w:tc>
          <w:tcPr>
            <w:tcW w:type="dxa" w:w="1152"/>
          </w:tcPr>
          <w:p>
            <w:r>
              <w:rPr>
                <w:rFonts w:ascii="Arial" w:hAnsi="Arial"/>
                <w:sz w:val="20"/>
              </w:rPr>
              <w:t>12</w:t>
            </w:r>
          </w:p>
        </w:tc>
        <w:tc>
          <w:tcPr>
            <w:tcW w:type="dxa" w:w="1152"/>
          </w:tcPr>
          <w:p>
            <w:r>
              <w:rPr>
                <w:rFonts w:ascii="Arial" w:hAnsi="Arial"/>
                <w:sz w:val="20"/>
              </w:rPr>
              <w:t>45</w:t>
            </w:r>
          </w:p>
        </w:tc>
        <w:tc>
          <w:tcPr>
            <w:tcW w:type="dxa" w:w="1152"/>
          </w:tcPr>
          <w:p>
            <w:r>
              <w:rPr>
                <w:rFonts w:ascii="Arial" w:hAnsi="Arial"/>
                <w:sz w:val="20"/>
              </w:rPr>
              <w:t>95</w:t>
            </w:r>
          </w:p>
        </w:tc>
        <w:tc>
          <w:tcPr>
            <w:tcW w:type="dxa" w:w="1152"/>
          </w:tcPr>
          <w:p>
            <w:r>
              <w:rPr>
                <w:rFonts w:ascii="Arial" w:hAnsi="Arial"/>
                <w:sz w:val="20"/>
              </w:rPr>
              <w:t>185</w:t>
            </w:r>
          </w:p>
        </w:tc>
        <w:tc>
          <w:tcPr>
            <w:tcW w:type="dxa" w:w="1152"/>
          </w:tcPr>
          <w:p>
            <w:r>
              <w:rPr>
                <w:rFonts w:ascii="Arial" w:hAnsi="Arial"/>
                <w:sz w:val="20"/>
              </w:rPr>
              <w:t>310</w:t>
            </w:r>
          </w:p>
        </w:tc>
      </w:tr>
    </w:tbl>
    <w:p>
      <w:pPr>
        <w:spacing w:after="80"/>
      </w:pPr>
    </w:p>
    <w:p>
      <w:pPr>
        <w:pStyle w:val="Heading1"/>
      </w:pPr>
      <w:r>
        <w:t>10. Go-To-Market Strategy</w:t>
      </w:r>
    </w:p>
    <w:p>
      <w:pPr>
        <w:pStyle w:val="Heading2"/>
      </w:pPr>
      <w:r>
        <w:t>10.1  Target Customer Segments</w:t>
      </w:r>
    </w:p>
    <w:tbl>
      <w:tblPr>
        <w:tblStyle w:val="TableGrid"/>
        <w:tblW w:type="auto" w:w="0"/>
        <w:tblLook w:firstColumn="1" w:firstRow="1" w:lastColumn="0" w:lastRow="0" w:noHBand="0" w:noVBand="1" w:val="04A0"/>
      </w:tblPr>
      <w:tblGrid>
        <w:gridCol w:w="2928"/>
        <w:gridCol w:w="2928"/>
        <w:gridCol w:w="2928"/>
      </w:tblGrid>
      <w:tr>
        <w:tc>
          <w:tcPr>
            <w:tcW w:type="dxa" w:w="3168"/>
            <w:shd w:val="clear" w:color="auto" w:fill="1F487E"/>
          </w:tcPr>
          <w:p>
            <w:r>
              <w:rPr>
                <w:rFonts w:ascii="Arial" w:hAnsi="Arial"/>
                <w:b/>
                <w:color w:val="FFFFFF"/>
                <w:sz w:val="20"/>
              </w:rPr>
              <w:t>Segment</w:t>
            </w:r>
          </w:p>
        </w:tc>
        <w:tc>
          <w:tcPr>
            <w:tcW w:type="dxa" w:w="2016"/>
            <w:shd w:val="clear" w:color="auto" w:fill="1F487E"/>
          </w:tcPr>
          <w:p>
            <w:r>
              <w:rPr>
                <w:rFonts w:ascii="Arial" w:hAnsi="Arial"/>
                <w:b/>
                <w:color w:val="FFFFFF"/>
                <w:sz w:val="20"/>
              </w:rPr>
              <w:t>Priority</w:t>
            </w:r>
          </w:p>
        </w:tc>
        <w:tc>
          <w:tcPr>
            <w:tcW w:type="dxa" w:w="4320"/>
            <w:shd w:val="clear" w:color="auto" w:fill="1F487E"/>
          </w:tcPr>
          <w:p>
            <w:r>
              <w:rPr>
                <w:rFonts w:ascii="Arial" w:hAnsi="Arial"/>
                <w:b/>
                <w:color w:val="FFFFFF"/>
                <w:sz w:val="20"/>
              </w:rPr>
              <w:t>Rationale</w:t>
            </w:r>
          </w:p>
        </w:tc>
      </w:tr>
      <w:tr>
        <w:tc>
          <w:tcPr>
            <w:tcW w:type="dxa" w:w="3168"/>
          </w:tcPr>
          <w:p>
            <w:r>
              <w:rPr>
                <w:rFonts w:ascii="Arial" w:hAnsi="Arial"/>
                <w:sz w:val="20"/>
              </w:rPr>
              <w:t>Tier-1 Automotive Suppliers (India)</w:t>
            </w:r>
          </w:p>
        </w:tc>
        <w:tc>
          <w:tcPr>
            <w:tcW w:type="dxa" w:w="2016"/>
          </w:tcPr>
          <w:p>
            <w:r>
              <w:rPr>
                <w:rFonts w:ascii="Arial" w:hAnsi="Arial"/>
                <w:sz w:val="20"/>
              </w:rPr>
              <w:t>Primary — Phase 1</w:t>
            </w:r>
          </w:p>
        </w:tc>
        <w:tc>
          <w:tcPr>
            <w:tcW w:type="dxa" w:w="4320"/>
          </w:tcPr>
          <w:p>
            <w:r>
              <w:rPr>
                <w:rFonts w:ascii="Arial" w:hAnsi="Arial"/>
                <w:sz w:val="20"/>
              </w:rPr>
              <w:t>Highest pain around retooling; known spend on automation; active pilot underway</w:t>
            </w:r>
          </w:p>
        </w:tc>
      </w:tr>
      <w:tr>
        <w:tc>
          <w:tcPr>
            <w:tcW w:type="dxa" w:w="3168"/>
          </w:tcPr>
          <w:p>
            <w:r>
              <w:rPr>
                <w:rFonts w:ascii="Arial" w:hAnsi="Arial"/>
                <w:sz w:val="20"/>
              </w:rPr>
              <w:t>Passenger Car OEMs (India)</w:t>
            </w:r>
          </w:p>
        </w:tc>
        <w:tc>
          <w:tcPr>
            <w:tcW w:type="dxa" w:w="2016"/>
          </w:tcPr>
          <w:p>
            <w:r>
              <w:rPr>
                <w:rFonts w:ascii="Arial" w:hAnsi="Arial"/>
                <w:sz w:val="20"/>
              </w:rPr>
              <w:t>Primary — Phase 2</w:t>
            </w:r>
          </w:p>
        </w:tc>
        <w:tc>
          <w:tcPr>
            <w:tcW w:type="dxa" w:w="4320"/>
          </w:tcPr>
          <w:p>
            <w:r>
              <w:rPr>
                <w:rFonts w:ascii="Arial" w:hAnsi="Arial"/>
                <w:sz w:val="20"/>
              </w:rPr>
              <w:t>Scale volume; brand validation; typically 50–200 robots per plant</w:t>
            </w:r>
          </w:p>
        </w:tc>
      </w:tr>
      <w:tr>
        <w:tc>
          <w:tcPr>
            <w:tcW w:type="dxa" w:w="3168"/>
          </w:tcPr>
          <w:p>
            <w:r>
              <w:rPr>
                <w:rFonts w:ascii="Arial" w:hAnsi="Arial"/>
                <w:sz w:val="20"/>
              </w:rPr>
              <w:t>Electronics Manufacturing</w:t>
            </w:r>
          </w:p>
        </w:tc>
        <w:tc>
          <w:tcPr>
            <w:tcW w:type="dxa" w:w="2016"/>
          </w:tcPr>
          <w:p>
            <w:r>
              <w:rPr>
                <w:rFonts w:ascii="Arial" w:hAnsi="Arial"/>
                <w:sz w:val="20"/>
              </w:rPr>
              <w:t>Secondary — FY2028</w:t>
            </w:r>
          </w:p>
        </w:tc>
        <w:tc>
          <w:tcPr>
            <w:tcW w:type="dxa" w:w="4320"/>
          </w:tcPr>
          <w:p>
            <w:r>
              <w:rPr>
                <w:rFonts w:ascii="Arial" w:hAnsi="Arial"/>
                <w:sz w:val="20"/>
              </w:rPr>
              <w:t>High task variability; SMT, inspection, packaging all served by platform</w:t>
            </w:r>
          </w:p>
        </w:tc>
      </w:tr>
      <w:tr>
        <w:tc>
          <w:tcPr>
            <w:tcW w:type="dxa" w:w="3168"/>
          </w:tcPr>
          <w:p>
            <w:r>
              <w:rPr>
                <w:rFonts w:ascii="Arial" w:hAnsi="Arial"/>
                <w:sz w:val="20"/>
              </w:rPr>
              <w:t>FMCG &amp; Consumer Goods</w:t>
            </w:r>
          </w:p>
        </w:tc>
        <w:tc>
          <w:tcPr>
            <w:tcW w:type="dxa" w:w="2016"/>
          </w:tcPr>
          <w:p>
            <w:r>
              <w:rPr>
                <w:rFonts w:ascii="Arial" w:hAnsi="Arial"/>
                <w:sz w:val="20"/>
              </w:rPr>
              <w:t>Secondary — FY2028</w:t>
            </w:r>
          </w:p>
        </w:tc>
        <w:tc>
          <w:tcPr>
            <w:tcW w:type="dxa" w:w="4320"/>
          </w:tcPr>
          <w:p>
            <w:r>
              <w:rPr>
                <w:rFonts w:ascii="Arial" w:hAnsi="Arial"/>
                <w:sz w:val="20"/>
              </w:rPr>
              <w:t>Seasonal demand peaks create strong fit for reconfigurable robot fleets</w:t>
            </w:r>
          </w:p>
        </w:tc>
      </w:tr>
      <w:tr>
        <w:tc>
          <w:tcPr>
            <w:tcW w:type="dxa" w:w="3168"/>
          </w:tcPr>
          <w:p>
            <w:r>
              <w:rPr>
                <w:rFonts w:ascii="Arial" w:hAnsi="Arial"/>
                <w:sz w:val="20"/>
              </w:rPr>
              <w:t>SE Asia Automotive &amp; Electronics</w:t>
            </w:r>
          </w:p>
        </w:tc>
        <w:tc>
          <w:tcPr>
            <w:tcW w:type="dxa" w:w="2016"/>
          </w:tcPr>
          <w:p>
            <w:r>
              <w:rPr>
                <w:rFonts w:ascii="Arial" w:hAnsi="Arial"/>
                <w:sz w:val="20"/>
              </w:rPr>
              <w:t>Tertiary — FY2029</w:t>
            </w:r>
          </w:p>
        </w:tc>
        <w:tc>
          <w:tcPr>
            <w:tcW w:type="dxa" w:w="4320"/>
          </w:tcPr>
          <w:p>
            <w:r>
              <w:rPr>
                <w:rFonts w:ascii="Arial" w:hAnsi="Arial"/>
                <w:sz w:val="20"/>
              </w:rPr>
              <w:t>Thailand, Vietnam, Indonesia — strong automotive and electronics base</w:t>
            </w:r>
          </w:p>
        </w:tc>
      </w:tr>
    </w:tbl>
    <w:p>
      <w:pPr>
        <w:spacing w:after="80"/>
      </w:pPr>
    </w:p>
    <w:p>
      <w:pPr>
        <w:pStyle w:val="Heading2"/>
      </w:pPr>
      <w:r>
        <w:t>10.2  Sales Motion</w:t>
      </w:r>
    </w:p>
    <w:p>
      <w:pPr>
        <w:pStyle w:val="ListBullet"/>
        <w:spacing w:after="60"/>
        <w:ind w:left="432"/>
      </w:pPr>
      <w:r>
        <w:t>Direct enterprise sales: 10-person field sales team targeting plant managers and automation heads at OEMs and Tier-1s.</w:t>
      </w:r>
    </w:p>
    <w:p>
      <w:pPr>
        <w:pStyle w:val="ListBullet"/>
        <w:spacing w:after="60"/>
        <w:ind w:left="432"/>
      </w:pPr>
      <w:r>
        <w:t>Pilot-first model: 90-day paid pilot (2–3 robots, reduced rate) → convert to full commercial deployment.</w:t>
      </w:r>
    </w:p>
    <w:p>
      <w:pPr>
        <w:pStyle w:val="ListBullet"/>
        <w:spacing w:after="60"/>
        <w:ind w:left="432"/>
      </w:pPr>
      <w:r>
        <w:t>Channel partnerships: integrate with existing automation system integrators as resellers/installers (Phase 2).</w:t>
      </w:r>
    </w:p>
    <w:p>
      <w:pPr>
        <w:pStyle w:val="ListBullet"/>
        <w:spacing w:after="60"/>
        <w:ind w:left="432"/>
      </w:pPr>
      <w:r>
        <w:t>OEM partnerships: co-development agreements with 1–2 OEMs for dedicated task profiles (creates lock-in and credibility).</w:t>
      </w:r>
    </w:p>
    <w:p>
      <w:pPr>
        <w:pStyle w:val="Heading2"/>
      </w:pPr>
      <w:r>
        <w:t>10.3  Marketing</w:t>
      </w:r>
    </w:p>
    <w:p>
      <w:pPr>
        <w:pStyle w:val="ListBullet"/>
        <w:spacing w:after="60"/>
        <w:ind w:left="432"/>
      </w:pPr>
      <w:r>
        <w:t>Industry events: AutoExpo, Hannover Messe India, IMTEX (tooling) for brand presence and lead generation.</w:t>
      </w:r>
    </w:p>
    <w:p>
      <w:pPr>
        <w:pStyle w:val="ListBullet"/>
        <w:spacing w:after="60"/>
        <w:ind w:left="432"/>
      </w:pPr>
      <w:r>
        <w:t>Content &amp; thought leadership: whitepapers on reconfigurable robotics ROI, published in automotive trade press.</w:t>
      </w:r>
    </w:p>
    <w:p>
      <w:pPr>
        <w:pStyle w:val="ListBullet"/>
        <w:spacing w:after="60"/>
        <w:ind w:left="432"/>
      </w:pPr>
      <w:r>
        <w:t>Case studies: publish Pune pilot results (uptime, retooling cost saved, QC accuracy) as primary sales collateral.</w:t>
      </w:r>
    </w:p>
    <w:p>
      <w:pPr>
        <w:pStyle w:val="ListBullet"/>
        <w:spacing w:after="60"/>
        <w:ind w:left="432"/>
      </w:pPr>
      <w:r>
        <w:t>Digital: LinkedIn and industry vertical ad targeting for automation decision-makers.</w:t>
      </w:r>
    </w:p>
    <w:p>
      <w:pPr>
        <w:pStyle w:val="Heading1"/>
      </w:pPr>
      <w:r>
        <w:t>11. Competitive Landscape</w:t>
      </w:r>
    </w:p>
    <w:tbl>
      <w:tblPr>
        <w:tblStyle w:val="TableGrid"/>
        <w:tblW w:type="auto" w:w="0"/>
        <w:tblLook w:firstColumn="1" w:firstRow="1" w:lastColumn="0" w:lastRow="0" w:noHBand="0" w:noVBand="1" w:val="04A0"/>
      </w:tblPr>
      <w:tblGrid>
        <w:gridCol w:w="2196"/>
        <w:gridCol w:w="2196"/>
        <w:gridCol w:w="2196"/>
        <w:gridCol w:w="2196"/>
      </w:tblGrid>
      <w:tr>
        <w:tc>
          <w:tcPr>
            <w:tcW w:type="dxa" w:w="2592"/>
            <w:shd w:val="clear" w:color="auto" w:fill="1F487E"/>
          </w:tcPr>
          <w:p>
            <w:r>
              <w:rPr>
                <w:rFonts w:ascii="Arial" w:hAnsi="Arial"/>
                <w:b/>
                <w:color w:val="FFFFFF"/>
                <w:sz w:val="20"/>
              </w:rPr>
              <w:t>Competitor / Type</w:t>
            </w:r>
          </w:p>
        </w:tc>
        <w:tc>
          <w:tcPr>
            <w:tcW w:type="dxa" w:w="2448"/>
            <w:shd w:val="clear" w:color="auto" w:fill="1F487E"/>
          </w:tcPr>
          <w:p>
            <w:r>
              <w:rPr>
                <w:rFonts w:ascii="Arial" w:hAnsi="Arial"/>
                <w:b/>
                <w:color w:val="FFFFFF"/>
                <w:sz w:val="20"/>
              </w:rPr>
              <w:t>Strengths</w:t>
            </w:r>
          </w:p>
        </w:tc>
        <w:tc>
          <w:tcPr>
            <w:tcW w:type="dxa" w:w="2736"/>
            <w:shd w:val="clear" w:color="auto" w:fill="1F487E"/>
          </w:tcPr>
          <w:p>
            <w:r>
              <w:rPr>
                <w:rFonts w:ascii="Arial" w:hAnsi="Arial"/>
                <w:b/>
                <w:color w:val="FFFFFF"/>
                <w:sz w:val="20"/>
              </w:rPr>
              <w:t>Weaknesses</w:t>
            </w:r>
          </w:p>
        </w:tc>
        <w:tc>
          <w:tcPr>
            <w:tcW w:type="dxa" w:w="3168"/>
            <w:shd w:val="clear" w:color="auto" w:fill="1F487E"/>
          </w:tcPr>
          <w:p>
            <w:r>
              <w:rPr>
                <w:rFonts w:ascii="Arial" w:hAnsi="Arial"/>
                <w:b/>
                <w:color w:val="FFFFFF"/>
                <w:sz w:val="20"/>
              </w:rPr>
              <w:t>CloudRobotics Advantage</w:t>
            </w:r>
          </w:p>
        </w:tc>
      </w:tr>
      <w:tr>
        <w:tc>
          <w:tcPr>
            <w:tcW w:type="dxa" w:w="2592"/>
          </w:tcPr>
          <w:p>
            <w:r>
              <w:rPr>
                <w:rFonts w:ascii="Arial" w:hAnsi="Arial"/>
                <w:sz w:val="20"/>
              </w:rPr>
              <w:t>FANUC, ABB, KUKA</w:t>
              <w:br/>
              <w:t>(Purpose-built robots)</w:t>
            </w:r>
          </w:p>
        </w:tc>
        <w:tc>
          <w:tcPr>
            <w:tcW w:type="dxa" w:w="2448"/>
          </w:tcPr>
          <w:p>
            <w:r>
              <w:rPr>
                <w:rFonts w:ascii="Arial" w:hAnsi="Arial"/>
                <w:sz w:val="20"/>
              </w:rPr>
              <w:t>Brand, reliability, global support, automotive certifications</w:t>
            </w:r>
          </w:p>
        </w:tc>
        <w:tc>
          <w:tcPr>
            <w:tcW w:type="dxa" w:w="2736"/>
          </w:tcPr>
          <w:p>
            <w:r>
              <w:rPr>
                <w:rFonts w:ascii="Arial" w:hAnsi="Arial"/>
                <w:sz w:val="20"/>
              </w:rPr>
              <w:t>Single-purpose; retooling required; no cloud reconfiguration</w:t>
            </w:r>
          </w:p>
        </w:tc>
        <w:tc>
          <w:tcPr>
            <w:tcW w:type="dxa" w:w="3168"/>
          </w:tcPr>
          <w:p>
            <w:r>
              <w:rPr>
                <w:rFonts w:ascii="Arial" w:hAnsi="Arial"/>
                <w:sz w:val="20"/>
              </w:rPr>
              <w:t>Task-agnostic; cloud-native reconfiguration; lower TCO</w:t>
            </w:r>
          </w:p>
        </w:tc>
      </w:tr>
      <w:tr>
        <w:tc>
          <w:tcPr>
            <w:tcW w:type="dxa" w:w="2592"/>
          </w:tcPr>
          <w:p>
            <w:r>
              <w:rPr>
                <w:rFonts w:ascii="Arial" w:hAnsi="Arial"/>
                <w:sz w:val="20"/>
              </w:rPr>
              <w:t>Universal Robots</w:t>
              <w:br/>
              <w:t>(Collaborative robots)</w:t>
            </w:r>
          </w:p>
        </w:tc>
        <w:tc>
          <w:tcPr>
            <w:tcW w:type="dxa" w:w="2448"/>
          </w:tcPr>
          <w:p>
            <w:r>
              <w:rPr>
                <w:rFonts w:ascii="Arial" w:hAnsi="Arial"/>
                <w:sz w:val="20"/>
              </w:rPr>
              <w:t>Ease of use, lightweight, human-safe</w:t>
            </w:r>
          </w:p>
        </w:tc>
        <w:tc>
          <w:tcPr>
            <w:tcW w:type="dxa" w:w="2736"/>
          </w:tcPr>
          <w:p>
            <w:r>
              <w:rPr>
                <w:rFonts w:ascii="Arial" w:hAnsi="Arial"/>
                <w:sz w:val="20"/>
              </w:rPr>
              <w:t>Limited payload; not suited for heavy assembly; no cloud fleet mgmt</w:t>
            </w:r>
          </w:p>
        </w:tc>
        <w:tc>
          <w:tcPr>
            <w:tcW w:type="dxa" w:w="3168"/>
          </w:tcPr>
          <w:p>
            <w:r>
              <w:rPr>
                <w:rFonts w:ascii="Arial" w:hAnsi="Arial"/>
                <w:sz w:val="20"/>
              </w:rPr>
              <w:t>Higher payload; full fleet management; industrial-grade</w:t>
            </w:r>
          </w:p>
        </w:tc>
      </w:tr>
      <w:tr>
        <w:tc>
          <w:tcPr>
            <w:tcW w:type="dxa" w:w="2592"/>
          </w:tcPr>
          <w:p>
            <w:r>
              <w:rPr>
                <w:rFonts w:ascii="Arial" w:hAnsi="Arial"/>
                <w:sz w:val="20"/>
              </w:rPr>
              <w:t>Fetch Robotics / 6 River</w:t>
              <w:br/>
              <w:t>(Mobile robots)</w:t>
            </w:r>
          </w:p>
        </w:tc>
        <w:tc>
          <w:tcPr>
            <w:tcW w:type="dxa" w:w="2448"/>
          </w:tcPr>
          <w:p>
            <w:r>
              <w:rPr>
                <w:rFonts w:ascii="Arial" w:hAnsi="Arial"/>
                <w:sz w:val="20"/>
              </w:rPr>
              <w:t>Strong in logistics/warehousing</w:t>
            </w:r>
          </w:p>
        </w:tc>
        <w:tc>
          <w:tcPr>
            <w:tcW w:type="dxa" w:w="2736"/>
          </w:tcPr>
          <w:p>
            <w:r>
              <w:rPr>
                <w:rFonts w:ascii="Arial" w:hAnsi="Arial"/>
                <w:sz w:val="20"/>
              </w:rPr>
              <w:t>Logistics-only; no manipulation capability</w:t>
            </w:r>
          </w:p>
        </w:tc>
        <w:tc>
          <w:tcPr>
            <w:tcW w:type="dxa" w:w="3168"/>
          </w:tcPr>
          <w:p>
            <w:r>
              <w:rPr>
                <w:rFonts w:ascii="Arial" w:hAnsi="Arial"/>
                <w:sz w:val="20"/>
              </w:rPr>
              <w:t>Full manipulation + logistics in one platform</w:t>
            </w:r>
          </w:p>
        </w:tc>
      </w:tr>
      <w:tr>
        <w:tc>
          <w:tcPr>
            <w:tcW w:type="dxa" w:w="2592"/>
          </w:tcPr>
          <w:p>
            <w:r>
              <w:rPr>
                <w:rFonts w:ascii="Arial" w:hAnsi="Arial"/>
                <w:sz w:val="20"/>
              </w:rPr>
              <w:t>Vention / Rapid Robotics</w:t>
              <w:br/>
              <w:t>(RaaS startups)</w:t>
            </w:r>
          </w:p>
        </w:tc>
        <w:tc>
          <w:tcPr>
            <w:tcW w:type="dxa" w:w="2448"/>
          </w:tcPr>
          <w:p>
            <w:r>
              <w:rPr>
                <w:rFonts w:ascii="Arial" w:hAnsi="Arial"/>
                <w:sz w:val="20"/>
              </w:rPr>
              <w:t>Subscription model, fast deployment</w:t>
            </w:r>
          </w:p>
        </w:tc>
        <w:tc>
          <w:tcPr>
            <w:tcW w:type="dxa" w:w="2736"/>
          </w:tcPr>
          <w:p>
            <w:r>
              <w:rPr>
                <w:rFonts w:ascii="Arial" w:hAnsi="Arial"/>
                <w:sz w:val="20"/>
              </w:rPr>
              <w:t>Limited task flexibility; US/EU focused; no India presence</w:t>
            </w:r>
          </w:p>
        </w:tc>
        <w:tc>
          <w:tcPr>
            <w:tcW w:type="dxa" w:w="3168"/>
          </w:tcPr>
          <w:p>
            <w:r>
              <w:rPr>
                <w:rFonts w:ascii="Arial" w:hAnsi="Arial"/>
                <w:sz w:val="20"/>
              </w:rPr>
              <w:t>Broader task coverage; India-native; local support</w:t>
            </w:r>
          </w:p>
        </w:tc>
      </w:tr>
      <w:tr>
        <w:tc>
          <w:tcPr>
            <w:tcW w:type="dxa" w:w="2592"/>
          </w:tcPr>
          <w:p>
            <w:r>
              <w:rPr>
                <w:rFonts w:ascii="Arial" w:hAnsi="Arial"/>
                <w:sz w:val="20"/>
              </w:rPr>
              <w:t>In-house automation teams</w:t>
              <w:br/>
              <w:t>(OEM-built solutions)</w:t>
            </w:r>
          </w:p>
        </w:tc>
        <w:tc>
          <w:tcPr>
            <w:tcW w:type="dxa" w:w="2448"/>
          </w:tcPr>
          <w:p>
            <w:r>
              <w:rPr>
                <w:rFonts w:ascii="Arial" w:hAnsi="Arial"/>
                <w:sz w:val="20"/>
              </w:rPr>
              <w:t>Fully customised</w:t>
            </w:r>
          </w:p>
        </w:tc>
        <w:tc>
          <w:tcPr>
            <w:tcW w:type="dxa" w:w="2736"/>
          </w:tcPr>
          <w:p>
            <w:r>
              <w:rPr>
                <w:rFonts w:ascii="Arial" w:hAnsi="Arial"/>
                <w:sz w:val="20"/>
              </w:rPr>
              <w:t>High cost, long lead time, no scalability</w:t>
            </w:r>
          </w:p>
        </w:tc>
        <w:tc>
          <w:tcPr>
            <w:tcW w:type="dxa" w:w="3168"/>
          </w:tcPr>
          <w:p>
            <w:r>
              <w:rPr>
                <w:rFonts w:ascii="Arial" w:hAnsi="Arial"/>
                <w:sz w:val="20"/>
              </w:rPr>
              <w:t>Faster deployment; scalable; lower CAPEX for customer</w:t>
            </w:r>
          </w:p>
        </w:tc>
      </w:tr>
    </w:tbl>
    <w:p>
      <w:pPr>
        <w:spacing w:after="80"/>
      </w:pPr>
    </w:p>
    <w:p>
      <w:pPr>
        <w:pStyle w:val="Heading1"/>
      </w:pPr>
      <w:r>
        <w:t>12. Risk Factors &amp; Mitigation</w:t>
      </w:r>
    </w:p>
    <w:tbl>
      <w:tblPr>
        <w:tblStyle w:val="TableGrid"/>
        <w:tblW w:type="auto" w:w="0"/>
        <w:tblLook w:firstColumn="1" w:firstRow="1" w:lastColumn="0" w:lastRow="0" w:noHBand="0" w:noVBand="1" w:val="04A0"/>
      </w:tblPr>
      <w:tblGrid>
        <w:gridCol w:w="2196"/>
        <w:gridCol w:w="2196"/>
        <w:gridCol w:w="2196"/>
        <w:gridCol w:w="2196"/>
      </w:tblGrid>
      <w:tr>
        <w:tc>
          <w:tcPr>
            <w:tcW w:type="dxa" w:w="2880"/>
            <w:shd w:val="clear" w:color="auto" w:fill="1F487E"/>
          </w:tcPr>
          <w:p>
            <w:r>
              <w:rPr>
                <w:rFonts w:ascii="Arial" w:hAnsi="Arial"/>
                <w:b/>
                <w:color w:val="FFFFFF"/>
                <w:sz w:val="20"/>
              </w:rPr>
              <w:t>Risk</w:t>
            </w:r>
          </w:p>
        </w:tc>
        <w:tc>
          <w:tcPr>
            <w:tcW w:type="dxa" w:w="1296"/>
            <w:shd w:val="clear" w:color="auto" w:fill="1F487E"/>
          </w:tcPr>
          <w:p>
            <w:r>
              <w:rPr>
                <w:rFonts w:ascii="Arial" w:hAnsi="Arial"/>
                <w:b/>
                <w:color w:val="FFFFFF"/>
                <w:sz w:val="20"/>
              </w:rPr>
              <w:t>Likelihood</w:t>
            </w:r>
          </w:p>
        </w:tc>
        <w:tc>
          <w:tcPr>
            <w:tcW w:type="dxa" w:w="1008"/>
            <w:shd w:val="clear" w:color="auto" w:fill="1F487E"/>
          </w:tcPr>
          <w:p>
            <w:r>
              <w:rPr>
                <w:rFonts w:ascii="Arial" w:hAnsi="Arial"/>
                <w:b/>
                <w:color w:val="FFFFFF"/>
                <w:sz w:val="20"/>
              </w:rPr>
              <w:t>Impact</w:t>
            </w:r>
          </w:p>
        </w:tc>
        <w:tc>
          <w:tcPr>
            <w:tcW w:type="dxa" w:w="4320"/>
            <w:shd w:val="clear" w:color="auto" w:fill="1F487E"/>
          </w:tcPr>
          <w:p>
            <w:r>
              <w:rPr>
                <w:rFonts w:ascii="Arial" w:hAnsi="Arial"/>
                <w:b/>
                <w:color w:val="FFFFFF"/>
                <w:sz w:val="20"/>
              </w:rPr>
              <w:t>Mitigation</w:t>
            </w:r>
          </w:p>
        </w:tc>
      </w:tr>
      <w:tr>
        <w:tc>
          <w:tcPr>
            <w:tcW w:type="dxa" w:w="2880"/>
          </w:tcPr>
          <w:p>
            <w:r>
              <w:rPr>
                <w:rFonts w:ascii="Arial" w:hAnsi="Arial"/>
                <w:sz w:val="20"/>
              </w:rPr>
              <w:t>Hardware reliability in industrial environment</w:t>
            </w:r>
          </w:p>
        </w:tc>
        <w:tc>
          <w:tcPr>
            <w:tcW w:type="dxa" w:w="1296"/>
          </w:tcPr>
          <w:p>
            <w:r>
              <w:rPr>
                <w:rFonts w:ascii="Arial" w:hAnsi="Arial"/>
                <w:sz w:val="20"/>
              </w:rPr>
              <w:t>Medium</w:t>
            </w:r>
          </w:p>
        </w:tc>
        <w:tc>
          <w:tcPr>
            <w:tcW w:type="dxa" w:w="1008"/>
          </w:tcPr>
          <w:p>
            <w:r>
              <w:rPr>
                <w:rFonts w:ascii="Arial" w:hAnsi="Arial"/>
                <w:sz w:val="20"/>
              </w:rPr>
              <w:t>High</w:t>
            </w:r>
          </w:p>
        </w:tc>
        <w:tc>
          <w:tcPr>
            <w:tcW w:type="dxa" w:w="4320"/>
          </w:tcPr>
          <w:p>
            <w:r>
              <w:rPr>
                <w:rFonts w:ascii="Arial" w:hAnsi="Arial"/>
                <w:sz w:val="20"/>
              </w:rPr>
              <w:t>Rigorous FMEA; IATF 16949 quality process; 1-year warranty + remote diagnostics</w:t>
            </w:r>
          </w:p>
        </w:tc>
      </w:tr>
      <w:tr>
        <w:tc>
          <w:tcPr>
            <w:tcW w:type="dxa" w:w="2880"/>
          </w:tcPr>
          <w:p>
            <w:r>
              <w:rPr>
                <w:rFonts w:ascii="Arial" w:hAnsi="Arial"/>
                <w:sz w:val="20"/>
              </w:rPr>
              <w:t>Cybersecurity breach of cloud control plane</w:t>
            </w:r>
          </w:p>
        </w:tc>
        <w:tc>
          <w:tcPr>
            <w:tcW w:type="dxa" w:w="1296"/>
          </w:tcPr>
          <w:p>
            <w:r>
              <w:rPr>
                <w:rFonts w:ascii="Arial" w:hAnsi="Arial"/>
                <w:sz w:val="20"/>
              </w:rPr>
              <w:t>Low</w:t>
            </w:r>
          </w:p>
        </w:tc>
        <w:tc>
          <w:tcPr>
            <w:tcW w:type="dxa" w:w="1008"/>
          </w:tcPr>
          <w:p>
            <w:r>
              <w:rPr>
                <w:rFonts w:ascii="Arial" w:hAnsi="Arial"/>
                <w:sz w:val="20"/>
              </w:rPr>
              <w:t>Critical</w:t>
            </w:r>
          </w:p>
        </w:tc>
        <w:tc>
          <w:tcPr>
            <w:tcW w:type="dxa" w:w="4320"/>
          </w:tcPr>
          <w:p>
            <w:r>
              <w:rPr>
                <w:rFonts w:ascii="Arial" w:hAnsi="Arial"/>
                <w:sz w:val="20"/>
              </w:rPr>
              <w:t>TLS 1.3, hardware root of trust, SOC 2 certification, penetration testing annually</w:t>
            </w:r>
          </w:p>
        </w:tc>
      </w:tr>
      <w:tr>
        <w:tc>
          <w:tcPr>
            <w:tcW w:type="dxa" w:w="2880"/>
          </w:tcPr>
          <w:p>
            <w:r>
              <w:rPr>
                <w:rFonts w:ascii="Arial" w:hAnsi="Arial"/>
                <w:sz w:val="20"/>
              </w:rPr>
              <w:t>Slow customer adoption / long sales cycles</w:t>
            </w:r>
          </w:p>
        </w:tc>
        <w:tc>
          <w:tcPr>
            <w:tcW w:type="dxa" w:w="1296"/>
          </w:tcPr>
          <w:p>
            <w:r>
              <w:rPr>
                <w:rFonts w:ascii="Arial" w:hAnsi="Arial"/>
                <w:sz w:val="20"/>
              </w:rPr>
              <w:t>Medium</w:t>
            </w:r>
          </w:p>
        </w:tc>
        <w:tc>
          <w:tcPr>
            <w:tcW w:type="dxa" w:w="1008"/>
          </w:tcPr>
          <w:p>
            <w:r>
              <w:rPr>
                <w:rFonts w:ascii="Arial" w:hAnsi="Arial"/>
                <w:sz w:val="20"/>
              </w:rPr>
              <w:t>High</w:t>
            </w:r>
          </w:p>
        </w:tc>
        <w:tc>
          <w:tcPr>
            <w:tcW w:type="dxa" w:w="4320"/>
          </w:tcPr>
          <w:p>
            <w:r>
              <w:rPr>
                <w:rFonts w:ascii="Arial" w:hAnsi="Arial"/>
                <w:sz w:val="20"/>
              </w:rPr>
              <w:t>Pilot-first model reduces commitment; ROI calculator; case study evidence</w:t>
            </w:r>
          </w:p>
        </w:tc>
      </w:tr>
      <w:tr>
        <w:tc>
          <w:tcPr>
            <w:tcW w:type="dxa" w:w="2880"/>
          </w:tcPr>
          <w:p>
            <w:r>
              <w:rPr>
                <w:rFonts w:ascii="Arial" w:hAnsi="Arial"/>
                <w:sz w:val="20"/>
              </w:rPr>
              <w:t>Key person dependency (2-founder team)</w:t>
            </w:r>
          </w:p>
        </w:tc>
        <w:tc>
          <w:tcPr>
            <w:tcW w:type="dxa" w:w="1296"/>
          </w:tcPr>
          <w:p>
            <w:r>
              <w:rPr>
                <w:rFonts w:ascii="Arial" w:hAnsi="Arial"/>
                <w:sz w:val="20"/>
              </w:rPr>
              <w:t>Medium</w:t>
            </w:r>
          </w:p>
        </w:tc>
        <w:tc>
          <w:tcPr>
            <w:tcW w:type="dxa" w:w="1008"/>
          </w:tcPr>
          <w:p>
            <w:r>
              <w:rPr>
                <w:rFonts w:ascii="Arial" w:hAnsi="Arial"/>
                <w:sz w:val="20"/>
              </w:rPr>
              <w:t>High</w:t>
            </w:r>
          </w:p>
        </w:tc>
        <w:tc>
          <w:tcPr>
            <w:tcW w:type="dxa" w:w="4320"/>
          </w:tcPr>
          <w:p>
            <w:r>
              <w:rPr>
                <w:rFonts w:ascii="Arial" w:hAnsi="Arial"/>
                <w:sz w:val="20"/>
              </w:rPr>
              <w:t>Series A funds VP-level hires; knowledge documentation; equity retention</w:t>
            </w:r>
          </w:p>
        </w:tc>
      </w:tr>
      <w:tr>
        <w:tc>
          <w:tcPr>
            <w:tcW w:type="dxa" w:w="2880"/>
          </w:tcPr>
          <w:p>
            <w:r>
              <w:rPr>
                <w:rFonts w:ascii="Arial" w:hAnsi="Arial"/>
                <w:sz w:val="20"/>
              </w:rPr>
              <w:t>Component supply chain disruption</w:t>
            </w:r>
          </w:p>
        </w:tc>
        <w:tc>
          <w:tcPr>
            <w:tcW w:type="dxa" w:w="1296"/>
          </w:tcPr>
          <w:p>
            <w:r>
              <w:rPr>
                <w:rFonts w:ascii="Arial" w:hAnsi="Arial"/>
                <w:sz w:val="20"/>
              </w:rPr>
              <w:t>Medium</w:t>
            </w:r>
          </w:p>
        </w:tc>
        <w:tc>
          <w:tcPr>
            <w:tcW w:type="dxa" w:w="1008"/>
          </w:tcPr>
          <w:p>
            <w:r>
              <w:rPr>
                <w:rFonts w:ascii="Arial" w:hAnsi="Arial"/>
                <w:sz w:val="20"/>
              </w:rPr>
              <w:t>Medium</w:t>
            </w:r>
          </w:p>
        </w:tc>
        <w:tc>
          <w:tcPr>
            <w:tcW w:type="dxa" w:w="4320"/>
          </w:tcPr>
          <w:p>
            <w:r>
              <w:rPr>
                <w:rFonts w:ascii="Arial" w:hAnsi="Arial"/>
                <w:sz w:val="20"/>
              </w:rPr>
              <w:t>Dual-source critical components; 8-week safety stock; India-first BOM strategy</w:t>
            </w:r>
          </w:p>
        </w:tc>
      </w:tr>
      <w:tr>
        <w:tc>
          <w:tcPr>
            <w:tcW w:type="dxa" w:w="2880"/>
          </w:tcPr>
          <w:p>
            <w:r>
              <w:rPr>
                <w:rFonts w:ascii="Arial" w:hAnsi="Arial"/>
                <w:sz w:val="20"/>
              </w:rPr>
              <w:t>Global robotics giants entering cloud-configurable space</w:t>
            </w:r>
          </w:p>
        </w:tc>
        <w:tc>
          <w:tcPr>
            <w:tcW w:type="dxa" w:w="1296"/>
          </w:tcPr>
          <w:p>
            <w:r>
              <w:rPr>
                <w:rFonts w:ascii="Arial" w:hAnsi="Arial"/>
                <w:sz w:val="20"/>
              </w:rPr>
              <w:t>Low</w:t>
            </w:r>
          </w:p>
        </w:tc>
        <w:tc>
          <w:tcPr>
            <w:tcW w:type="dxa" w:w="1008"/>
          </w:tcPr>
          <w:p>
            <w:r>
              <w:rPr>
                <w:rFonts w:ascii="Arial" w:hAnsi="Arial"/>
                <w:sz w:val="20"/>
              </w:rPr>
              <w:t>High</w:t>
            </w:r>
          </w:p>
        </w:tc>
        <w:tc>
          <w:tcPr>
            <w:tcW w:type="dxa" w:w="4320"/>
          </w:tcPr>
          <w:p>
            <w:r>
              <w:rPr>
                <w:rFonts w:ascii="Arial" w:hAnsi="Arial"/>
                <w:sz w:val="20"/>
              </w:rPr>
              <w:t>Patent protection; India-first speed advantage; deep OEM integrations as moat</w:t>
            </w:r>
          </w:p>
        </w:tc>
      </w:tr>
      <w:tr>
        <w:tc>
          <w:tcPr>
            <w:tcW w:type="dxa" w:w="2880"/>
          </w:tcPr>
          <w:p>
            <w:r>
              <w:rPr>
                <w:rFonts w:ascii="Arial" w:hAnsi="Arial"/>
                <w:sz w:val="20"/>
              </w:rPr>
              <w:t>Regulatory / safety certification delays</w:t>
            </w:r>
          </w:p>
        </w:tc>
        <w:tc>
          <w:tcPr>
            <w:tcW w:type="dxa" w:w="1296"/>
          </w:tcPr>
          <w:p>
            <w:r>
              <w:rPr>
                <w:rFonts w:ascii="Arial" w:hAnsi="Arial"/>
                <w:sz w:val="20"/>
              </w:rPr>
              <w:t>Low</w:t>
            </w:r>
          </w:p>
        </w:tc>
        <w:tc>
          <w:tcPr>
            <w:tcW w:type="dxa" w:w="1008"/>
          </w:tcPr>
          <w:p>
            <w:r>
              <w:rPr>
                <w:rFonts w:ascii="Arial" w:hAnsi="Arial"/>
                <w:sz w:val="20"/>
              </w:rPr>
              <w:t>Medium</w:t>
            </w:r>
          </w:p>
        </w:tc>
        <w:tc>
          <w:tcPr>
            <w:tcW w:type="dxa" w:w="4320"/>
          </w:tcPr>
          <w:p>
            <w:r>
              <w:rPr>
                <w:rFonts w:ascii="Arial" w:hAnsi="Arial"/>
                <w:sz w:val="20"/>
              </w:rPr>
              <w:t>Early engagement with BIS and TÜV; third-party safety assessor on retainer</w:t>
            </w:r>
          </w:p>
        </w:tc>
      </w:tr>
      <w:tr>
        <w:tc>
          <w:tcPr>
            <w:tcW w:type="dxa" w:w="2880"/>
          </w:tcPr>
          <w:p>
            <w:r>
              <w:rPr>
                <w:rFonts w:ascii="Arial" w:hAnsi="Arial"/>
                <w:sz w:val="20"/>
              </w:rPr>
              <w:t>Fundraising risk — Series A not closed in time</w:t>
            </w:r>
          </w:p>
        </w:tc>
        <w:tc>
          <w:tcPr>
            <w:tcW w:type="dxa" w:w="1296"/>
          </w:tcPr>
          <w:p>
            <w:r>
              <w:rPr>
                <w:rFonts w:ascii="Arial" w:hAnsi="Arial"/>
                <w:sz w:val="20"/>
              </w:rPr>
              <w:t>Low</w:t>
            </w:r>
          </w:p>
        </w:tc>
        <w:tc>
          <w:tcPr>
            <w:tcW w:type="dxa" w:w="1008"/>
          </w:tcPr>
          <w:p>
            <w:r>
              <w:rPr>
                <w:rFonts w:ascii="Arial" w:hAnsi="Arial"/>
                <w:sz w:val="20"/>
              </w:rPr>
              <w:t>Critical</w:t>
            </w:r>
          </w:p>
        </w:tc>
        <w:tc>
          <w:tcPr>
            <w:tcW w:type="dxa" w:w="4320"/>
          </w:tcPr>
          <w:p>
            <w:r>
              <w:rPr>
                <w:rFonts w:ascii="Arial" w:hAnsi="Arial"/>
                <w:sz w:val="20"/>
              </w:rPr>
              <w:t>18-month runway on existing seed; bridge convertible note option pre-agreed with seed investors</w:t>
            </w:r>
          </w:p>
        </w:tc>
      </w:tr>
    </w:tbl>
    <w:p>
      <w:pPr>
        <w:spacing w:after="80"/>
      </w:pPr>
    </w:p>
    <w:p>
      <w:pPr>
        <w:pStyle w:val="Heading1"/>
      </w:pPr>
      <w:r>
        <w:t>13. Management Team</w:t>
      </w:r>
    </w:p>
    <w:p>
      <w:pPr>
        <w:spacing w:after="120"/>
      </w:pPr>
      <w:r>
        <w:rPr>
          <w:b w:val="0"/>
          <w:i w:val="0"/>
        </w:rPr>
        <w:t>Full management team profiles are provided in the accompanying Business Profile document. A summary is provided below.</w:t>
      </w:r>
    </w:p>
    <w:tbl>
      <w:tblPr>
        <w:tblStyle w:val="TableGrid"/>
        <w:tblW w:type="auto" w:w="0"/>
        <w:tblLook w:firstColumn="1" w:firstRow="1" w:lastColumn="0" w:lastRow="0" w:noHBand="0" w:noVBand="1" w:val="04A0"/>
      </w:tblPr>
      <w:tblGrid>
        <w:gridCol w:w="2928"/>
        <w:gridCol w:w="2928"/>
        <w:gridCol w:w="2928"/>
      </w:tblGrid>
      <w:tr>
        <w:tc>
          <w:tcPr>
            <w:tcW w:type="dxa" w:w="2592"/>
            <w:shd w:val="clear" w:color="auto" w:fill="1F487E"/>
          </w:tcPr>
          <w:p>
            <w:r>
              <w:rPr>
                <w:rFonts w:ascii="Arial" w:hAnsi="Arial"/>
                <w:b/>
                <w:color w:val="FFFFFF"/>
                <w:sz w:val="20"/>
              </w:rPr>
              <w:t>Name</w:t>
            </w:r>
          </w:p>
        </w:tc>
        <w:tc>
          <w:tcPr>
            <w:tcW w:type="dxa" w:w="2160"/>
            <w:shd w:val="clear" w:color="auto" w:fill="1F487E"/>
          </w:tcPr>
          <w:p>
            <w:r>
              <w:rPr>
                <w:rFonts w:ascii="Arial" w:hAnsi="Arial"/>
                <w:b/>
                <w:color w:val="FFFFFF"/>
                <w:sz w:val="20"/>
              </w:rPr>
              <w:t>Role</w:t>
            </w:r>
          </w:p>
        </w:tc>
        <w:tc>
          <w:tcPr>
            <w:tcW w:type="dxa" w:w="6192"/>
            <w:shd w:val="clear" w:color="auto" w:fill="1F487E"/>
          </w:tcPr>
          <w:p>
            <w:r>
              <w:rPr>
                <w:rFonts w:ascii="Arial" w:hAnsi="Arial"/>
                <w:b/>
                <w:color w:val="FFFFFF"/>
                <w:sz w:val="20"/>
              </w:rPr>
              <w:t>Relevant Experience</w:t>
            </w:r>
          </w:p>
        </w:tc>
      </w:tr>
      <w:tr>
        <w:tc>
          <w:tcPr>
            <w:tcW w:type="dxa" w:w="2592"/>
          </w:tcPr>
          <w:p>
            <w:r>
              <w:rPr>
                <w:rFonts w:ascii="Arial" w:hAnsi="Arial"/>
                <w:sz w:val="20"/>
              </w:rPr>
              <w:t>Arjun Mehta</w:t>
            </w:r>
          </w:p>
        </w:tc>
        <w:tc>
          <w:tcPr>
            <w:tcW w:type="dxa" w:w="2160"/>
          </w:tcPr>
          <w:p>
            <w:r>
              <w:rPr>
                <w:rFonts w:ascii="Arial" w:hAnsi="Arial"/>
                <w:sz w:val="20"/>
              </w:rPr>
              <w:t>CEO &amp; Co-Founder</w:t>
            </w:r>
          </w:p>
        </w:tc>
        <w:tc>
          <w:tcPr>
            <w:tcW w:type="dxa" w:w="6192"/>
          </w:tcPr>
          <w:p>
            <w:r>
              <w:rPr>
                <w:rFonts w:ascii="Arial" w:hAnsi="Arial"/>
                <w:sz w:val="20"/>
              </w:rPr>
              <w:t>15 years, industrial automation &amp; robotics; ex-Head of Robotics Engineering, Tier-1 automotive supplier; IIT Bombay + IIM Ahmedabad</w:t>
            </w:r>
          </w:p>
        </w:tc>
      </w:tr>
      <w:tr>
        <w:tc>
          <w:tcPr>
            <w:tcW w:type="dxa" w:w="2592"/>
          </w:tcPr>
          <w:p>
            <w:r>
              <w:rPr>
                <w:rFonts w:ascii="Arial" w:hAnsi="Arial"/>
                <w:sz w:val="20"/>
              </w:rPr>
              <w:t>Priya Nair</w:t>
            </w:r>
          </w:p>
        </w:tc>
        <w:tc>
          <w:tcPr>
            <w:tcW w:type="dxa" w:w="2160"/>
          </w:tcPr>
          <w:p>
            <w:r>
              <w:rPr>
                <w:rFonts w:ascii="Arial" w:hAnsi="Arial"/>
                <w:sz w:val="20"/>
              </w:rPr>
              <w:t>CTO &amp; Co-Founder</w:t>
            </w:r>
          </w:p>
        </w:tc>
        <w:tc>
          <w:tcPr>
            <w:tcW w:type="dxa" w:w="6192"/>
          </w:tcPr>
          <w:p>
            <w:r>
              <w:rPr>
                <w:rFonts w:ascii="Arial" w:hAnsi="Arial"/>
                <w:sz w:val="20"/>
              </w:rPr>
              <w:t>12 years, embedded systems, IoT, cloud infrastructure; ex-Principal Engineer, robotics AI startup; NIT Trichy + Carnegie Mellon MS Robotics</w:t>
            </w:r>
          </w:p>
        </w:tc>
      </w:tr>
      <w:tr>
        <w:tc>
          <w:tcPr>
            <w:tcW w:type="dxa" w:w="2592"/>
          </w:tcPr>
          <w:p>
            <w:r>
              <w:rPr>
                <w:rFonts w:ascii="Arial" w:hAnsi="Arial"/>
                <w:sz w:val="20"/>
              </w:rPr>
              <w:t>Rajan Krishnaswamy</w:t>
            </w:r>
          </w:p>
        </w:tc>
        <w:tc>
          <w:tcPr>
            <w:tcW w:type="dxa" w:w="2160"/>
          </w:tcPr>
          <w:p>
            <w:r>
              <w:rPr>
                <w:rFonts w:ascii="Arial" w:hAnsi="Arial"/>
                <w:sz w:val="20"/>
              </w:rPr>
              <w:t>Strategic Advisor</w:t>
            </w:r>
          </w:p>
        </w:tc>
        <w:tc>
          <w:tcPr>
            <w:tcW w:type="dxa" w:w="6192"/>
          </w:tcPr>
          <w:p>
            <w:r>
              <w:rPr>
                <w:rFonts w:ascii="Arial" w:hAnsi="Arial"/>
                <w:sz w:val="20"/>
              </w:rPr>
              <w:t>Former VP Manufacturing Ops, major Indian passenger-car OEM; 30 years automotive manufacturing</w:t>
            </w:r>
          </w:p>
        </w:tc>
      </w:tr>
      <w:tr>
        <w:tc>
          <w:tcPr>
            <w:tcW w:type="dxa" w:w="2592"/>
          </w:tcPr>
          <w:p>
            <w:r>
              <w:rPr>
                <w:rFonts w:ascii="Arial" w:hAnsi="Arial"/>
                <w:sz w:val="20"/>
              </w:rPr>
              <w:t>Deepa Srinivasan</w:t>
            </w:r>
          </w:p>
        </w:tc>
        <w:tc>
          <w:tcPr>
            <w:tcW w:type="dxa" w:w="2160"/>
          </w:tcPr>
          <w:p>
            <w:r>
              <w:rPr>
                <w:rFonts w:ascii="Arial" w:hAnsi="Arial"/>
                <w:sz w:val="20"/>
              </w:rPr>
              <w:t>Venture Advisor</w:t>
            </w:r>
          </w:p>
        </w:tc>
        <w:tc>
          <w:tcPr>
            <w:tcW w:type="dxa" w:w="6192"/>
          </w:tcPr>
          <w:p>
            <w:r>
              <w:rPr>
                <w:rFonts w:ascii="Arial" w:hAnsi="Arial"/>
                <w:sz w:val="20"/>
              </w:rPr>
              <w:t>Partner, SeedFund Ventures (lead investor); former investment banker, technology &amp; infrastructure</w:t>
            </w:r>
          </w:p>
        </w:tc>
      </w:tr>
    </w:tbl>
    <w:p>
      <w:pPr>
        <w:spacing w:after="80"/>
      </w:pPr>
    </w:p>
    <w:p>
      <w:pPr>
        <w:pStyle w:val="Heading1"/>
      </w:pPr>
      <w:r>
        <w:t>14. Funding Ask &amp; Investor Returns</w:t>
      </w:r>
    </w:p>
    <w:p>
      <w:pPr>
        <w:pStyle w:val="Heading2"/>
      </w:pPr>
      <w:r>
        <w:t>14.1  The Ask</w:t>
      </w:r>
    </w:p>
    <w:p>
      <w:pPr>
        <w:spacing w:before="40" w:after="40"/>
        <w:shd w:val="clear" w:color="auto" w:fill="1F487E"/>
      </w:pPr>
      <w:r>
        <w:rPr>
          <w:rFonts w:ascii="Arial" w:hAnsi="Arial"/>
          <w:b/>
          <w:color w:val="FFFFFF"/>
          <w:sz w:val="22"/>
        </w:rPr>
        <w:t xml:space="preserve">  INR 30 Crore  |  Series A  |  Pre-money Valuation: INR 120 Crore  |  Target Close: Q3 FY2027</w:t>
      </w:r>
    </w:p>
    <w:p>
      <w:pPr>
        <w:spacing w:after="80"/>
      </w:pPr>
    </w:p>
    <w:p>
      <w:pPr>
        <w:spacing w:after="120"/>
      </w:pPr>
      <w:r>
        <w:rPr>
          <w:b w:val="0"/>
          <w:i w:val="0"/>
        </w:rPr>
        <w:t>Instrument: Equity (Compulsorily Convertible Preference Shares — CCPS)</w:t>
      </w:r>
    </w:p>
    <w:p>
      <w:pPr>
        <w:spacing w:after="120"/>
      </w:pPr>
      <w:r>
        <w:rPr>
          <w:b w:val="0"/>
          <w:i w:val="0"/>
        </w:rPr>
        <w:t>Pro-rata rights, information rights, and one board observer seat offered to lead investor.</w:t>
      </w:r>
    </w:p>
    <w:p>
      <w:pPr>
        <w:pStyle w:val="Heading2"/>
      </w:pPr>
      <w:r>
        <w:t>14.2  Illustrative Return Scenarios</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3168"/>
            <w:shd w:val="clear" w:color="auto" w:fill="1F487E"/>
          </w:tcPr>
          <w:p>
            <w:r>
              <w:rPr>
                <w:rFonts w:ascii="Arial" w:hAnsi="Arial"/>
                <w:b/>
                <w:color w:val="FFFFFF"/>
                <w:sz w:val="20"/>
              </w:rPr>
              <w:t>Exit Scenario</w:t>
            </w:r>
          </w:p>
        </w:tc>
        <w:tc>
          <w:tcPr>
            <w:tcW w:type="dxa" w:w="1296"/>
            <w:shd w:val="clear" w:color="auto" w:fill="1F487E"/>
          </w:tcPr>
          <w:p>
            <w:r>
              <w:rPr>
                <w:rFonts w:ascii="Arial" w:hAnsi="Arial"/>
                <w:b/>
                <w:color w:val="FFFFFF"/>
                <w:sz w:val="20"/>
              </w:rPr>
              <w:t>Exit Year</w:t>
            </w:r>
          </w:p>
        </w:tc>
        <w:tc>
          <w:tcPr>
            <w:tcW w:type="dxa" w:w="2592"/>
            <w:shd w:val="clear" w:color="auto" w:fill="1F487E"/>
          </w:tcPr>
          <w:p>
            <w:r>
              <w:rPr>
                <w:rFonts w:ascii="Arial" w:hAnsi="Arial"/>
                <w:b/>
                <w:color w:val="FFFFFF"/>
                <w:sz w:val="20"/>
              </w:rPr>
              <w:t>Revenue Multiple</w:t>
            </w:r>
          </w:p>
        </w:tc>
        <w:tc>
          <w:tcPr>
            <w:tcW w:type="dxa" w:w="2160"/>
            <w:shd w:val="clear" w:color="auto" w:fill="1F487E"/>
          </w:tcPr>
          <w:p>
            <w:r>
              <w:rPr>
                <w:rFonts w:ascii="Arial" w:hAnsi="Arial"/>
                <w:b/>
                <w:color w:val="FFFFFF"/>
                <w:sz w:val="20"/>
              </w:rPr>
              <w:t>Implied Valuation</w:t>
            </w:r>
          </w:p>
        </w:tc>
        <w:tc>
          <w:tcPr>
            <w:tcW w:type="dxa" w:w="3168"/>
            <w:shd w:val="clear" w:color="auto" w:fill="1F487E"/>
          </w:tcPr>
          <w:p>
            <w:r>
              <w:rPr>
                <w:rFonts w:ascii="Arial" w:hAnsi="Arial"/>
                <w:b/>
                <w:color w:val="FFFFFF"/>
                <w:sz w:val="20"/>
              </w:rPr>
              <w:t>Series A Return (30 Cr in)</w:t>
            </w:r>
          </w:p>
        </w:tc>
      </w:tr>
      <w:tr>
        <w:tc>
          <w:tcPr>
            <w:tcW w:type="dxa" w:w="3168"/>
          </w:tcPr>
          <w:p>
            <w:r>
              <w:rPr>
                <w:rFonts w:ascii="Arial" w:hAnsi="Arial"/>
                <w:sz w:val="20"/>
              </w:rPr>
              <w:t>Conservative — Strategic Acquisition</w:t>
            </w:r>
          </w:p>
        </w:tc>
        <w:tc>
          <w:tcPr>
            <w:tcW w:type="dxa" w:w="1296"/>
          </w:tcPr>
          <w:p>
            <w:r>
              <w:rPr>
                <w:rFonts w:ascii="Arial" w:hAnsi="Arial"/>
                <w:sz w:val="20"/>
              </w:rPr>
              <w:t>FY2029</w:t>
            </w:r>
          </w:p>
        </w:tc>
        <w:tc>
          <w:tcPr>
            <w:tcW w:type="dxa" w:w="2592"/>
          </w:tcPr>
          <w:p>
            <w:r>
              <w:rPr>
                <w:rFonts w:ascii="Arial" w:hAnsi="Arial"/>
                <w:sz w:val="20"/>
              </w:rPr>
              <w:t>4× FY2029 Revenue (INR 85 Cr)</w:t>
            </w:r>
          </w:p>
        </w:tc>
        <w:tc>
          <w:tcPr>
            <w:tcW w:type="dxa" w:w="2160"/>
          </w:tcPr>
          <w:p>
            <w:r>
              <w:rPr>
                <w:rFonts w:ascii="Arial" w:hAnsi="Arial"/>
                <w:sz w:val="20"/>
              </w:rPr>
              <w:t>INR 340 Cr</w:t>
            </w:r>
          </w:p>
        </w:tc>
        <w:tc>
          <w:tcPr>
            <w:tcW w:type="dxa" w:w="3168"/>
          </w:tcPr>
          <w:p>
            <w:r>
              <w:rPr>
                <w:rFonts w:ascii="Arial" w:hAnsi="Arial"/>
                <w:sz w:val="20"/>
              </w:rPr>
              <w:t>~2.2× (~40% IRR)</w:t>
            </w:r>
          </w:p>
        </w:tc>
      </w:tr>
      <w:tr>
        <w:tc>
          <w:tcPr>
            <w:tcW w:type="dxa" w:w="3168"/>
          </w:tcPr>
          <w:p>
            <w:r>
              <w:rPr>
                <w:rFonts w:ascii="Arial" w:hAnsi="Arial"/>
                <w:sz w:val="20"/>
              </w:rPr>
              <w:t>Base — PE / Late-stage VC Secondary</w:t>
            </w:r>
          </w:p>
        </w:tc>
        <w:tc>
          <w:tcPr>
            <w:tcW w:type="dxa" w:w="1296"/>
          </w:tcPr>
          <w:p>
            <w:r>
              <w:rPr>
                <w:rFonts w:ascii="Arial" w:hAnsi="Arial"/>
                <w:sz w:val="20"/>
              </w:rPr>
              <w:t>FY2030</w:t>
            </w:r>
          </w:p>
        </w:tc>
        <w:tc>
          <w:tcPr>
            <w:tcW w:type="dxa" w:w="2592"/>
          </w:tcPr>
          <w:p>
            <w:r>
              <w:rPr>
                <w:rFonts w:ascii="Arial" w:hAnsi="Arial"/>
                <w:sz w:val="20"/>
              </w:rPr>
              <w:t>6× FY2030 Revenue (INR 160 Cr)</w:t>
            </w:r>
          </w:p>
        </w:tc>
        <w:tc>
          <w:tcPr>
            <w:tcW w:type="dxa" w:w="2160"/>
          </w:tcPr>
          <w:p>
            <w:r>
              <w:rPr>
                <w:rFonts w:ascii="Arial" w:hAnsi="Arial"/>
                <w:sz w:val="20"/>
              </w:rPr>
              <w:t>INR 960 Cr</w:t>
            </w:r>
          </w:p>
        </w:tc>
        <w:tc>
          <w:tcPr>
            <w:tcW w:type="dxa" w:w="3168"/>
          </w:tcPr>
          <w:p>
            <w:r>
              <w:rPr>
                <w:rFonts w:ascii="Arial" w:hAnsi="Arial"/>
                <w:sz w:val="20"/>
              </w:rPr>
              <w:t>~6.5× (~55% IRR)</w:t>
            </w:r>
          </w:p>
        </w:tc>
      </w:tr>
      <w:tr>
        <w:tc>
          <w:tcPr>
            <w:tcW w:type="dxa" w:w="3168"/>
          </w:tcPr>
          <w:p>
            <w:r>
              <w:rPr>
                <w:rFonts w:ascii="Arial" w:hAnsi="Arial"/>
                <w:sz w:val="20"/>
              </w:rPr>
              <w:t>Upside — IPO / Strategic Premium</w:t>
            </w:r>
          </w:p>
        </w:tc>
        <w:tc>
          <w:tcPr>
            <w:tcW w:type="dxa" w:w="1296"/>
          </w:tcPr>
          <w:p>
            <w:r>
              <w:rPr>
                <w:rFonts w:ascii="Arial" w:hAnsi="Arial"/>
                <w:sz w:val="20"/>
              </w:rPr>
              <w:t>FY2031</w:t>
            </w:r>
          </w:p>
        </w:tc>
        <w:tc>
          <w:tcPr>
            <w:tcW w:type="dxa" w:w="2592"/>
          </w:tcPr>
          <w:p>
            <w:r>
              <w:rPr>
                <w:rFonts w:ascii="Arial" w:hAnsi="Arial"/>
                <w:sz w:val="20"/>
              </w:rPr>
              <w:t>10× FY2031 Revenue (est. INR 280 Cr)</w:t>
            </w:r>
          </w:p>
        </w:tc>
        <w:tc>
          <w:tcPr>
            <w:tcW w:type="dxa" w:w="2160"/>
          </w:tcPr>
          <w:p>
            <w:r>
              <w:rPr>
                <w:rFonts w:ascii="Arial" w:hAnsi="Arial"/>
                <w:sz w:val="20"/>
              </w:rPr>
              <w:t>INR 2,800 Cr</w:t>
            </w:r>
          </w:p>
        </w:tc>
        <w:tc>
          <w:tcPr>
            <w:tcW w:type="dxa" w:w="3168"/>
          </w:tcPr>
          <w:p>
            <w:r>
              <w:rPr>
                <w:rFonts w:ascii="Arial" w:hAnsi="Arial"/>
                <w:sz w:val="20"/>
              </w:rPr>
              <w:t>~19× (~75% IRR)</w:t>
            </w:r>
          </w:p>
        </w:tc>
      </w:tr>
    </w:tbl>
    <w:p>
      <w:pPr>
        <w:spacing w:after="80"/>
      </w:pPr>
    </w:p>
    <w:p>
      <w:pPr>
        <w:spacing w:after="120"/>
      </w:pPr>
      <w:r>
        <w:rPr>
          <w:b w:val="0"/>
          <w:i/>
          <w:color w:val="808080"/>
        </w:rPr>
        <w:t>Note: Return calculations are illustrative, based on assumed post-money Series A valuation of INR 150 Cr and no additional dilution modelled. Actual returns will depend on future dilution, exit timing, and market conditions.</w:t>
      </w:r>
    </w:p>
    <w:p>
      <w:pPr>
        <w:pStyle w:val="Heading2"/>
      </w:pPr>
      <w:r>
        <w:t>14.3  Why Now</w:t>
      </w:r>
    </w:p>
    <w:p>
      <w:pPr>
        <w:pStyle w:val="ListBullet"/>
        <w:spacing w:after="60"/>
        <w:ind w:left="432"/>
      </w:pPr>
      <w:r>
        <w:t>India's PLI scheme for electronics and automotive components is driving rapid manufacturing capacity expansion — creating immediate demand for flexible automation.</w:t>
      </w:r>
    </w:p>
    <w:p>
      <w:pPr>
        <w:pStyle w:val="ListBullet"/>
        <w:spacing w:after="60"/>
        <w:ind w:left="432"/>
      </w:pPr>
      <w:r>
        <w:t>The global RaaS market is in early innings (USD 3.1 Bn, 2024) with a 28% CAGR — a Series A now captures the inflection point.</w:t>
      </w:r>
    </w:p>
    <w:p>
      <w:pPr>
        <w:pStyle w:val="ListBullet"/>
        <w:spacing w:after="60"/>
        <w:ind w:left="432"/>
      </w:pPr>
      <w:r>
        <w:t>CloudRobotics has a functioning prototype, a live paid pilot, two patents filed, and a confirmed customer pipeline — this is de-risked early-stage capital.</w:t>
      </w:r>
    </w:p>
    <w:p>
      <w:pPr>
        <w:pStyle w:val="ListBullet"/>
        <w:spacing w:after="60"/>
        <w:ind w:left="432"/>
      </w:pPr>
      <w:r>
        <w:t>The founding team has the domain expertise and network to execute; the Series A funds the go-to-market, not more R&amp;D speculation.</w:t>
      </w:r>
    </w:p>
    <w:sectPr w:rsidR="00FC693F" w:rsidRPr="0006063C" w:rsidSect="00034616">
      <w:footerReference w:type="default" r:id="rId9"/>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8"/>
      </w:rPr>
      <w:t>CloudRobotics Co. — Business Plan  |  Series A  |  Strictly Confidential  |  June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outlineLvl w:val="0"/>
    </w:pPr>
    <w:rPr>
      <w:rFonts w:asciiTheme="majorHAnsi" w:eastAsiaTheme="majorEastAsia" w:hAnsiTheme="majorHAnsi" w:cstheme="majorBidi" w:ascii="Arial" w:hAnsi="Arial"/>
      <w:b/>
      <w:bCs/>
      <w:color w:val="1F487E"/>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1A5C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