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80"/>
        <w:jc w:val="center"/>
      </w:pPr>
      <w:r>
        <w:rPr>
          <w:rFonts w:ascii="Arial" w:hAnsi="Arial"/>
          <w:b/>
          <w:color w:val="1F487E"/>
          <w:sz w:val="60"/>
        </w:rPr>
        <w:t>CloudRobotics Co.</w:t>
      </w:r>
    </w:p>
    <w:p>
      <w:pPr>
        <w:spacing w:after="80"/>
        <w:jc w:val="center"/>
      </w:pPr>
      <w:r>
        <w:rPr>
          <w:rFonts w:ascii="Arial" w:hAnsi="Arial"/>
          <w:color w:val="2E74B5"/>
          <w:sz w:val="32"/>
        </w:rPr>
        <w:t>Business Profile</w:t>
      </w:r>
    </w:p>
    <w:p>
      <w:pPr>
        <w:spacing w:after="160"/>
        <w:jc w:val="center"/>
      </w:pPr>
      <w:r>
        <w:rPr>
          <w:rFonts w:ascii="Arial" w:hAnsi="Arial"/>
          <w:i/>
          <w:color w:val="808080"/>
          <w:sz w:val="20"/>
        </w:rPr>
        <w:t>Confidential  |  June 2026</w:t>
      </w:r>
    </w:p>
    <w:p>
      <w:r>
        <w:br w:type="page"/>
      </w:r>
    </w:p>
    <w:p>
      <w:pPr>
        <w:pStyle w:val="Heading1"/>
      </w:pPr>
      <w:r>
        <w:t>1. Company Snapshot</w:t>
      </w:r>
    </w:p>
    <w:tbl>
      <w:tblPr>
        <w:tblStyle w:val="TableGrid"/>
        <w:tblW w:type="auto" w:w="0"/>
        <w:tblLook w:firstColumn="1" w:firstRow="1" w:lastColumn="0" w:lastRow="0" w:noHBand="0" w:noVBand="1" w:val="04A0"/>
      </w:tblPr>
      <w:tblGrid>
        <w:gridCol w:w="4392"/>
        <w:gridCol w:w="4392"/>
      </w:tblGrid>
      <w:tr>
        <w:tc>
          <w:tcPr>
            <w:tcW w:type="dxa" w:w="2880"/>
            <w:shd w:val="clear" w:color="auto" w:fill="1F487E"/>
          </w:tcPr>
          <w:p>
            <w:r>
              <w:rPr>
                <w:rFonts w:ascii="Arial" w:hAnsi="Arial"/>
                <w:b/>
                <w:color w:val="FFFFFF"/>
                <w:sz w:val="20"/>
              </w:rPr>
              <w:t>Company Name</w:t>
            </w:r>
          </w:p>
        </w:tc>
        <w:tc>
          <w:tcPr>
            <w:tcW w:type="dxa" w:w="6624"/>
            <w:shd w:val="clear" w:color="auto" w:fill="FFFFFF"/>
          </w:tcPr>
          <w:p>
            <w:r>
              <w:rPr>
                <w:rFonts w:ascii="Arial" w:hAnsi="Arial"/>
                <w:sz w:val="20"/>
              </w:rPr>
              <w:t>CloudRobotics Co.</w:t>
            </w:r>
          </w:p>
        </w:tc>
      </w:tr>
      <w:tr>
        <w:tc>
          <w:tcPr>
            <w:tcW w:type="dxa" w:w="2880"/>
            <w:shd w:val="clear" w:color="auto" w:fill="1F487E"/>
          </w:tcPr>
          <w:p>
            <w:r>
              <w:rPr>
                <w:rFonts w:ascii="Arial" w:hAnsi="Arial"/>
                <w:b/>
                <w:color w:val="FFFFFF"/>
                <w:sz w:val="20"/>
              </w:rPr>
              <w:t>Legal Entity Type</w:t>
            </w:r>
          </w:p>
        </w:tc>
        <w:tc>
          <w:tcPr>
            <w:tcW w:type="dxa" w:w="6624"/>
            <w:shd w:val="clear" w:color="auto" w:fill="FFFFFF"/>
          </w:tcPr>
          <w:p>
            <w:r>
              <w:rPr>
                <w:rFonts w:ascii="Arial" w:hAnsi="Arial"/>
                <w:sz w:val="20"/>
              </w:rPr>
              <w:t>Private Limited Company (India)</w:t>
            </w:r>
          </w:p>
        </w:tc>
      </w:tr>
      <w:tr>
        <w:tc>
          <w:tcPr>
            <w:tcW w:type="dxa" w:w="2880"/>
            <w:shd w:val="clear" w:color="auto" w:fill="1F487E"/>
          </w:tcPr>
          <w:p>
            <w:r>
              <w:rPr>
                <w:rFonts w:ascii="Arial" w:hAnsi="Arial"/>
                <w:b/>
                <w:color w:val="FFFFFF"/>
                <w:sz w:val="20"/>
              </w:rPr>
              <w:t>Incorporation Date</w:t>
            </w:r>
          </w:p>
        </w:tc>
        <w:tc>
          <w:tcPr>
            <w:tcW w:type="dxa" w:w="6624"/>
            <w:shd w:val="clear" w:color="auto" w:fill="FFFFFF"/>
          </w:tcPr>
          <w:p>
            <w:r>
              <w:rPr>
                <w:rFonts w:ascii="Arial" w:hAnsi="Arial"/>
                <w:sz w:val="20"/>
              </w:rPr>
              <w:t>2025  (Year of incorporation)</w:t>
            </w:r>
          </w:p>
        </w:tc>
      </w:tr>
      <w:tr>
        <w:tc>
          <w:tcPr>
            <w:tcW w:type="dxa" w:w="2880"/>
            <w:shd w:val="clear" w:color="auto" w:fill="1F487E"/>
          </w:tcPr>
          <w:p>
            <w:r>
              <w:rPr>
                <w:rFonts w:ascii="Arial" w:hAnsi="Arial"/>
                <w:b/>
                <w:color w:val="FFFFFF"/>
                <w:sz w:val="20"/>
              </w:rPr>
              <w:t>Registered Office</w:t>
            </w:r>
          </w:p>
        </w:tc>
        <w:tc>
          <w:tcPr>
            <w:tcW w:type="dxa" w:w="6624"/>
            <w:shd w:val="clear" w:color="auto" w:fill="FFFFFF"/>
          </w:tcPr>
          <w:p>
            <w:r>
              <w:rPr>
                <w:rFonts w:ascii="Arial" w:hAnsi="Arial"/>
                <w:sz w:val="20"/>
              </w:rPr>
              <w:t>Bengaluru, Karnataka, India</w:t>
            </w:r>
          </w:p>
        </w:tc>
      </w:tr>
      <w:tr>
        <w:tc>
          <w:tcPr>
            <w:tcW w:type="dxa" w:w="2880"/>
            <w:shd w:val="clear" w:color="auto" w:fill="1F487E"/>
          </w:tcPr>
          <w:p>
            <w:r>
              <w:rPr>
                <w:rFonts w:ascii="Arial" w:hAnsi="Arial"/>
                <w:b/>
                <w:color w:val="FFFFFF"/>
                <w:sz w:val="20"/>
              </w:rPr>
              <w:t>Stage</w:t>
            </w:r>
          </w:p>
        </w:tc>
        <w:tc>
          <w:tcPr>
            <w:tcW w:type="dxa" w:w="6624"/>
            <w:shd w:val="clear" w:color="auto" w:fill="FFFFFF"/>
          </w:tcPr>
          <w:p>
            <w:r>
              <w:rPr>
                <w:rFonts w:ascii="Arial" w:hAnsi="Arial"/>
                <w:sz w:val="20"/>
              </w:rPr>
              <w:t>Early-stage / Pre-revenue (Seed)</w:t>
            </w:r>
          </w:p>
        </w:tc>
      </w:tr>
      <w:tr>
        <w:tc>
          <w:tcPr>
            <w:tcW w:type="dxa" w:w="2880"/>
            <w:shd w:val="clear" w:color="auto" w:fill="1F487E"/>
          </w:tcPr>
          <w:p>
            <w:r>
              <w:rPr>
                <w:rFonts w:ascii="Arial" w:hAnsi="Arial"/>
                <w:b/>
                <w:color w:val="FFFFFF"/>
                <w:sz w:val="20"/>
              </w:rPr>
              <w:t>Website</w:t>
            </w:r>
          </w:p>
        </w:tc>
        <w:tc>
          <w:tcPr>
            <w:tcW w:type="dxa" w:w="6624"/>
            <w:shd w:val="clear" w:color="auto" w:fill="FFFFFF"/>
          </w:tcPr>
          <w:p>
            <w:r>
              <w:rPr>
                <w:rFonts w:ascii="Arial" w:hAnsi="Arial"/>
                <w:sz w:val="20"/>
              </w:rPr>
              <w:t>www.cloudrobotics.co  (placeholder)</w:t>
            </w:r>
          </w:p>
        </w:tc>
      </w:tr>
    </w:tbl>
    <w:p/>
    <w:p>
      <w:pPr>
        <w:pStyle w:val="Heading1"/>
      </w:pPr>
      <w:r>
        <w:t>2. Sector Classification</w:t>
      </w:r>
    </w:p>
    <w:tbl>
      <w:tblPr>
        <w:tblStyle w:val="TableGrid"/>
        <w:tblW w:type="auto" w:w="0"/>
        <w:tblLook w:firstColumn="1" w:firstRow="1" w:lastColumn="0" w:lastRow="0" w:noHBand="0" w:noVBand="1" w:val="04A0"/>
      </w:tblPr>
      <w:tblGrid>
        <w:gridCol w:w="4392"/>
        <w:gridCol w:w="4392"/>
      </w:tblGrid>
      <w:tr>
        <w:tc>
          <w:tcPr>
            <w:tcW w:type="dxa" w:w="2880"/>
            <w:shd w:val="clear" w:color="auto" w:fill="1F487E"/>
          </w:tcPr>
          <w:p>
            <w:r>
              <w:rPr>
                <w:rFonts w:ascii="Arial" w:hAnsi="Arial"/>
                <w:b/>
                <w:color w:val="FFFFFF"/>
                <w:sz w:val="20"/>
              </w:rPr>
              <w:t>Primary Sector</w:t>
            </w:r>
          </w:p>
        </w:tc>
        <w:tc>
          <w:tcPr>
            <w:tcW w:type="dxa" w:w="6624"/>
            <w:shd w:val="clear" w:color="auto" w:fill="FFFFFF"/>
          </w:tcPr>
          <w:p>
            <w:r>
              <w:rPr>
                <w:rFonts w:ascii="Arial" w:hAnsi="Arial"/>
                <w:sz w:val="20"/>
              </w:rPr>
              <w:t>Advanced Manufacturing &amp; Industrial Automation</w:t>
            </w:r>
          </w:p>
        </w:tc>
      </w:tr>
      <w:tr>
        <w:tc>
          <w:tcPr>
            <w:tcW w:type="dxa" w:w="2880"/>
            <w:shd w:val="clear" w:color="auto" w:fill="1F487E"/>
          </w:tcPr>
          <w:p>
            <w:r>
              <w:rPr>
                <w:rFonts w:ascii="Arial" w:hAnsi="Arial"/>
                <w:b/>
                <w:color w:val="FFFFFF"/>
                <w:sz w:val="20"/>
              </w:rPr>
              <w:t>Sub-Sector</w:t>
            </w:r>
          </w:p>
        </w:tc>
        <w:tc>
          <w:tcPr>
            <w:tcW w:type="dxa" w:w="6624"/>
            <w:shd w:val="clear" w:color="auto" w:fill="FFFFFF"/>
          </w:tcPr>
          <w:p>
            <w:r>
              <w:rPr>
                <w:rFonts w:ascii="Arial" w:hAnsi="Arial"/>
                <w:sz w:val="20"/>
              </w:rPr>
              <w:t>Cloud-Connected Robotics / Robotics-as-a-Service (RaaS)</w:t>
            </w:r>
          </w:p>
        </w:tc>
      </w:tr>
      <w:tr>
        <w:tc>
          <w:tcPr>
            <w:tcW w:type="dxa" w:w="2880"/>
            <w:shd w:val="clear" w:color="auto" w:fill="1F487E"/>
          </w:tcPr>
          <w:p>
            <w:r>
              <w:rPr>
                <w:rFonts w:ascii="Arial" w:hAnsi="Arial"/>
                <w:b/>
                <w:color w:val="FFFFFF"/>
                <w:sz w:val="20"/>
              </w:rPr>
              <w:t>Technology Domain</w:t>
            </w:r>
          </w:p>
        </w:tc>
        <w:tc>
          <w:tcPr>
            <w:tcW w:type="dxa" w:w="6624"/>
            <w:shd w:val="clear" w:color="auto" w:fill="FFFFFF"/>
          </w:tcPr>
          <w:p>
            <w:r>
              <w:rPr>
                <w:rFonts w:ascii="Arial" w:hAnsi="Arial"/>
                <w:sz w:val="20"/>
              </w:rPr>
              <w:t>Robotics Hardware, Cloud Computing, AI/ML, IoT</w:t>
            </w:r>
          </w:p>
        </w:tc>
      </w:tr>
      <w:tr>
        <w:tc>
          <w:tcPr>
            <w:tcW w:type="dxa" w:w="2880"/>
            <w:shd w:val="clear" w:color="auto" w:fill="1F487E"/>
          </w:tcPr>
          <w:p>
            <w:r>
              <w:rPr>
                <w:rFonts w:ascii="Arial" w:hAnsi="Arial"/>
                <w:b/>
                <w:color w:val="FFFFFF"/>
                <w:sz w:val="20"/>
              </w:rPr>
              <w:t>End-Market Verticals</w:t>
            </w:r>
          </w:p>
        </w:tc>
        <w:tc>
          <w:tcPr>
            <w:tcW w:type="dxa" w:w="6624"/>
            <w:shd w:val="clear" w:color="auto" w:fill="FFFFFF"/>
          </w:tcPr>
          <w:p>
            <w:r>
              <w:rPr>
                <w:rFonts w:ascii="Arial" w:hAnsi="Arial"/>
                <w:sz w:val="20"/>
              </w:rPr>
              <w:t>Automotive Manufacturing, Electronics Assembly, General Industrial</w:t>
            </w:r>
          </w:p>
        </w:tc>
      </w:tr>
      <w:tr>
        <w:tc>
          <w:tcPr>
            <w:tcW w:type="dxa" w:w="2880"/>
            <w:shd w:val="clear" w:color="auto" w:fill="1F487E"/>
          </w:tcPr>
          <w:p>
            <w:r>
              <w:rPr>
                <w:rFonts w:ascii="Arial" w:hAnsi="Arial"/>
                <w:b/>
                <w:color w:val="FFFFFF"/>
                <w:sz w:val="20"/>
              </w:rPr>
              <w:t>NAICS Code (closest)</w:t>
            </w:r>
          </w:p>
        </w:tc>
        <w:tc>
          <w:tcPr>
            <w:tcW w:type="dxa" w:w="6624"/>
            <w:shd w:val="clear" w:color="auto" w:fill="FFFFFF"/>
          </w:tcPr>
          <w:p>
            <w:r>
              <w:rPr>
                <w:rFonts w:ascii="Arial" w:hAnsi="Arial"/>
                <w:sz w:val="20"/>
              </w:rPr>
              <w:t>333249 – Other Industrial Machinery Manufacturing</w:t>
            </w:r>
          </w:p>
        </w:tc>
      </w:tr>
      <w:tr>
        <w:tc>
          <w:tcPr>
            <w:tcW w:type="dxa" w:w="2880"/>
            <w:shd w:val="clear" w:color="auto" w:fill="1F487E"/>
          </w:tcPr>
          <w:p>
            <w:r>
              <w:rPr>
                <w:rFonts w:ascii="Arial" w:hAnsi="Arial"/>
                <w:b/>
                <w:color w:val="FFFFFF"/>
                <w:sz w:val="20"/>
              </w:rPr>
              <w:t>NIC Code (India, closest)</w:t>
            </w:r>
          </w:p>
        </w:tc>
        <w:tc>
          <w:tcPr>
            <w:tcW w:type="dxa" w:w="6624"/>
            <w:shd w:val="clear" w:color="auto" w:fill="FFFFFF"/>
          </w:tcPr>
          <w:p>
            <w:r>
              <w:rPr>
                <w:rFonts w:ascii="Arial" w:hAnsi="Arial"/>
                <w:sz w:val="20"/>
              </w:rPr>
              <w:t>28290 – Manufacture of other special-purpose machinery</w:t>
            </w:r>
          </w:p>
        </w:tc>
      </w:tr>
    </w:tbl>
    <w:p/>
    <w:p>
      <w:pPr>
        <w:spacing w:after="160"/>
      </w:pPr>
      <w:r>
        <w:rPr>
          <w:i w:val="0"/>
        </w:rPr>
        <w:t>CloudRobotics Co. operates at the intersection of robotics hardware manufacturing and cloud-based software services. It is positioned within India's growing Industry 4.0 ecosystem, targeting automotive OEMs and tier-1 suppliers as primary early adopters.</w:t>
      </w:r>
    </w:p>
    <w:p>
      <w:pPr>
        <w:pStyle w:val="Heading1"/>
      </w:pPr>
      <w:r>
        <w:t>3. Geography</w:t>
      </w:r>
    </w:p>
    <w:tbl>
      <w:tblPr>
        <w:tblStyle w:val="TableGrid"/>
        <w:tblW w:type="auto" w:w="0"/>
        <w:tblLook w:firstColumn="1" w:firstRow="1" w:lastColumn="0" w:lastRow="0" w:noHBand="0" w:noVBand="1" w:val="04A0"/>
      </w:tblPr>
      <w:tblGrid>
        <w:gridCol w:w="4392"/>
        <w:gridCol w:w="4392"/>
      </w:tblGrid>
      <w:tr>
        <w:tc>
          <w:tcPr>
            <w:tcW w:type="dxa" w:w="2880"/>
            <w:shd w:val="clear" w:color="auto" w:fill="1F487E"/>
          </w:tcPr>
          <w:p>
            <w:r>
              <w:rPr>
                <w:rFonts w:ascii="Arial" w:hAnsi="Arial"/>
                <w:b/>
                <w:color w:val="FFFFFF"/>
                <w:sz w:val="20"/>
              </w:rPr>
              <w:t>Headquarters</w:t>
            </w:r>
          </w:p>
        </w:tc>
        <w:tc>
          <w:tcPr>
            <w:tcW w:type="dxa" w:w="6624"/>
            <w:shd w:val="clear" w:color="auto" w:fill="FFFFFF"/>
          </w:tcPr>
          <w:p>
            <w:r>
              <w:rPr>
                <w:rFonts w:ascii="Arial" w:hAnsi="Arial"/>
                <w:sz w:val="20"/>
              </w:rPr>
              <w:t>Bengaluru, Karnataka, India</w:t>
            </w:r>
          </w:p>
        </w:tc>
      </w:tr>
      <w:tr>
        <w:tc>
          <w:tcPr>
            <w:tcW w:type="dxa" w:w="2880"/>
            <w:shd w:val="clear" w:color="auto" w:fill="1F487E"/>
          </w:tcPr>
          <w:p>
            <w:r>
              <w:rPr>
                <w:rFonts w:ascii="Arial" w:hAnsi="Arial"/>
                <w:b/>
                <w:color w:val="FFFFFF"/>
                <w:sz w:val="20"/>
              </w:rPr>
              <w:t>Primary Operating Market</w:t>
            </w:r>
          </w:p>
        </w:tc>
        <w:tc>
          <w:tcPr>
            <w:tcW w:type="dxa" w:w="6624"/>
            <w:shd w:val="clear" w:color="auto" w:fill="FFFFFF"/>
          </w:tcPr>
          <w:p>
            <w:r>
              <w:rPr>
                <w:rFonts w:ascii="Arial" w:hAnsi="Arial"/>
                <w:sz w:val="20"/>
              </w:rPr>
              <w:t>India — automotive manufacturing corridor (Pune, Chennai, Gurugram)</w:t>
            </w:r>
          </w:p>
        </w:tc>
      </w:tr>
      <w:tr>
        <w:tc>
          <w:tcPr>
            <w:tcW w:type="dxa" w:w="2880"/>
            <w:shd w:val="clear" w:color="auto" w:fill="1F487E"/>
          </w:tcPr>
          <w:p>
            <w:r>
              <w:rPr>
                <w:rFonts w:ascii="Arial" w:hAnsi="Arial"/>
                <w:b/>
                <w:color w:val="FFFFFF"/>
                <w:sz w:val="20"/>
              </w:rPr>
              <w:t>Secondary Target Markets</w:t>
            </w:r>
          </w:p>
        </w:tc>
        <w:tc>
          <w:tcPr>
            <w:tcW w:type="dxa" w:w="6624"/>
            <w:shd w:val="clear" w:color="auto" w:fill="FFFFFF"/>
          </w:tcPr>
          <w:p>
            <w:r>
              <w:rPr>
                <w:rFonts w:ascii="Arial" w:hAnsi="Arial"/>
                <w:sz w:val="20"/>
              </w:rPr>
              <w:t>South-East Asia (Phase 2); Europe &amp; North America (Phase 3)</w:t>
            </w:r>
          </w:p>
        </w:tc>
      </w:tr>
      <w:tr>
        <w:tc>
          <w:tcPr>
            <w:tcW w:type="dxa" w:w="2880"/>
            <w:shd w:val="clear" w:color="auto" w:fill="1F487E"/>
          </w:tcPr>
          <w:p>
            <w:r>
              <w:rPr>
                <w:rFonts w:ascii="Arial" w:hAnsi="Arial"/>
                <w:b/>
                <w:color w:val="FFFFFF"/>
                <w:sz w:val="20"/>
              </w:rPr>
              <w:t>R&amp;D Location</w:t>
            </w:r>
          </w:p>
        </w:tc>
        <w:tc>
          <w:tcPr>
            <w:tcW w:type="dxa" w:w="6624"/>
            <w:shd w:val="clear" w:color="auto" w:fill="FFFFFF"/>
          </w:tcPr>
          <w:p>
            <w:r>
              <w:rPr>
                <w:rFonts w:ascii="Arial" w:hAnsi="Arial"/>
                <w:sz w:val="20"/>
              </w:rPr>
              <w:t>Bengaluru (hardware prototyping lab + cloud infrastructure team)</w:t>
            </w:r>
          </w:p>
        </w:tc>
      </w:tr>
      <w:tr>
        <w:tc>
          <w:tcPr>
            <w:tcW w:type="dxa" w:w="2880"/>
            <w:shd w:val="clear" w:color="auto" w:fill="1F487E"/>
          </w:tcPr>
          <w:p>
            <w:r>
              <w:rPr>
                <w:rFonts w:ascii="Arial" w:hAnsi="Arial"/>
                <w:b/>
                <w:color w:val="FFFFFF"/>
                <w:sz w:val="20"/>
              </w:rPr>
              <w:t>Manufacturing/Assembly</w:t>
            </w:r>
          </w:p>
        </w:tc>
        <w:tc>
          <w:tcPr>
            <w:tcW w:type="dxa" w:w="6624"/>
            <w:shd w:val="clear" w:color="auto" w:fill="FFFFFF"/>
          </w:tcPr>
          <w:p>
            <w:r>
              <w:rPr>
                <w:rFonts w:ascii="Arial" w:hAnsi="Arial"/>
                <w:sz w:val="20"/>
              </w:rPr>
              <w:t>Contract manufacturing partner in Pune, Maharashtra (planned)</w:t>
            </w:r>
          </w:p>
        </w:tc>
      </w:tr>
      <w:tr>
        <w:tc>
          <w:tcPr>
            <w:tcW w:type="dxa" w:w="2880"/>
            <w:shd w:val="clear" w:color="auto" w:fill="1F487E"/>
          </w:tcPr>
          <w:p>
            <w:r>
              <w:rPr>
                <w:rFonts w:ascii="Arial" w:hAnsi="Arial"/>
                <w:b/>
                <w:color w:val="FFFFFF"/>
                <w:sz w:val="20"/>
              </w:rPr>
              <w:t>Regulatory Jurisdictions</w:t>
            </w:r>
          </w:p>
        </w:tc>
        <w:tc>
          <w:tcPr>
            <w:tcW w:type="dxa" w:w="6624"/>
            <w:shd w:val="clear" w:color="auto" w:fill="FFFFFF"/>
          </w:tcPr>
          <w:p>
            <w:r>
              <w:rPr>
                <w:rFonts w:ascii="Arial" w:hAnsi="Arial"/>
                <w:sz w:val="20"/>
              </w:rPr>
              <w:t>India (MeitY, BIS); subject to local industrial safety standards per deployment country</w:t>
            </w:r>
          </w:p>
        </w:tc>
      </w:tr>
    </w:tbl>
    <w:p/>
    <w:p>
      <w:pPr>
        <w:spacing w:after="160"/>
      </w:pPr>
      <w:r>
        <w:rPr>
          <w:i w:val="0"/>
        </w:rPr>
        <w:t>India's automotive sector — anchored by hubs in Pune, Chennai, and Gurugram — provides the primary go-to-market geography. The PLI (Production-Linked Incentive) Scheme for Advanced Chemistry Cell and the National Policy on Electronics create a favourable policy environment for domestic robotics manufacturing and deployment.</w:t>
      </w:r>
    </w:p>
    <w:p>
      <w:pPr>
        <w:pStyle w:val="Heading1"/>
      </w:pPr>
      <w:r>
        <w:t>4. Ownership Structure</w:t>
      </w:r>
    </w:p>
    <w:tbl>
      <w:tblPr>
        <w:tblStyle w:val="TableGrid"/>
        <w:tblW w:type="auto" w:w="0"/>
        <w:tblLook w:firstColumn="1" w:firstRow="1" w:lastColumn="0" w:lastRow="0" w:noHBand="0" w:noVBand="1" w:val="04A0"/>
      </w:tblPr>
      <w:tblGrid>
        <w:gridCol w:w="4392"/>
        <w:gridCol w:w="4392"/>
      </w:tblGrid>
      <w:tr>
        <w:tc>
          <w:tcPr>
            <w:tcW w:type="dxa" w:w="2880"/>
            <w:shd w:val="clear" w:color="auto" w:fill="1F487E"/>
          </w:tcPr>
          <w:p>
            <w:r>
              <w:rPr>
                <w:rFonts w:ascii="Arial" w:hAnsi="Arial"/>
                <w:b/>
                <w:color w:val="FFFFFF"/>
                <w:sz w:val="20"/>
              </w:rPr>
              <w:t>Structure Type</w:t>
            </w:r>
          </w:p>
        </w:tc>
        <w:tc>
          <w:tcPr>
            <w:tcW w:type="dxa" w:w="6624"/>
            <w:shd w:val="clear" w:color="auto" w:fill="FFFFFF"/>
          </w:tcPr>
          <w:p>
            <w:r>
              <w:rPr>
                <w:rFonts w:ascii="Arial" w:hAnsi="Arial"/>
                <w:sz w:val="20"/>
              </w:rPr>
              <w:t>Venture-backed Private Limited Company</w:t>
            </w:r>
          </w:p>
        </w:tc>
      </w:tr>
      <w:tr>
        <w:tc>
          <w:tcPr>
            <w:tcW w:type="dxa" w:w="2880"/>
            <w:shd w:val="clear" w:color="auto" w:fill="1F487E"/>
          </w:tcPr>
          <w:p>
            <w:r>
              <w:rPr>
                <w:rFonts w:ascii="Arial" w:hAnsi="Arial"/>
                <w:b/>
                <w:color w:val="FFFFFF"/>
                <w:sz w:val="20"/>
              </w:rPr>
              <w:t>Founder Shareholding</w:t>
            </w:r>
          </w:p>
        </w:tc>
        <w:tc>
          <w:tcPr>
            <w:tcW w:type="dxa" w:w="6624"/>
            <w:shd w:val="clear" w:color="auto" w:fill="FFFFFF"/>
          </w:tcPr>
          <w:p>
            <w:r>
              <w:rPr>
                <w:rFonts w:ascii="Arial" w:hAnsi="Arial"/>
                <w:sz w:val="20"/>
              </w:rPr>
              <w:t>~72% (combined, pre-Series A)</w:t>
            </w:r>
          </w:p>
        </w:tc>
      </w:tr>
      <w:tr>
        <w:tc>
          <w:tcPr>
            <w:tcW w:type="dxa" w:w="2880"/>
            <w:shd w:val="clear" w:color="auto" w:fill="1F487E"/>
          </w:tcPr>
          <w:p>
            <w:r>
              <w:rPr>
                <w:rFonts w:ascii="Arial" w:hAnsi="Arial"/>
                <w:b/>
                <w:color w:val="FFFFFF"/>
                <w:sz w:val="20"/>
              </w:rPr>
              <w:t>Seed Investor Shareholding</w:t>
            </w:r>
          </w:p>
        </w:tc>
        <w:tc>
          <w:tcPr>
            <w:tcW w:type="dxa" w:w="6624"/>
            <w:shd w:val="clear" w:color="auto" w:fill="FFFFFF"/>
          </w:tcPr>
          <w:p>
            <w:r>
              <w:rPr>
                <w:rFonts w:ascii="Arial" w:hAnsi="Arial"/>
                <w:sz w:val="20"/>
              </w:rPr>
              <w:t>~20% (angel / seed fund)</w:t>
            </w:r>
          </w:p>
        </w:tc>
      </w:tr>
      <w:tr>
        <w:tc>
          <w:tcPr>
            <w:tcW w:type="dxa" w:w="2880"/>
            <w:shd w:val="clear" w:color="auto" w:fill="1F487E"/>
          </w:tcPr>
          <w:p>
            <w:r>
              <w:rPr>
                <w:rFonts w:ascii="Arial" w:hAnsi="Arial"/>
                <w:b/>
                <w:color w:val="FFFFFF"/>
                <w:sz w:val="20"/>
              </w:rPr>
              <w:t>ESOP Pool</w:t>
            </w:r>
          </w:p>
        </w:tc>
        <w:tc>
          <w:tcPr>
            <w:tcW w:type="dxa" w:w="6624"/>
            <w:shd w:val="clear" w:color="auto" w:fill="FFFFFF"/>
          </w:tcPr>
          <w:p>
            <w:r>
              <w:rPr>
                <w:rFonts w:ascii="Arial" w:hAnsi="Arial"/>
                <w:sz w:val="20"/>
              </w:rPr>
              <w:t>~8% reserved for employee stock option plan</w:t>
            </w:r>
          </w:p>
        </w:tc>
      </w:tr>
      <w:tr>
        <w:tc>
          <w:tcPr>
            <w:tcW w:type="dxa" w:w="2880"/>
            <w:shd w:val="clear" w:color="auto" w:fill="1F487E"/>
          </w:tcPr>
          <w:p>
            <w:r>
              <w:rPr>
                <w:rFonts w:ascii="Arial" w:hAnsi="Arial"/>
                <w:b/>
                <w:color w:val="FFFFFF"/>
                <w:sz w:val="20"/>
              </w:rPr>
              <w:t>Total Funding Raised</w:t>
            </w:r>
          </w:p>
        </w:tc>
        <w:tc>
          <w:tcPr>
            <w:tcW w:type="dxa" w:w="6624"/>
            <w:shd w:val="clear" w:color="auto" w:fill="FFFFFF"/>
          </w:tcPr>
          <w:p>
            <w:r>
              <w:rPr>
                <w:rFonts w:ascii="Arial" w:hAnsi="Arial"/>
                <w:sz w:val="20"/>
              </w:rPr>
              <w:t>INR 3.5 Cr (Seed Round, 2025)  [placeholder]</w:t>
            </w:r>
          </w:p>
        </w:tc>
      </w:tr>
      <w:tr>
        <w:tc>
          <w:tcPr>
            <w:tcW w:type="dxa" w:w="2880"/>
            <w:shd w:val="clear" w:color="auto" w:fill="1F487E"/>
          </w:tcPr>
          <w:p>
            <w:r>
              <w:rPr>
                <w:rFonts w:ascii="Arial" w:hAnsi="Arial"/>
                <w:b/>
                <w:color w:val="FFFFFF"/>
                <w:sz w:val="20"/>
              </w:rPr>
              <w:t>Valuation at Seed</w:t>
            </w:r>
          </w:p>
        </w:tc>
        <w:tc>
          <w:tcPr>
            <w:tcW w:type="dxa" w:w="6624"/>
            <w:shd w:val="clear" w:color="auto" w:fill="FFFFFF"/>
          </w:tcPr>
          <w:p>
            <w:r>
              <w:rPr>
                <w:rFonts w:ascii="Arial" w:hAnsi="Arial"/>
                <w:sz w:val="20"/>
              </w:rPr>
              <w:t>INR 17.5 Cr pre-money  [placeholder]</w:t>
            </w:r>
          </w:p>
        </w:tc>
      </w:tr>
      <w:tr>
        <w:tc>
          <w:tcPr>
            <w:tcW w:type="dxa" w:w="2880"/>
            <w:shd w:val="clear" w:color="auto" w:fill="1F487E"/>
          </w:tcPr>
          <w:p>
            <w:r>
              <w:rPr>
                <w:rFonts w:ascii="Arial" w:hAnsi="Arial"/>
                <w:b/>
                <w:color w:val="FFFFFF"/>
                <w:sz w:val="20"/>
              </w:rPr>
              <w:t>Next Funding Target</w:t>
            </w:r>
          </w:p>
        </w:tc>
        <w:tc>
          <w:tcPr>
            <w:tcW w:type="dxa" w:w="6624"/>
            <w:shd w:val="clear" w:color="auto" w:fill="FFFFFF"/>
          </w:tcPr>
          <w:p>
            <w:r>
              <w:rPr>
                <w:rFonts w:ascii="Arial" w:hAnsi="Arial"/>
                <w:sz w:val="20"/>
              </w:rPr>
              <w:t>Series A — INR 25–35 Cr (target: Q3 2026)</w:t>
            </w:r>
          </w:p>
        </w:tc>
      </w:tr>
      <w:tr>
        <w:tc>
          <w:tcPr>
            <w:tcW w:type="dxa" w:w="2880"/>
            <w:shd w:val="clear" w:color="auto" w:fill="1F487E"/>
          </w:tcPr>
          <w:p>
            <w:r>
              <w:rPr>
                <w:rFonts w:ascii="Arial" w:hAnsi="Arial"/>
                <w:b/>
                <w:color w:val="FFFFFF"/>
                <w:sz w:val="20"/>
              </w:rPr>
              <w:t>Board Composition</w:t>
            </w:r>
          </w:p>
        </w:tc>
        <w:tc>
          <w:tcPr>
            <w:tcW w:type="dxa" w:w="6624"/>
            <w:shd w:val="clear" w:color="auto" w:fill="FFFFFF"/>
          </w:tcPr>
          <w:p>
            <w:r>
              <w:rPr>
                <w:rFonts w:ascii="Arial" w:hAnsi="Arial"/>
                <w:sz w:val="20"/>
              </w:rPr>
              <w:t>3 seats: 2 Founders + 1 Lead Seed Investor</w:t>
            </w:r>
          </w:p>
        </w:tc>
      </w:tr>
    </w:tbl>
    <w:p/>
    <w:p>
      <w:pPr>
        <w:spacing w:after="160"/>
      </w:pPr>
      <w:r>
        <w:rPr>
          <w:i w:val="0"/>
        </w:rPr>
        <w:t>The company has no debt obligations at inception. The seed round was used to fund hardware prototyping, cloud platform development, and the first pilot deployment. The founders retain majority control ahead of the Series A.</w:t>
      </w:r>
    </w:p>
    <w:p>
      <w:pPr>
        <w:spacing w:before="40" w:after="40"/>
        <w:shd w:val="clear" w:color="auto" w:fill="2E74B5"/>
      </w:pPr>
      <w:r>
        <w:rPr>
          <w:rFonts w:ascii="Arial" w:hAnsi="Arial"/>
          <w:b/>
          <w:color w:val="FFFFFF"/>
          <w:sz w:val="22"/>
        </w:rPr>
        <w:t>Illustrative Cap Table  (Pre-Series A)</w:t>
      </w:r>
    </w:p>
    <w:tbl>
      <w:tblPr>
        <w:tblStyle w:val="TableGrid"/>
        <w:tblW w:type="auto" w:w="0"/>
        <w:tblLook w:firstColumn="1" w:firstRow="1" w:lastColumn="0" w:lastRow="0" w:noHBand="0" w:noVBand="1" w:val="04A0"/>
      </w:tblPr>
      <w:tblGrid>
        <w:gridCol w:w="2928"/>
        <w:gridCol w:w="2928"/>
        <w:gridCol w:w="2928"/>
      </w:tblGrid>
      <w:tr>
        <w:tc>
          <w:tcPr>
            <w:tcW w:type="dxa" w:w="4320"/>
            <w:shd w:val="clear" w:color="auto" w:fill="2E74B5"/>
          </w:tcPr>
          <w:p>
            <w:r>
              <w:rPr>
                <w:rFonts w:ascii="Arial" w:hAnsi="Arial"/>
                <w:b/>
                <w:color w:val="FFFFFF"/>
                <w:sz w:val="20"/>
              </w:rPr>
              <w:t>Shareholder</w:t>
            </w:r>
          </w:p>
        </w:tc>
        <w:tc>
          <w:tcPr>
            <w:tcW w:type="dxa" w:w="3168"/>
            <w:shd w:val="clear" w:color="auto" w:fill="2E74B5"/>
          </w:tcPr>
          <w:p>
            <w:r>
              <w:rPr>
                <w:rFonts w:ascii="Arial" w:hAnsi="Arial"/>
                <w:b/>
                <w:color w:val="FFFFFF"/>
                <w:sz w:val="20"/>
              </w:rPr>
              <w:t>Category</w:t>
            </w:r>
          </w:p>
        </w:tc>
        <w:tc>
          <w:tcPr>
            <w:tcW w:type="dxa" w:w="2016"/>
            <w:shd w:val="clear" w:color="auto" w:fill="2E74B5"/>
          </w:tcPr>
          <w:p>
            <w:r>
              <w:rPr>
                <w:rFonts w:ascii="Arial" w:hAnsi="Arial"/>
                <w:b/>
                <w:color w:val="FFFFFF"/>
                <w:sz w:val="20"/>
              </w:rPr>
              <w:t>% Holding</w:t>
            </w:r>
          </w:p>
        </w:tc>
      </w:tr>
      <w:tr>
        <w:tc>
          <w:tcPr>
            <w:tcW w:type="dxa" w:w="4320"/>
          </w:tcPr>
          <w:p>
            <w:r>
              <w:rPr>
                <w:rFonts w:ascii="Arial" w:hAnsi="Arial"/>
                <w:sz w:val="20"/>
              </w:rPr>
              <w:t>Founder A (CEO &amp; Co-founder)</w:t>
            </w:r>
          </w:p>
        </w:tc>
        <w:tc>
          <w:tcPr>
            <w:tcW w:type="dxa" w:w="3168"/>
          </w:tcPr>
          <w:p>
            <w:r>
              <w:rPr>
                <w:rFonts w:ascii="Arial" w:hAnsi="Arial"/>
                <w:sz w:val="20"/>
              </w:rPr>
              <w:t>Promoter</w:t>
            </w:r>
          </w:p>
        </w:tc>
        <w:tc>
          <w:tcPr>
            <w:tcW w:type="dxa" w:w="2016"/>
          </w:tcPr>
          <w:p>
            <w:r>
              <w:rPr>
                <w:rFonts w:ascii="Arial" w:hAnsi="Arial"/>
                <w:sz w:val="20"/>
              </w:rPr>
              <w:t>38%</w:t>
            </w:r>
          </w:p>
        </w:tc>
      </w:tr>
      <w:tr>
        <w:tc>
          <w:tcPr>
            <w:tcW w:type="dxa" w:w="4320"/>
          </w:tcPr>
          <w:p>
            <w:r>
              <w:rPr>
                <w:rFonts w:ascii="Arial" w:hAnsi="Arial"/>
                <w:sz w:val="20"/>
              </w:rPr>
              <w:t>Founder B (CTO &amp; Co-founder)</w:t>
            </w:r>
          </w:p>
        </w:tc>
        <w:tc>
          <w:tcPr>
            <w:tcW w:type="dxa" w:w="3168"/>
          </w:tcPr>
          <w:p>
            <w:r>
              <w:rPr>
                <w:rFonts w:ascii="Arial" w:hAnsi="Arial"/>
                <w:sz w:val="20"/>
              </w:rPr>
              <w:t>Promoter</w:t>
            </w:r>
          </w:p>
        </w:tc>
        <w:tc>
          <w:tcPr>
            <w:tcW w:type="dxa" w:w="2016"/>
          </w:tcPr>
          <w:p>
            <w:r>
              <w:rPr>
                <w:rFonts w:ascii="Arial" w:hAnsi="Arial"/>
                <w:sz w:val="20"/>
              </w:rPr>
              <w:t>34%</w:t>
            </w:r>
          </w:p>
        </w:tc>
      </w:tr>
      <w:tr>
        <w:tc>
          <w:tcPr>
            <w:tcW w:type="dxa" w:w="4320"/>
          </w:tcPr>
          <w:p>
            <w:r>
              <w:rPr>
                <w:rFonts w:ascii="Arial" w:hAnsi="Arial"/>
                <w:sz w:val="20"/>
              </w:rPr>
              <w:t>SeedFund Ventures (Lead)</w:t>
            </w:r>
          </w:p>
        </w:tc>
        <w:tc>
          <w:tcPr>
            <w:tcW w:type="dxa" w:w="3168"/>
          </w:tcPr>
          <w:p>
            <w:r>
              <w:rPr>
                <w:rFonts w:ascii="Arial" w:hAnsi="Arial"/>
                <w:sz w:val="20"/>
              </w:rPr>
              <w:t>Institutional Investor</w:t>
            </w:r>
          </w:p>
        </w:tc>
        <w:tc>
          <w:tcPr>
            <w:tcW w:type="dxa" w:w="2016"/>
          </w:tcPr>
          <w:p>
            <w:r>
              <w:rPr>
                <w:rFonts w:ascii="Arial" w:hAnsi="Arial"/>
                <w:sz w:val="20"/>
              </w:rPr>
              <w:t>15%</w:t>
            </w:r>
          </w:p>
        </w:tc>
      </w:tr>
      <w:tr>
        <w:tc>
          <w:tcPr>
            <w:tcW w:type="dxa" w:w="4320"/>
          </w:tcPr>
          <w:p>
            <w:r>
              <w:rPr>
                <w:rFonts w:ascii="Arial" w:hAnsi="Arial"/>
                <w:sz w:val="20"/>
              </w:rPr>
              <w:t>Angel Investors (3 individuals)</w:t>
            </w:r>
          </w:p>
        </w:tc>
        <w:tc>
          <w:tcPr>
            <w:tcW w:type="dxa" w:w="3168"/>
          </w:tcPr>
          <w:p>
            <w:r>
              <w:rPr>
                <w:rFonts w:ascii="Arial" w:hAnsi="Arial"/>
                <w:sz w:val="20"/>
              </w:rPr>
              <w:t>Angel Investors</w:t>
            </w:r>
          </w:p>
        </w:tc>
        <w:tc>
          <w:tcPr>
            <w:tcW w:type="dxa" w:w="2016"/>
          </w:tcPr>
          <w:p>
            <w:r>
              <w:rPr>
                <w:rFonts w:ascii="Arial" w:hAnsi="Arial"/>
                <w:sz w:val="20"/>
              </w:rPr>
              <w:t>5%</w:t>
            </w:r>
          </w:p>
        </w:tc>
      </w:tr>
      <w:tr>
        <w:tc>
          <w:tcPr>
            <w:tcW w:type="dxa" w:w="4320"/>
          </w:tcPr>
          <w:p>
            <w:r>
              <w:rPr>
                <w:rFonts w:ascii="Arial" w:hAnsi="Arial"/>
                <w:sz w:val="20"/>
              </w:rPr>
              <w:t>ESOP Pool</w:t>
            </w:r>
          </w:p>
        </w:tc>
        <w:tc>
          <w:tcPr>
            <w:tcW w:type="dxa" w:w="3168"/>
          </w:tcPr>
          <w:p>
            <w:r>
              <w:rPr>
                <w:rFonts w:ascii="Arial" w:hAnsi="Arial"/>
                <w:sz w:val="20"/>
              </w:rPr>
              <w:t>Employee Reserve</w:t>
            </w:r>
          </w:p>
        </w:tc>
        <w:tc>
          <w:tcPr>
            <w:tcW w:type="dxa" w:w="2016"/>
          </w:tcPr>
          <w:p>
            <w:r>
              <w:rPr>
                <w:rFonts w:ascii="Arial" w:hAnsi="Arial"/>
                <w:sz w:val="20"/>
              </w:rPr>
              <w:t>8%</w:t>
            </w:r>
          </w:p>
        </w:tc>
      </w:tr>
      <w:tr>
        <w:tc>
          <w:tcPr>
            <w:tcW w:type="dxa" w:w="4320"/>
          </w:tcPr>
          <w:p>
            <w:r>
              <w:rPr>
                <w:rFonts w:ascii="Arial" w:hAnsi="Arial"/>
                <w:b/>
                <w:sz w:val="20"/>
              </w:rPr>
              <w:t>Total</w:t>
            </w:r>
          </w:p>
        </w:tc>
        <w:tc>
          <w:tcPr>
            <w:tcW w:type="dxa" w:w="3168"/>
          </w:tcPr>
          <w:p>
            <w:r>
              <w:rPr>
                <w:rFonts w:ascii="Arial" w:hAnsi="Arial"/>
                <w:b/>
                <w:sz w:val="20"/>
              </w:rPr>
            </w:r>
          </w:p>
        </w:tc>
        <w:tc>
          <w:tcPr>
            <w:tcW w:type="dxa" w:w="2016"/>
          </w:tcPr>
          <w:p>
            <w:r>
              <w:rPr>
                <w:rFonts w:ascii="Arial" w:hAnsi="Arial"/>
                <w:b/>
                <w:sz w:val="20"/>
              </w:rPr>
              <w:t>100%</w:t>
            </w:r>
          </w:p>
        </w:tc>
      </w:tr>
    </w:tbl>
    <w:p/>
    <w:p>
      <w:pPr>
        <w:pStyle w:val="Heading1"/>
      </w:pPr>
      <w:r>
        <w:t>5. Management Team</w:t>
      </w:r>
    </w:p>
    <w:p>
      <w:pPr>
        <w:spacing w:after="160"/>
      </w:pPr>
      <w:r>
        <w:rPr>
          <w:i w:val="0"/>
        </w:rPr>
        <w:t>CloudRobotics Co. is led by a lean founding team of two, combining deep robotics hardware expertise with cloud and software engineering capability. The founding duo is supported by two senior advisors from the automotive and venture capital domains.</w:t>
      </w:r>
    </w:p>
    <w:p>
      <w:pPr>
        <w:spacing w:before="40" w:after="40"/>
        <w:shd w:val="clear" w:color="auto" w:fill="1F487E"/>
      </w:pPr>
      <w:r>
        <w:rPr>
          <w:rFonts w:ascii="Arial" w:hAnsi="Arial"/>
          <w:b/>
          <w:color w:val="FFFFFF"/>
          <w:sz w:val="22"/>
        </w:rPr>
        <w:t xml:space="preserve">  CEO  |  Arjun Mehta  —  Chief Executive Officer &amp; Co-Founder</w:t>
      </w:r>
    </w:p>
    <w:p>
      <w:pPr>
        <w:spacing w:after="80"/>
      </w:pPr>
      <w:r>
        <w:rPr>
          <w:i w:val="0"/>
        </w:rPr>
        <w:t>15 years of experience in industrial automation and robotics. Previously Head of Robotics Engineering at a Tier-1 automotive supplier (Pune). Holds a B.Tech in Mechanical Engineering (IIT Bombay) and an MBA (IIM Ahmedabad). Responsible for business strategy, partnerships, customer acquisition, and fundraising.</w:t>
      </w:r>
    </w:p>
    <w:p>
      <w:pPr>
        <w:spacing w:after="40"/>
      </w:pPr>
      <w:r>
        <w:rPr>
          <w:i w:val="0"/>
        </w:rPr>
        <w:t>Key areas of expertise:</w:t>
      </w:r>
    </w:p>
    <w:p>
      <w:pPr>
        <w:pStyle w:val="ListBullet"/>
        <w:spacing w:after="60"/>
        <w:ind w:left="432"/>
      </w:pPr>
      <w:r>
        <w:t>Industrial robotics system design</w:t>
      </w:r>
    </w:p>
    <w:p>
      <w:pPr>
        <w:pStyle w:val="ListBullet"/>
        <w:spacing w:after="60"/>
        <w:ind w:left="432"/>
      </w:pPr>
      <w:r>
        <w:t>Automotive OEM and Tier-1 relationship management</w:t>
      </w:r>
    </w:p>
    <w:p>
      <w:pPr>
        <w:pStyle w:val="ListBullet"/>
        <w:spacing w:after="60"/>
        <w:ind w:left="432"/>
      </w:pPr>
      <w:r>
        <w:t>Product strategy and go-to-market</w:t>
      </w:r>
    </w:p>
    <w:p>
      <w:pPr>
        <w:pStyle w:val="ListBullet"/>
        <w:spacing w:after="60"/>
        <w:ind w:left="432"/>
      </w:pPr>
      <w:r>
        <w:t>Fundraising and investor relations</w:t>
      </w:r>
    </w:p>
    <w:p/>
    <w:p>
      <w:pPr>
        <w:spacing w:before="40" w:after="40"/>
        <w:shd w:val="clear" w:color="auto" w:fill="1F487E"/>
      </w:pPr>
      <w:r>
        <w:rPr>
          <w:rFonts w:ascii="Arial" w:hAnsi="Arial"/>
          <w:b/>
          <w:color w:val="FFFFFF"/>
          <w:sz w:val="22"/>
        </w:rPr>
        <w:t xml:space="preserve">  CTO  |  Priya Nair  —  Chief Technology Officer &amp; Co-Founder</w:t>
      </w:r>
    </w:p>
    <w:p>
      <w:pPr>
        <w:spacing w:after="80"/>
      </w:pPr>
      <w:r>
        <w:rPr>
          <w:i w:val="0"/>
        </w:rPr>
        <w:t>12 years of experience spanning embedded systems, IoT, and cloud infrastructure. Previously Principal Engineer at a robotics AI startup (Bengaluru). Holds a B.E. in Electronics &amp; Communication (NIT Trichy) and an M.S. in Robotics (Carnegie Mellon University). Leads all technology development: robot hardware architecture, cloud control platform, AI/ML-based task-switching engine, and cybersecurity.</w:t>
      </w:r>
    </w:p>
    <w:p>
      <w:pPr>
        <w:spacing w:after="40"/>
      </w:pPr>
      <w:r>
        <w:rPr>
          <w:i w:val="0"/>
        </w:rPr>
        <w:t>Key areas of expertise:</w:t>
      </w:r>
    </w:p>
    <w:p>
      <w:pPr>
        <w:pStyle w:val="ListBullet"/>
        <w:spacing w:after="60"/>
        <w:ind w:left="432"/>
      </w:pPr>
      <w:r>
        <w:t>Embedded systems and robot hardware design</w:t>
      </w:r>
    </w:p>
    <w:p>
      <w:pPr>
        <w:pStyle w:val="ListBullet"/>
        <w:spacing w:after="60"/>
        <w:ind w:left="432"/>
      </w:pPr>
      <w:r>
        <w:t>Cloud architecture (AWS / Azure) and IoT platform development</w:t>
      </w:r>
    </w:p>
    <w:p>
      <w:pPr>
        <w:pStyle w:val="ListBullet"/>
        <w:spacing w:after="60"/>
        <w:ind w:left="432"/>
      </w:pPr>
      <w:r>
        <w:t>AI/ML for real-time task classification and control</w:t>
      </w:r>
    </w:p>
    <w:p>
      <w:pPr>
        <w:pStyle w:val="ListBullet"/>
        <w:spacing w:after="60"/>
        <w:ind w:left="432"/>
      </w:pPr>
      <w:r>
        <w:t>Cybersecurity for connected industrial devices</w:t>
      </w:r>
    </w:p>
    <w:p/>
    <w:p>
      <w:pPr>
        <w:pStyle w:val="Heading2"/>
      </w:pPr>
      <w:r>
        <w:t>5.1  Advisory Board</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rFonts w:ascii="Arial" w:hAnsi="Arial"/>
                <w:b/>
                <w:color w:val="FFFFFF"/>
                <w:sz w:val="20"/>
              </w:rPr>
              <w:t>Advisor</w:t>
            </w:r>
          </w:p>
        </w:tc>
        <w:tc>
          <w:tcPr>
            <w:tcW w:type="dxa" w:w="2928"/>
            <w:shd w:val="clear" w:color="auto" w:fill="2E74B5"/>
          </w:tcPr>
          <w:p>
            <w:r>
              <w:rPr>
                <w:rFonts w:ascii="Arial" w:hAnsi="Arial"/>
                <w:b/>
                <w:color w:val="FFFFFF"/>
                <w:sz w:val="20"/>
              </w:rPr>
              <w:t>Role</w:t>
            </w:r>
          </w:p>
        </w:tc>
        <w:tc>
          <w:tcPr>
            <w:tcW w:type="dxa" w:w="2928"/>
            <w:shd w:val="clear" w:color="auto" w:fill="2E74B5"/>
          </w:tcPr>
          <w:p>
            <w:r>
              <w:rPr>
                <w:rFonts w:ascii="Arial" w:hAnsi="Arial"/>
                <w:b/>
                <w:color w:val="FFFFFF"/>
                <w:sz w:val="20"/>
              </w:rPr>
              <w:t>Background</w:t>
            </w:r>
          </w:p>
        </w:tc>
      </w:tr>
      <w:tr>
        <w:tc>
          <w:tcPr>
            <w:tcW w:type="dxa" w:w="2304"/>
          </w:tcPr>
          <w:p>
            <w:r>
              <w:rPr>
                <w:rFonts w:ascii="Arial" w:hAnsi="Arial"/>
                <w:b/>
                <w:sz w:val="20"/>
              </w:rPr>
              <w:t>Rajan Krishnaswamy</w:t>
            </w:r>
          </w:p>
        </w:tc>
        <w:tc>
          <w:tcPr>
            <w:tcW w:type="dxa" w:w="2592"/>
          </w:tcPr>
          <w:p>
            <w:r>
              <w:rPr>
                <w:rFonts w:ascii="Arial" w:hAnsi="Arial"/>
                <w:sz w:val="20"/>
              </w:rPr>
              <w:t>Strategic Advisor — Automotive Industry</w:t>
            </w:r>
          </w:p>
        </w:tc>
        <w:tc>
          <w:tcPr>
            <w:tcW w:type="dxa" w:w="4608"/>
          </w:tcPr>
          <w:p>
            <w:r>
              <w:rPr>
                <w:rFonts w:ascii="Arial" w:hAnsi="Arial"/>
                <w:sz w:val="20"/>
              </w:rPr>
              <w:t>Former VP of Manufacturing Operations at a major Indian passenger-car OEM. 30 years in automotive manufacturing, quality systems, and Industry 4.0 transformation. Guides CloudRobotics on OEM deployment requirements, quality standards (IATF 16949), and automotive supply-chain dynamics.</w:t>
            </w:r>
          </w:p>
        </w:tc>
      </w:tr>
      <w:tr>
        <w:tc>
          <w:tcPr>
            <w:tcW w:type="dxa" w:w="2304"/>
          </w:tcPr>
          <w:p>
            <w:r>
              <w:rPr>
                <w:rFonts w:ascii="Arial" w:hAnsi="Arial"/>
                <w:b/>
                <w:sz w:val="20"/>
              </w:rPr>
              <w:t>Deepa Srinivasan</w:t>
            </w:r>
          </w:p>
        </w:tc>
        <w:tc>
          <w:tcPr>
            <w:tcW w:type="dxa" w:w="2592"/>
          </w:tcPr>
          <w:p>
            <w:r>
              <w:rPr>
                <w:rFonts w:ascii="Arial" w:hAnsi="Arial"/>
                <w:sz w:val="20"/>
              </w:rPr>
              <w:t>Venture Advisor — Investment &amp; Governance</w:t>
            </w:r>
          </w:p>
        </w:tc>
        <w:tc>
          <w:tcPr>
            <w:tcW w:type="dxa" w:w="4608"/>
          </w:tcPr>
          <w:p>
            <w:r>
              <w:rPr>
                <w:rFonts w:ascii="Arial" w:hAnsi="Arial"/>
                <w:sz w:val="20"/>
              </w:rPr>
              <w:t>Partner at SeedFund Ventures (lead seed investor). Former investment banker (infrastructure and technology sectors). Advises on financial governance, Series A preparation, and board structuring.</w:t>
            </w:r>
          </w:p>
        </w:tc>
      </w:tr>
    </w:tbl>
    <w:p/>
    <w:p>
      <w:pPr>
        <w:pStyle w:val="Heading1"/>
      </w:pPr>
      <w:r>
        <w:t>6. Business Description</w:t>
      </w:r>
    </w:p>
    <w:p>
      <w:pPr>
        <w:pStyle w:val="Heading2"/>
      </w:pPr>
      <w:r>
        <w:t>6.1  Core Concept</w:t>
      </w:r>
    </w:p>
    <w:p>
      <w:pPr>
        <w:spacing w:after="160"/>
      </w:pPr>
      <w:r>
        <w:rPr>
          <w:i w:val="0"/>
        </w:rPr>
        <w:t>CloudRobotics Co. designs and manufactures a generic, fully modular industrial robot platform whose operational behaviour is entirely governed by cloud-based configuration. Unlike conventional industrial robots that are purpose-built for a single function, a CloudRobotics unit ships with all the hardware components required for a broad range of manufacturing tasks — actuation, sensing, vision, end-effector mounting, and connectivity — and receives its task profile from a cloud control plane managed by an authorised administrator.</w:t>
      </w:r>
    </w:p>
    <w:p>
      <w:pPr>
        <w:pStyle w:val="Heading2"/>
      </w:pPr>
      <w:r>
        <w:t>6.2  How It Works</w:t>
      </w:r>
    </w:p>
    <w:p>
      <w:pPr>
        <w:spacing w:after="80"/>
      </w:pPr>
      <w:r>
        <w:rPr>
          <w:i w:val="0"/>
        </w:rPr>
        <w:t>The system operates in three layers:</w:t>
      </w:r>
    </w:p>
    <w:p>
      <w:pPr>
        <w:pStyle w:val="ListBullet"/>
        <w:spacing w:after="60"/>
        <w:ind w:left="432"/>
      </w:pPr>
      <w:r>
        <w:rPr>
          <w:b/>
        </w:rPr>
        <w:t xml:space="preserve">Hardware Layer: </w:t>
      </w:r>
      <w:r/>
      <w:r>
        <w:t>A standardised robot body equipped with multi-axis arms, modular end-effector mounts, computer vision cameras, force/torque sensors, and an onboard edge compute unit. All hardware is present on every unit — no retooling required between task types.</w:t>
      </w:r>
    </w:p>
    <w:p>
      <w:pPr>
        <w:pStyle w:val="ListBullet"/>
        <w:spacing w:after="60"/>
        <w:ind w:left="432"/>
      </w:pPr>
      <w:r>
        <w:rPr>
          <w:b/>
        </w:rPr>
        <w:t xml:space="preserve">Connectivity &amp; Edge Layer: </w:t>
      </w:r>
      <w:r/>
      <w:r>
        <w:t>Each robot connects to the cloud control platform over a secure, low-latency channel (5G / industrial Wi-Fi with TLS encryption). An onboard edge module buffers and executes task instructions even during transient connectivity loss.</w:t>
      </w:r>
    </w:p>
    <w:p>
      <w:pPr>
        <w:pStyle w:val="ListBullet"/>
        <w:spacing w:after="60"/>
        <w:ind w:left="432"/>
      </w:pPr>
      <w:r>
        <w:rPr>
          <w:b/>
        </w:rPr>
        <w:t xml:space="preserve">Cloud Control Layer: </w:t>
      </w:r>
      <w:r/>
      <w:r>
        <w:t>A web-based administrator console allows authorised users to assign task profiles to individual robots or robot fleets in real time. Configuration changes propagate to the robot within seconds. The platform logs all configuration events for audit and compliance.</w:t>
      </w:r>
    </w:p>
    <w:p/>
    <w:p>
      <w:pPr>
        <w:pStyle w:val="Heading2"/>
      </w:pPr>
      <w:r>
        <w:t>6.3  Illustrative Use Case — Automotive Assembly Plant</w:t>
      </w:r>
    </w:p>
    <w:p>
      <w:pPr>
        <w:spacing w:after="160"/>
      </w:pPr>
      <w:r>
        <w:rPr>
          <w:i w:val="0"/>
        </w:rPr>
        <w:t>During a peak production shift for passenger-car assembly, an administrator assigns 12 robots to the 'Body Assembly' task profile. The robots receive their welding and fastening routines via the cloud and begin line operations. As the assembly shift ends and the quality-check phase begins, the administrator reassigns 4 of the 12 robots to the 'Inspection &amp; Quality Control' task profile. Those 4 units activate their vision systems and force-sensing routines, and begin dimensional inspection and surface defect detection — without any physical retooling or downtime.</w:t>
      </w:r>
    </w:p>
    <w:p>
      <w:pPr>
        <w:pStyle w:val="Heading2"/>
      </w:pPr>
      <w:r>
        <w:t>6.4  Key Task Profiles (Initial Release)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87E"/>
          </w:tcPr>
          <w:p>
            <w:r>
              <w:rPr>
                <w:rFonts w:ascii="Arial" w:hAnsi="Arial"/>
                <w:b/>
                <w:color w:val="FFFFFF"/>
                <w:sz w:val="20"/>
              </w:rPr>
              <w:t>Task Profile</w:t>
            </w:r>
          </w:p>
        </w:tc>
        <w:tc>
          <w:tcPr>
            <w:tcW w:type="dxa" w:w="2928"/>
            <w:shd w:val="clear" w:color="auto" w:fill="1F487E"/>
          </w:tcPr>
          <w:p>
            <w:r>
              <w:rPr>
                <w:rFonts w:ascii="Arial" w:hAnsi="Arial"/>
                <w:b/>
                <w:color w:val="FFFFFF"/>
                <w:sz w:val="20"/>
              </w:rPr>
              <w:t>Primary Function</w:t>
            </w:r>
          </w:p>
        </w:tc>
        <w:tc>
          <w:tcPr>
            <w:tcW w:type="dxa" w:w="2928"/>
            <w:shd w:val="clear" w:color="auto" w:fill="1F487E"/>
          </w:tcPr>
          <w:p>
            <w:r>
              <w:rPr>
                <w:rFonts w:ascii="Arial" w:hAnsi="Arial"/>
                <w:b/>
                <w:color w:val="FFFFFF"/>
                <w:sz w:val="20"/>
              </w:rPr>
              <w:t>Sensors / End-Effectors Activated</w:t>
            </w:r>
          </w:p>
        </w:tc>
      </w:tr>
      <w:tr>
        <w:tc>
          <w:tcPr>
            <w:tcW w:type="dxa" w:w="2304"/>
          </w:tcPr>
          <w:p>
            <w:r>
              <w:rPr>
                <w:rFonts w:ascii="Arial" w:hAnsi="Arial"/>
                <w:b/>
                <w:sz w:val="20"/>
              </w:rPr>
              <w:t>Body Assembly</w:t>
            </w:r>
          </w:p>
        </w:tc>
        <w:tc>
          <w:tcPr>
            <w:tcW w:type="dxa" w:w="4032"/>
          </w:tcPr>
          <w:p>
            <w:r>
              <w:rPr>
                <w:rFonts w:ascii="Arial" w:hAnsi="Arial"/>
                <w:sz w:val="20"/>
              </w:rPr>
              <w:t>Welding, fastening, and structural component joining</w:t>
            </w:r>
          </w:p>
        </w:tc>
        <w:tc>
          <w:tcPr>
            <w:tcW w:type="dxa" w:w="3168"/>
          </w:tcPr>
          <w:p>
            <w:r>
              <w:rPr>
                <w:rFonts w:ascii="Arial" w:hAnsi="Arial"/>
                <w:sz w:val="20"/>
              </w:rPr>
              <w:t>Torque sensors, welding end-effector, proximity sensors</w:t>
            </w:r>
          </w:p>
        </w:tc>
      </w:tr>
      <w:tr>
        <w:tc>
          <w:tcPr>
            <w:tcW w:type="dxa" w:w="2304"/>
          </w:tcPr>
          <w:p>
            <w:r>
              <w:rPr>
                <w:rFonts w:ascii="Arial" w:hAnsi="Arial"/>
                <w:b/>
                <w:sz w:val="20"/>
              </w:rPr>
              <w:t>Paint &amp; Surface Prep</w:t>
            </w:r>
          </w:p>
        </w:tc>
        <w:tc>
          <w:tcPr>
            <w:tcW w:type="dxa" w:w="4032"/>
          </w:tcPr>
          <w:p>
            <w:r>
              <w:rPr>
                <w:rFonts w:ascii="Arial" w:hAnsi="Arial"/>
                <w:sz w:val="20"/>
              </w:rPr>
              <w:t>Sanding, masking, and primer application</w:t>
            </w:r>
          </w:p>
        </w:tc>
        <w:tc>
          <w:tcPr>
            <w:tcW w:type="dxa" w:w="3168"/>
          </w:tcPr>
          <w:p>
            <w:r>
              <w:rPr>
                <w:rFonts w:ascii="Arial" w:hAnsi="Arial"/>
                <w:sz w:val="20"/>
              </w:rPr>
              <w:t>Vision camera, rotary tool end-effector, force sensor</w:t>
            </w:r>
          </w:p>
        </w:tc>
      </w:tr>
      <w:tr>
        <w:tc>
          <w:tcPr>
            <w:tcW w:type="dxa" w:w="2304"/>
          </w:tcPr>
          <w:p>
            <w:r>
              <w:rPr>
                <w:rFonts w:ascii="Arial" w:hAnsi="Arial"/>
                <w:b/>
                <w:sz w:val="20"/>
              </w:rPr>
              <w:t>Component Pick &amp; Place</w:t>
            </w:r>
          </w:p>
        </w:tc>
        <w:tc>
          <w:tcPr>
            <w:tcW w:type="dxa" w:w="4032"/>
          </w:tcPr>
          <w:p>
            <w:r>
              <w:rPr>
                <w:rFonts w:ascii="Arial" w:hAnsi="Arial"/>
                <w:sz w:val="20"/>
              </w:rPr>
              <w:t>Moving sub-assemblies between stations</w:t>
            </w:r>
          </w:p>
        </w:tc>
        <w:tc>
          <w:tcPr>
            <w:tcW w:type="dxa" w:w="3168"/>
          </w:tcPr>
          <w:p>
            <w:r>
              <w:rPr>
                <w:rFonts w:ascii="Arial" w:hAnsi="Arial"/>
                <w:sz w:val="20"/>
              </w:rPr>
              <w:t>Gripper end-effector, vision camera, weight sensor</w:t>
            </w:r>
          </w:p>
        </w:tc>
      </w:tr>
      <w:tr>
        <w:tc>
          <w:tcPr>
            <w:tcW w:type="dxa" w:w="2304"/>
          </w:tcPr>
          <w:p>
            <w:r>
              <w:rPr>
                <w:rFonts w:ascii="Arial" w:hAnsi="Arial"/>
                <w:b/>
                <w:sz w:val="20"/>
              </w:rPr>
              <w:t>Inspection &amp; QC</w:t>
            </w:r>
          </w:p>
        </w:tc>
        <w:tc>
          <w:tcPr>
            <w:tcW w:type="dxa" w:w="4032"/>
          </w:tcPr>
          <w:p>
            <w:r>
              <w:rPr>
                <w:rFonts w:ascii="Arial" w:hAnsi="Arial"/>
                <w:sz w:val="20"/>
              </w:rPr>
              <w:t>Dimensional measurement, defect detection, pass/fail logging</w:t>
            </w:r>
          </w:p>
        </w:tc>
        <w:tc>
          <w:tcPr>
            <w:tcW w:type="dxa" w:w="3168"/>
          </w:tcPr>
          <w:p>
            <w:r>
              <w:rPr>
                <w:rFonts w:ascii="Arial" w:hAnsi="Arial"/>
                <w:sz w:val="20"/>
              </w:rPr>
              <w:t>High-res stereo camera, structured-light sensor, force/torque sensor</w:t>
            </w:r>
          </w:p>
        </w:tc>
      </w:tr>
      <w:tr>
        <w:tc>
          <w:tcPr>
            <w:tcW w:type="dxa" w:w="2304"/>
          </w:tcPr>
          <w:p>
            <w:r>
              <w:rPr>
                <w:rFonts w:ascii="Arial" w:hAnsi="Arial"/>
                <w:b/>
                <w:sz w:val="20"/>
              </w:rPr>
              <w:t>Material Handling</w:t>
            </w:r>
          </w:p>
        </w:tc>
        <w:tc>
          <w:tcPr>
            <w:tcW w:type="dxa" w:w="4032"/>
          </w:tcPr>
          <w:p>
            <w:r>
              <w:rPr>
                <w:rFonts w:ascii="Arial" w:hAnsi="Arial"/>
                <w:sz w:val="20"/>
              </w:rPr>
              <w:t>Intralogistics and parts transportation within the plant floor</w:t>
            </w:r>
          </w:p>
        </w:tc>
        <w:tc>
          <w:tcPr>
            <w:tcW w:type="dxa" w:w="3168"/>
          </w:tcPr>
          <w:p>
            <w:r>
              <w:rPr>
                <w:rFonts w:ascii="Arial" w:hAnsi="Arial"/>
                <w:sz w:val="20"/>
              </w:rPr>
              <w:t>Navigation stack, proximity sensors, load sensor</w:t>
            </w:r>
          </w:p>
        </w:tc>
      </w:tr>
    </w:tbl>
    <w:p/>
    <w:p>
      <w:pPr>
        <w:pStyle w:val="Heading2"/>
      </w:pPr>
      <w:r>
        <w:t>6.5  Commercial Model</w:t>
      </w:r>
    </w:p>
    <w:p>
      <w:pPr>
        <w:pStyle w:val="ListBullet"/>
        <w:spacing w:after="60"/>
        <w:ind w:left="432"/>
      </w:pPr>
      <w:r>
        <w:t>Robot hardware sale: outright purchase of robot units.</w:t>
      </w:r>
    </w:p>
    <w:p>
      <w:pPr>
        <w:pStyle w:val="ListBullet"/>
        <w:spacing w:after="60"/>
        <w:ind w:left="432"/>
      </w:pPr>
      <w:r>
        <w:t>Robotics-as-a-Service (RaaS): monthly subscription per robot unit, including cloud platform access, OTA firmware updates, and 24/7 remote support.</w:t>
      </w:r>
    </w:p>
    <w:p>
      <w:pPr>
        <w:pStyle w:val="ListBullet"/>
        <w:spacing w:after="60"/>
        <w:ind w:left="432"/>
      </w:pPr>
      <w:r>
        <w:t>Cloud Platform License: annual license for the administrator control console for customers who own robots outright.</w:t>
      </w:r>
    </w:p>
    <w:p>
      <w:pPr>
        <w:pStyle w:val="ListBullet"/>
        <w:spacing w:after="60"/>
        <w:ind w:left="432"/>
      </w:pPr>
      <w:r>
        <w:t>Task Profile Marketplace (Phase 2): third-party developers can publish and monetise custom task profiles via the CloudRobotics platform.</w:t>
      </w:r>
    </w:p>
    <w:p/>
    <w:p>
      <w:pPr>
        <w:pStyle w:val="Heading2"/>
      </w:pPr>
      <w:r>
        <w:t>6.6  Current Status</w:t>
      </w:r>
    </w:p>
    <w:tbl>
      <w:tblPr>
        <w:tblStyle w:val="TableGrid"/>
        <w:tblW w:type="auto" w:w="0"/>
        <w:tblLook w:firstColumn="1" w:firstRow="1" w:lastColumn="0" w:lastRow="0" w:noHBand="0" w:noVBand="1" w:val="04A0"/>
      </w:tblPr>
      <w:tblGrid>
        <w:gridCol w:w="4392"/>
        <w:gridCol w:w="4392"/>
      </w:tblGrid>
      <w:tr>
        <w:tc>
          <w:tcPr>
            <w:tcW w:type="dxa" w:w="2880"/>
            <w:shd w:val="clear" w:color="auto" w:fill="1F487E"/>
          </w:tcPr>
          <w:p>
            <w:r>
              <w:rPr>
                <w:rFonts w:ascii="Arial" w:hAnsi="Arial"/>
                <w:b/>
                <w:color w:val="FFFFFF"/>
                <w:sz w:val="20"/>
              </w:rPr>
              <w:t>Product Stage</w:t>
            </w:r>
          </w:p>
        </w:tc>
        <w:tc>
          <w:tcPr>
            <w:tcW w:type="dxa" w:w="6624"/>
            <w:shd w:val="clear" w:color="auto" w:fill="FFFFFF"/>
          </w:tcPr>
          <w:p>
            <w:r>
              <w:rPr>
                <w:rFonts w:ascii="Arial" w:hAnsi="Arial"/>
                <w:sz w:val="20"/>
              </w:rPr>
              <w:t>Functional prototype (v0.9) — single robot unit, 3 task profiles operational</w:t>
            </w:r>
          </w:p>
        </w:tc>
      </w:tr>
      <w:tr>
        <w:tc>
          <w:tcPr>
            <w:tcW w:type="dxa" w:w="2880"/>
            <w:shd w:val="clear" w:color="auto" w:fill="1F487E"/>
          </w:tcPr>
          <w:p>
            <w:r>
              <w:rPr>
                <w:rFonts w:ascii="Arial" w:hAnsi="Arial"/>
                <w:b/>
                <w:color w:val="FFFFFF"/>
                <w:sz w:val="20"/>
              </w:rPr>
              <w:t>Pilot Deployment</w:t>
            </w:r>
          </w:p>
        </w:tc>
        <w:tc>
          <w:tcPr>
            <w:tcW w:type="dxa" w:w="6624"/>
            <w:shd w:val="clear" w:color="auto" w:fill="FFFFFF"/>
          </w:tcPr>
          <w:p>
            <w:r>
              <w:rPr>
                <w:rFonts w:ascii="Arial" w:hAnsi="Arial"/>
                <w:sz w:val="20"/>
              </w:rPr>
              <w:t>1 pilot underway with a Tier-1 automotive supplier in Pune (body assembly + QC profiles)</w:t>
            </w:r>
          </w:p>
        </w:tc>
      </w:tr>
      <w:tr>
        <w:tc>
          <w:tcPr>
            <w:tcW w:type="dxa" w:w="2880"/>
            <w:shd w:val="clear" w:color="auto" w:fill="1F487E"/>
          </w:tcPr>
          <w:p>
            <w:r>
              <w:rPr>
                <w:rFonts w:ascii="Arial" w:hAnsi="Arial"/>
                <w:b/>
                <w:color w:val="FFFFFF"/>
                <w:sz w:val="20"/>
              </w:rPr>
              <w:t>Patent Status</w:t>
            </w:r>
          </w:p>
        </w:tc>
        <w:tc>
          <w:tcPr>
            <w:tcW w:type="dxa" w:w="6624"/>
            <w:shd w:val="clear" w:color="auto" w:fill="FFFFFF"/>
          </w:tcPr>
          <w:p>
            <w:r>
              <w:rPr>
                <w:rFonts w:ascii="Arial" w:hAnsi="Arial"/>
                <w:sz w:val="20"/>
              </w:rPr>
              <w:t>2 provisional patents filed (cloud-to-robot task-switching architecture; modular end-effector mount system)</w:t>
            </w:r>
          </w:p>
        </w:tc>
      </w:tr>
      <w:tr>
        <w:tc>
          <w:tcPr>
            <w:tcW w:type="dxa" w:w="2880"/>
            <w:shd w:val="clear" w:color="auto" w:fill="1F487E"/>
          </w:tcPr>
          <w:p>
            <w:r>
              <w:rPr>
                <w:rFonts w:ascii="Arial" w:hAnsi="Arial"/>
                <w:b/>
                <w:color w:val="FFFFFF"/>
                <w:sz w:val="20"/>
              </w:rPr>
              <w:t>Certifications (target)</w:t>
            </w:r>
          </w:p>
        </w:tc>
        <w:tc>
          <w:tcPr>
            <w:tcW w:type="dxa" w:w="6624"/>
            <w:shd w:val="clear" w:color="auto" w:fill="FFFFFF"/>
          </w:tcPr>
          <w:p>
            <w:r>
              <w:rPr>
                <w:rFonts w:ascii="Arial" w:hAnsi="Arial"/>
                <w:sz w:val="20"/>
              </w:rPr>
              <w:t>CE Marking (EU), BIS Certification (India), ISO 10218-1 (Robot Safety)</w:t>
            </w:r>
          </w:p>
        </w:tc>
      </w:tr>
      <w:tr>
        <w:tc>
          <w:tcPr>
            <w:tcW w:type="dxa" w:w="2880"/>
            <w:shd w:val="clear" w:color="auto" w:fill="1F487E"/>
          </w:tcPr>
          <w:p>
            <w:r>
              <w:rPr>
                <w:rFonts w:ascii="Arial" w:hAnsi="Arial"/>
                <w:b/>
                <w:color w:val="FFFFFF"/>
                <w:sz w:val="20"/>
              </w:rPr>
              <w:t>Team Size</w:t>
            </w:r>
          </w:p>
        </w:tc>
        <w:tc>
          <w:tcPr>
            <w:tcW w:type="dxa" w:w="6624"/>
            <w:shd w:val="clear" w:color="auto" w:fill="FFFFFF"/>
          </w:tcPr>
          <w:p>
            <w:r>
              <w:rPr>
                <w:rFonts w:ascii="Arial" w:hAnsi="Arial"/>
                <w:sz w:val="20"/>
              </w:rPr>
              <w:t>12 FTEs (hardware engineering, software/cloud, operations)</w:t>
            </w:r>
          </w:p>
        </w:tc>
      </w:tr>
    </w:tbl>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8"/>
      </w:rPr>
      <w:t>CloudRobotics Co. — Business Profile  |  Confidential  |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1F487E"/>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