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</w:pPr>
      <w:r>
        <w:rPr>
          <w:rFonts w:ascii="Arial" w:hAnsi="Arial"/>
          <w:b/>
          <w:color w:val="1F487E"/>
          <w:sz w:val="52"/>
        </w:rPr>
        <w:t>CloudRobotics Co. Pvt Ltd</w:t>
      </w:r>
    </w:p>
    <w:p>
      <w:pPr>
        <w:spacing w:after="80"/>
      </w:pPr>
      <w:r>
        <w:rPr>
          <w:rFonts w:ascii="Arial" w:hAnsi="Arial"/>
          <w:color w:val="2E75B6"/>
          <w:sz w:val="32"/>
        </w:rPr>
        <w:t>ECRA System — Enterprise Credit &amp; Risk Assessment</w:t>
      </w:r>
    </w:p>
    <w:p>
      <w:pPr>
        <w:spacing w:after="600"/>
      </w:pPr>
      <w:r>
        <w:rPr>
          <w:rFonts w:ascii="Arial" w:hAnsi="Arial"/>
          <w:b/>
          <w:color w:val="1F487E"/>
          <w:sz w:val="28"/>
        </w:rPr>
        <w:t>Comprehensive Engagement Report</w:t>
      </w:r>
    </w:p>
    <w:tbl>
      <w:tblPr>
        <w:tblLook w:firstColumn="1" w:firstRow="1" w:lastColumn="0" w:lastRow="0" w:noHBand="0" w:noVBand="1" w:val="04A0"/>
        <w:tblW w:w="8520" w:type="dxa"/>
      </w:tblPr>
      <w:tblGrid>
        <w:gridCol w:w="4680"/>
        <w:gridCol w:w="4680"/>
      </w:tblGrid>
      <w:tr>
        <w:trPr>
          <w:trHeight w:val="380" w:hRule="atLeast"/>
        </w:trPr>
        <w:tc>
          <w:tcPr>
            <w:shd w:val="clear" w:color="auto" w:fill="C5D9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20"/>
              </w:rPr>
              <w:t>Prepared for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652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20"/>
              </w:rPr>
              <w:t>CloudRobotics Co. Pvt Ltd  |  Series A Venture Capital Funding Exercise</w:t>
            </w:r>
          </w:p>
        </w:tc>
      </w:tr>
      <w:tr>
        <w:trPr>
          <w:trHeight w:val="380" w:hRule="atLeast"/>
        </w:trPr>
        <w:tc>
          <w:tcPr>
            <w:shd w:val="clear" w:color="auto" w:fill="EAF2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20"/>
              </w:rPr>
              <w:t>Scope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652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20"/>
              </w:rPr>
              <w:t>ECRA System Specification · Business Profile &amp; Plan · Financial Statements · Resource Decomposition · Indicators Register · API Reference · Supply-Chain Resilience Score</w:t>
            </w:r>
          </w:p>
        </w:tc>
      </w:tr>
      <w:tr>
        <w:trPr>
          <w:trHeight w:val="380" w:hRule="atLeast"/>
        </w:trPr>
        <w:tc>
          <w:tcPr>
            <w:shd w:val="clear" w:color="auto" w:fill="C5D9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652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20"/>
              </w:rPr>
              <w:t>June 2026</w:t>
            </w:r>
          </w:p>
        </w:tc>
      </w:tr>
      <w:tr>
        <w:trPr>
          <w:trHeight w:val="380" w:hRule="atLeast"/>
        </w:trPr>
        <w:tc>
          <w:tcPr>
            <w:shd w:val="clear" w:color="auto" w:fill="EAF2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20"/>
              </w:rPr>
              <w:t>Classification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652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20"/>
              </w:rPr>
              <w:t>Confidential</w:t>
            </w:r>
          </w:p>
        </w:tc>
      </w:tr>
      <w:tr>
        <w:trPr>
          <w:trHeight w:val="380" w:hRule="atLeast"/>
        </w:trPr>
        <w:tc>
          <w:tcPr>
            <w:shd w:val="clear" w:color="auto" w:fill="C5D9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20"/>
              </w:rPr>
              <w:t>Document status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652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20"/>
              </w:rPr>
              <w:t>Final — Version 1.0</w:t>
            </w:r>
          </w:p>
        </w:tc>
      </w:tr>
    </w:tbl>
    <w:p>
      <w:r>
        <w:br w:type="page"/>
      </w:r>
    </w:p>
    <w:p>
      <w:pPr>
        <w:keepNext/>
        <w:spacing w:before="280" w:after="80"/>
        <w:pBdr>
          <w:bottom w:val="single" w:sz="4" w:space="2" w:color="2E75B6"/>
        </w:pBdr>
      </w:pPr>
      <w:r>
        <w:rPr>
          <w:rFonts w:ascii="Arial" w:hAnsi="Arial"/>
          <w:b/>
          <w:color w:val="1F487E"/>
          <w:sz w:val="24"/>
        </w:rPr>
        <w:t>Executive Summary</w:t>
      </w:r>
    </w:p>
    <w:p>
      <w:pPr>
        <w:spacing w:after="100"/>
      </w:pPr>
      <w:r>
        <w:rPr>
          <w:rFonts w:ascii="Arial" w:hAnsi="Arial"/>
          <w:sz w:val="20"/>
        </w:rPr>
        <w:t>This report consolidates the full engagement conducted for CloudRobotics Co. Pvt Ltd in preparation for a Series A venture capital raise of INR 30 Crore at a pre-money valuation of INR 120 Crore. It covers eight interconnected work streams: the ECRA system specification that will evaluate this investment; the company's business profile and plan; historical financial statements; a detailed resource decomposition; an external indicators register; API and data source mapping for those indicators; and the first-ever application of a structured Supply-Chain Resilience Score (SCRS) formula to the company's hardware bill of materials.</w:t>
      </w:r>
    </w:p>
    <w:p>
      <w:pPr>
        <w:spacing w:after="100"/>
      </w:pPr>
      <w:r>
        <w:rPr>
          <w:rFonts w:ascii="Arial" w:hAnsi="Arial"/>
          <w:sz w:val="20"/>
        </w:rPr>
        <w:t>The principal finding of the supply chain analysis is a score of 49.1 / 100, placing CloudRobotics in the HIGH RISK band. The dominant drivers are extreme supplier concentration (SCI = 0.848) and three confirmed single-points-of-failure — the NVIDIA Jetson edge compute unit, the ATI Force/Torque sensor, and the Intel RealSense RGB-D camera — which together account for 47.2% of criticality-weighted exposure. Three procurement actions (qualifying Qualcomm RB6 for compute, a second robotic arm fabricator, and Kistler for the F/T sensor) are projected to lift the score to the Moderate–Resilient boundary (~65) without requiring technology changes.</w:t>
      </w:r>
    </w:p>
    <w:p>
      <w:pPr>
        <w:spacing w:after="120"/>
      </w:pPr>
    </w:p>
    <w:tbl>
      <w:tblPr>
        <w:tblLook w:firstColumn="1" w:firstRow="1" w:lastColumn="0" w:lastRow="0" w:noHBand="0" w:noVBand="1" w:val="04A0"/>
        <w:tblW w:w="8520" w:type="dxa"/>
      </w:tblPr>
      <w:tblGrid>
        <w:gridCol w:w="3120"/>
        <w:gridCol w:w="3120"/>
        <w:gridCol w:w="3120"/>
      </w:tblGrid>
      <w:tr>
        <w:trPr>
          <w:trHeight w:val="380" w:hRule="atLeast"/>
        </w:trPr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Work Stream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42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Key Output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ECRA System Specification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42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Product spec with 56 functional requirements across 10 modules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Complete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Business Profile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42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Company, ownership, management, product description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Complete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Business Plan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42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14-section VC-targeted plan; Series A ask INR 30 Cr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Complete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Financial Statements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42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5-year P&amp;L, Balance Sheet, Cash Flow (XLSX)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Complete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Resource Decomposition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42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85 items: 25 HW, 27 SW, 33 HC; Risk Mapping Summary (XLSX)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Complete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Indicators Register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42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53 indicators across 5 categories (XLSX)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Complete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API &amp; Data Source Reference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42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42 APIs/sources mapped; ECRA ingestion pipeline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Complete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Supply-Chain Resilience Score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42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Formula designed; SCRS = 49.1 / 100 (HIGH RISK)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Complete</w:t>
            </w:r>
          </w:p>
        </w:tc>
      </w:tr>
    </w:tbl>
    <w:p>
      <w:r>
        <w:br w:type="page"/>
      </w:r>
    </w:p>
    <w:p>
      <w:pPr>
        <w:keepNext/>
        <w:spacing w:before="120" w:after="80"/>
        <w:pBdr>
          <w:bottom w:val="single" w:sz="8" w:space="2" w:color="1F487E"/>
        </w:pBdr>
      </w:pPr>
      <w:r>
        <w:rPr>
          <w:rFonts w:ascii="Arial" w:hAnsi="Arial"/>
          <w:b/>
          <w:color w:val="1F487E"/>
          <w:sz w:val="30"/>
        </w:rPr>
        <w:t xml:space="preserve">PART I  </w:t>
      </w:r>
      <w:r>
        <w:rPr>
          <w:rFonts w:ascii="Arial" w:hAnsi="Arial"/>
          <w:b/>
          <w:color w:val="1F487E"/>
          <w:sz w:val="30"/>
        </w:rPr>
        <w:t>ECRA SYSTEM — ENTERPRISE CREDIT &amp; RISK ASSESSMENT</w:t>
      </w:r>
    </w:p>
    <w:p>
      <w:pPr>
        <w:keepNext/>
        <w:spacing w:before="280" w:after="80"/>
        <w:pBdr>
          <w:bottom w:val="single" w:sz="4" w:space="2" w:color="2E75B6"/>
        </w:pBdr>
      </w:pPr>
      <w:r>
        <w:rPr>
          <w:rFonts w:ascii="Arial" w:hAnsi="Arial"/>
          <w:b/>
          <w:color w:val="1F487E"/>
          <w:sz w:val="24"/>
        </w:rPr>
        <w:t>1.1  System Overview</w:t>
      </w:r>
    </w:p>
    <w:p>
      <w:pPr>
        <w:spacing w:after="100"/>
      </w:pPr>
      <w:r>
        <w:rPr>
          <w:rFonts w:ascii="Arial" w:hAnsi="Arial"/>
          <w:sz w:val="20"/>
        </w:rPr>
        <w:t>ECRA (Enterprise Credit and Risk Assessment) is an AI-driven decision platform designed to evaluate business plans, credit applications, and investment proposals for ventures in the manufacturing, deep-tech, and industrial automation sectors. It ingests structured and unstructured documents, applies quantitative risk vectors, audits AI-generated assumptions, and produces scored credit/investment decisions with tranche release recommendations.</w:t>
      </w:r>
    </w:p>
    <w:p>
      <w:pPr>
        <w:spacing w:after="100"/>
      </w:pPr>
      <w:r>
        <w:rPr>
          <w:rFonts w:ascii="Arial" w:hAnsi="Arial"/>
          <w:sz w:val="20"/>
        </w:rPr>
        <w:t>The system is built around ten functional modules, each with its own structured requirement set (FR-[MODULE]-NNN). The full specification contains 56 functional requirements.</w:t>
      </w:r>
    </w:p>
    <w:p>
      <w:pPr>
        <w:keepNext/>
        <w:spacing w:before="280" w:after="80"/>
        <w:pBdr>
          <w:bottom w:val="single" w:sz="4" w:space="2" w:color="2E75B6"/>
        </w:pBdr>
      </w:pPr>
      <w:r>
        <w:rPr>
          <w:rFonts w:ascii="Arial" w:hAnsi="Arial"/>
          <w:b/>
          <w:color w:val="1F487E"/>
          <w:sz w:val="24"/>
        </w:rPr>
        <w:t>1.2  Core Modules</w:t>
      </w:r>
    </w:p>
    <w:tbl>
      <w:tblPr>
        <w:tblLook w:firstColumn="1" w:firstRow="1" w:lastColumn="0" w:lastRow="0" w:noHBand="0" w:noVBand="1" w:val="04A0"/>
        <w:tblW w:w="8520" w:type="dxa"/>
      </w:tblPr>
      <w:tblGrid>
        <w:gridCol w:w="3120"/>
        <w:gridCol w:w="3120"/>
        <w:gridCol w:w="3120"/>
      </w:tblGrid>
      <w:tr>
        <w:trPr>
          <w:trHeight w:val="380" w:hRule="atLeast"/>
        </w:trPr>
        <w:tc>
          <w:tcPr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Module</w:t>
            </w:r>
          </w:p>
        </w:tc>
        <w:tc>
          <w:tcPr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59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ING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Data Ingestion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59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Accepts structured (XLSX, CSV, JSON) and unstructured (PDF, DOCX) documents. Validates schema, extracts entities, and normalises financial data into a canonical internal model.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RVE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Risk Vector Engine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59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Computes quantitative risk vectors across supply chain, geopolitical, financial, operational, and market dimensions. Produces a weighted composite risk profile per applicant.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AUD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AI Assumption Audit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59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Flags AI-generated assumptions in submitted documents, quantifies their uncertainty, and requires human override or source citation for high-impact assumptions.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STS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Stress Test Simulator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59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Runs Monte Carlo and scenario-based stress tests on financial projections, testing resilience to revenue shortfalls, cost overruns, FX shocks, and supply disruptions.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DEC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Scoring &amp; Decision Engine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59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Aggregates risk vectors, financial scores, and stress test outcomes into a composite credit/investment score. Generates a decision recommendation with confidence interval.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RPT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Report Generation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59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Produces structured investment memos, risk summaries, and regulatory-ready credit reports. Supports templating by instrument type and jurisdiction.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TRM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Tranche Release Manager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59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Maps approved funding into milestone-linked tranches. Monitors milestone achievement and triggers or withholds disbursement based on KPI thresholds.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MON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Monitoring &amp; Alerts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59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Provides ongoing surveillance of portfolio companies via connected data feeds. Alerts on covenant breaches, supply chain disruptions, regulatory changes, and financial anomalies.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API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API &amp; Integration Layer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59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RESTful and webhook interfaces for integration with external systems: ERPs, banking platforms, market data providers, and regulatory databases.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ACC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Access Control &amp; Audit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59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Role-based access control (RBAC), full audit trail, data encryption at rest and in transit, and compliance with DPDP Act 2023 and CERT-In Directions 2022.</w:t>
            </w:r>
          </w:p>
        </w:tc>
      </w:tr>
    </w:tbl>
    <w:p>
      <w:pPr>
        <w:keepNext/>
        <w:spacing w:before="280" w:after="80"/>
        <w:pBdr>
          <w:bottom w:val="single" w:sz="4" w:space="2" w:color="2E75B6"/>
        </w:pBdr>
      </w:pPr>
      <w:r>
        <w:rPr>
          <w:rFonts w:ascii="Arial" w:hAnsi="Arial"/>
          <w:b/>
          <w:color w:val="1F487E"/>
          <w:sz w:val="24"/>
        </w:rPr>
        <w:t>1.3  Selected Functional Requirements</w:t>
      </w:r>
    </w:p>
    <w:p>
      <w:pPr>
        <w:spacing w:after="100"/>
      </w:pPr>
      <w:r>
        <w:rPr>
          <w:rFonts w:ascii="Arial" w:hAnsi="Arial"/>
          <w:sz w:val="20"/>
        </w:rPr>
        <w:t>The following table highlights representative functional requirements from each module. The complete set of 56 requirements is maintained in the ECRA Product Specification document.</w:t>
      </w:r>
    </w:p>
    <w:p>
      <w:pPr>
        <w:spacing w:after="80"/>
      </w:pPr>
    </w:p>
    <w:tbl>
      <w:tblPr>
        <w:tblLook w:firstColumn="1" w:firstRow="1" w:lastColumn="0" w:lastRow="0" w:noHBand="0" w:noVBand="1" w:val="04A0"/>
        <w:tblW w:w="8520" w:type="dxa"/>
      </w:tblPr>
      <w:tblGrid>
        <w:gridCol w:w="3120"/>
        <w:gridCol w:w="3120"/>
        <w:gridCol w:w="3120"/>
      </w:tblGrid>
      <w:tr>
        <w:trPr>
          <w:trHeight w:val="380" w:hRule="atLeast"/>
        </w:trPr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FR ID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65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Requirement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FR-ING-001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Must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65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The system shall accept PDF, DOCX, XLSX, CSV, and JSON file formats as primary ingestion sources.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FR-ING-004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Must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65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The system shall extract and normalise P&amp;L, Balance Sheet, and Cash Flow data into a canonical financial model within 60 seconds of upload.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FR-RVE-001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Must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65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The Risk Vector Engine shall compute a Supply-Chain Resilience Score (SCRS) as a weighted composite of six sub-indices: SCI, LDI, SPOF, GDI, LTBI, and SI.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FR-RVE-003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Must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65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The system shall apply export-control penalties (EC ∈ {0, 0.5, 1.0}) to geographic concentration calculations for components sourced from BIS/EAR-controlled jurisdictions.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FR-AUD-002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Should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65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The system shall flag any projected metric that deviates by more than 2σ from sector benchmarks and require a source citation or human override.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FR-STS-001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Must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65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The Stress Test Simulator shall run a minimum of 10,000 Monte Carlo iterations on submitted 5-year financial projections.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FR-DEC-001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Must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65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The Decision Engine shall produce a composite score (0–100) with an investment recommendation: Approve / Conditional Approve / Refer / Decline.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FR-TRM-002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Must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65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Tranche release shall be withheld automatically if a monitored KPI breaches a pre-agreed covenant threshold without board-level override.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FR-MON-001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Must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65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The system shall ingest supply chain index data (GSCPI, BDI) on a monthly automated schedule via configured API endpoints.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FR-API-001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Must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65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All ECRA APIs shall implement OAuth 2.0 authentication and return responses within 2 seconds for 95th percentile requests.</w:t>
            </w:r>
          </w:p>
        </w:tc>
      </w:tr>
    </w:tbl>
    <w:p>
      <w:r>
        <w:br w:type="page"/>
      </w:r>
    </w:p>
    <w:p>
      <w:pPr>
        <w:keepNext/>
        <w:spacing w:before="120" w:after="80"/>
        <w:pBdr>
          <w:bottom w:val="single" w:sz="8" w:space="2" w:color="1F487E"/>
        </w:pBdr>
      </w:pPr>
      <w:r>
        <w:rPr>
          <w:rFonts w:ascii="Arial" w:hAnsi="Arial"/>
          <w:b/>
          <w:color w:val="1F487E"/>
          <w:sz w:val="30"/>
        </w:rPr>
        <w:t xml:space="preserve">PART II  </w:t>
      </w:r>
      <w:r>
        <w:rPr>
          <w:rFonts w:ascii="Arial" w:hAnsi="Arial"/>
          <w:b/>
          <w:color w:val="1F487E"/>
          <w:sz w:val="30"/>
        </w:rPr>
        <w:t>CLOUDROBOTICS CO. — BUSINESS PROFILE</w:t>
      </w:r>
    </w:p>
    <w:p>
      <w:pPr>
        <w:keepNext/>
        <w:spacing w:before="280" w:after="80"/>
        <w:pBdr>
          <w:bottom w:val="single" w:sz="4" w:space="2" w:color="2E75B6"/>
        </w:pBdr>
      </w:pPr>
      <w:r>
        <w:rPr>
          <w:rFonts w:ascii="Arial" w:hAnsi="Arial"/>
          <w:b/>
          <w:color w:val="1F487E"/>
          <w:sz w:val="24"/>
        </w:rPr>
        <w:t>2.1  Company Overview</w:t>
      </w:r>
    </w:p>
    <w:tbl>
      <w:tblPr>
        <w:tblLook w:firstColumn="1" w:firstRow="1" w:lastColumn="0" w:lastRow="0" w:noHBand="0" w:noVBand="1" w:val="04A0"/>
        <w:tblW w:w="8520" w:type="dxa"/>
      </w:tblPr>
      <w:tblGrid>
        <w:gridCol w:w="4680"/>
        <w:gridCol w:w="4680"/>
      </w:tblGrid>
      <w:tr>
        <w:trPr>
          <w:trHeight w:val="380" w:hRule="atLeast"/>
        </w:trPr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Attribute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6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Legal Name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6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CloudRobotics Co. Pvt Ltd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CIN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6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U72900KA2023PTC000001 (illustrative)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Incorporated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6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March 2023, Bengaluru, Karnataka, India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Sector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6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Industrial Automation / Robotics-as-a-Service (RaaS)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Stage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6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Early Stage — Series A fundraise (June 2026)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Geography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6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India (primary); Southeast Asia (Phase 3 expansion)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Registered Office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6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Bengaluru, Karnataka, India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Legal Form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6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Private Limited Company (Companies Act, 2013)</w:t>
            </w:r>
          </w:p>
        </w:tc>
      </w:tr>
    </w:tbl>
    <w:p>
      <w:pPr>
        <w:keepNext/>
        <w:spacing w:before="280" w:after="80"/>
        <w:pBdr>
          <w:bottom w:val="single" w:sz="4" w:space="2" w:color="2E75B6"/>
        </w:pBdr>
      </w:pPr>
      <w:r>
        <w:rPr>
          <w:rFonts w:ascii="Arial" w:hAnsi="Arial"/>
          <w:b/>
          <w:color w:val="1F487E"/>
          <w:sz w:val="24"/>
        </w:rPr>
        <w:t>2.2  Product Description</w:t>
      </w:r>
    </w:p>
    <w:p>
      <w:pPr>
        <w:spacing w:after="100"/>
      </w:pPr>
      <w:r>
        <w:rPr>
          <w:rFonts w:ascii="Arial" w:hAnsi="Arial"/>
          <w:sz w:val="20"/>
        </w:rPr>
        <w:t>CloudRobotics Co. builds a generic, cloud-configurable industrial robot platform. The robot hardware is designed with all components required for multi-modal industrial tasks. Its task profile — the set of operations it performs — is assigned and reconfigured remotely by a plant administrator through the CloudRobotics cloud console.</w:t>
      </w:r>
    </w:p>
    <w:p>
      <w:pPr>
        <w:spacing w:after="100"/>
      </w:pPr>
      <w:r>
        <w:rPr>
          <w:rFonts w:ascii="Arial" w:hAnsi="Arial"/>
          <w:sz w:val="20"/>
        </w:rPr>
        <w:t>This allows a single robot to serve multiple task profiles across a production cycle without physical retooling. During peak automotive body assembly demand, a fleet of robots is configured for assembly. When that cycle ends, the same robots are reconfigured for Inspection &amp; QC. This eliminates the traditional problem of task-specialised robots sitting idle between production phases.</w:t>
      </w:r>
    </w:p>
    <w:p>
      <w:pPr>
        <w:spacing w:after="80"/>
      </w:pPr>
    </w:p>
    <w:tbl>
      <w:tblPr>
        <w:tblLook w:firstColumn="1" w:firstRow="1" w:lastColumn="0" w:lastRow="0" w:noHBand="0" w:noVBand="1" w:val="04A0"/>
        <w:tblW w:w="8520" w:type="dxa"/>
      </w:tblPr>
      <w:tblGrid>
        <w:gridCol w:w="3120"/>
        <w:gridCol w:w="3120"/>
        <w:gridCol w:w="3120"/>
      </w:tblGrid>
      <w:tr>
        <w:trPr>
          <w:trHeight w:val="380" w:hRule="atLeast"/>
        </w:trPr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Task Profile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Application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7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Key Sensors/Tools Used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Body Assembly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Passenger car body welding and joining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7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Welding end-effector, F/T sensor, RGB-D camera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Paint &amp; Surface Preparation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Sanding, primer application, surface finishing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7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Rotary tool end-effector, proximity sensors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Pick &amp; Place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Component pick-and-place, sub-assembly feeding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7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Adaptive gripper, RGB-D camera, load sensor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Inspection &amp; Quality Control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Dimensional inspection, defect detection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7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Structured light sensor, computer vision AI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Material Handling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In-plant logistics, component transportation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7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Omnidirectional mobile base, 2D LiDAR, gripper</w:t>
            </w:r>
          </w:p>
        </w:tc>
      </w:tr>
    </w:tbl>
    <w:p>
      <w:pPr>
        <w:keepNext/>
        <w:spacing w:before="280" w:after="80"/>
        <w:pBdr>
          <w:bottom w:val="single" w:sz="4" w:space="2" w:color="2E75B6"/>
        </w:pBdr>
      </w:pPr>
      <w:r>
        <w:rPr>
          <w:rFonts w:ascii="Arial" w:hAnsi="Arial"/>
          <w:b/>
          <w:color w:val="1F487E"/>
          <w:sz w:val="24"/>
        </w:rPr>
        <w:t>2.3  Ownership Structure &amp; Management</w:t>
      </w:r>
    </w:p>
    <w:tbl>
      <w:tblPr>
        <w:tblLook w:firstColumn="1" w:firstRow="1" w:lastColumn="0" w:lastRow="0" w:noHBand="0" w:noVBand="1" w:val="04A0"/>
        <w:tblW w:w="8520" w:type="dxa"/>
      </w:tblPr>
      <w:tblGrid>
        <w:gridCol w:w="3120"/>
        <w:gridCol w:w="3120"/>
        <w:gridCol w:w="3120"/>
      </w:tblGrid>
      <w:tr>
        <w:trPr>
          <w:trHeight w:val="380" w:hRule="atLeast"/>
        </w:trPr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Stakeholder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Shareholding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42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Arjun Mehta (Co-Founder)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43%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42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Chief Executive Officer — strategy, fundraising, BD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Priya Nair (Co-Founder)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29%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42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Chief Technology Officer — hardware/software architecture, IP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SeedFund Ventures (Seed Investor)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20%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42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Lead Seed Investor — board observer seat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Employee Stock Option Pool (ESOP)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8%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42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Reserved for key hires</w:t>
            </w:r>
          </w:p>
        </w:tc>
      </w:tr>
    </w:tbl>
    <w:p>
      <w:r>
        <w:br w:type="page"/>
      </w:r>
    </w:p>
    <w:p>
      <w:pPr>
        <w:keepNext/>
        <w:spacing w:before="120" w:after="80"/>
        <w:pBdr>
          <w:bottom w:val="single" w:sz="8" w:space="2" w:color="1F487E"/>
        </w:pBdr>
      </w:pPr>
      <w:r>
        <w:rPr>
          <w:rFonts w:ascii="Arial" w:hAnsi="Arial"/>
          <w:b/>
          <w:color w:val="1F487E"/>
          <w:sz w:val="30"/>
        </w:rPr>
        <w:t xml:space="preserve">PART III  </w:t>
      </w:r>
      <w:r>
        <w:rPr>
          <w:rFonts w:ascii="Arial" w:hAnsi="Arial"/>
          <w:b/>
          <w:color w:val="1F487E"/>
          <w:sz w:val="30"/>
        </w:rPr>
        <w:t>BUSINESS PLAN</w:t>
      </w:r>
    </w:p>
    <w:p>
      <w:pPr>
        <w:keepNext/>
        <w:spacing w:before="280" w:after="80"/>
        <w:pBdr>
          <w:bottom w:val="single" w:sz="4" w:space="2" w:color="2E75B6"/>
        </w:pBdr>
      </w:pPr>
      <w:r>
        <w:rPr>
          <w:rFonts w:ascii="Arial" w:hAnsi="Arial"/>
          <w:b/>
          <w:color w:val="1F487E"/>
          <w:sz w:val="24"/>
        </w:rPr>
        <w:t>3.1  Market Opportunity</w:t>
      </w:r>
    </w:p>
    <w:tbl>
      <w:tblPr>
        <w:tblLook w:firstColumn="1" w:firstRow="1" w:lastColumn="0" w:lastRow="0" w:noHBand="0" w:noVBand="1" w:val="04A0"/>
        <w:tblW w:w="8520" w:type="dxa"/>
      </w:tblPr>
      <w:tblGrid>
        <w:gridCol w:w="3120"/>
        <w:gridCol w:w="3120"/>
        <w:gridCol w:w="3120"/>
      </w:tblGrid>
      <w:tr>
        <w:trPr>
          <w:trHeight w:val="380" w:hRule="atLeast"/>
        </w:trPr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Market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Size / CAGR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5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Source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India Industrial Robotics Market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USD 577 Mn (2024) | CAGR 16.8%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5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Grand View Research 2025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Global Industrial Robotics Market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USD 20.76 Bn (2024) | CAGR ~10%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5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IFR World Robotics 2025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Robotics-as-a-Service (RaaS) Global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USD 1.79–1.96 Bn (2024) | CAGR 16–18%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5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EIN Presswire / Mordor Intelligence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India Robot Installations (2024)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9,100 units — record; India ranked 6th globally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5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IFR World Robotics 2025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India Automotive Market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USD 137 Bn (2025)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5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Mordor Intelligence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Automotive Share of India Robot Installations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~45% of total India installs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5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IFR 2025</w:t>
            </w:r>
          </w:p>
        </w:tc>
      </w:tr>
    </w:tbl>
    <w:p>
      <w:pPr>
        <w:keepNext/>
        <w:spacing w:before="280" w:after="80"/>
        <w:pBdr>
          <w:bottom w:val="single" w:sz="4" w:space="2" w:color="2E75B6"/>
        </w:pBdr>
      </w:pPr>
      <w:r>
        <w:rPr>
          <w:rFonts w:ascii="Arial" w:hAnsi="Arial"/>
          <w:b/>
          <w:color w:val="1F487E"/>
          <w:sz w:val="24"/>
        </w:rPr>
        <w:t>3.2  Revenue Model</w:t>
      </w:r>
    </w:p>
    <w:tbl>
      <w:tblPr>
        <w:tblLook w:firstColumn="1" w:firstRow="1" w:lastColumn="0" w:lastRow="0" w:noHBand="0" w:noVBand="1" w:val="04A0"/>
        <w:tblW w:w="8520" w:type="dxa"/>
      </w:tblPr>
      <w:tblGrid>
        <w:gridCol w:w="2340"/>
        <w:gridCol w:w="2340"/>
        <w:gridCol w:w="2340"/>
        <w:gridCol w:w="2340"/>
      </w:tblGrid>
      <w:tr>
        <w:trPr>
          <w:trHeight w:val="380" w:hRule="atLeast"/>
        </w:trPr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Stream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Price Point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Gross Margin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6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Hardware Sales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INR 18 L / robot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35%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6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One-time sale of robot unit to customer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RaaS Subscription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INR 1.8 L / robot / month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72%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6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Monthly fee per robot under management; includes OTA updates, platform access, support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Platform Licence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INR 8 L / plant / year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85%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6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Annual SaaS licence for cloud console, analytics, and API integrations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Marketplace Commission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Variable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90%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6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Commission on third-party task profiles and add-ons sold through platform marketplace</w:t>
            </w:r>
          </w:p>
        </w:tc>
      </w:tr>
    </w:tbl>
    <w:p>
      <w:pPr>
        <w:spacing w:after="100"/>
      </w:pPr>
      <w:r>
        <w:rPr>
          <w:rFonts w:ascii="Arial" w:hAnsi="Arial"/>
          <w:b/>
          <w:sz w:val="20"/>
        </w:rPr>
        <w:t xml:space="preserve">LTV:CAC Ratio: </w:t>
      </w:r>
      <w:r>
        <w:rPr>
          <w:rFonts w:ascii="Arial" w:hAnsi="Arial"/>
          <w:sz w:val="20"/>
        </w:rPr>
        <w:t>19:1 — LTV INR 86.4 Lakhs per customer (24-month RaaS + platform licence); CAC INR 4.5 Lakhs (direct sales + SE cost per customer).</w:t>
      </w:r>
    </w:p>
    <w:p>
      <w:pPr>
        <w:spacing w:after="100"/>
      </w:pPr>
      <w:r>
        <w:rPr>
          <w:rFonts w:ascii="Arial" w:hAnsi="Arial"/>
          <w:b/>
          <w:sz w:val="20"/>
        </w:rPr>
        <w:t xml:space="preserve">EBITDA Breakeven: </w:t>
      </w:r>
      <w:r>
        <w:rPr>
          <w:rFonts w:ascii="Arial" w:hAnsi="Arial"/>
          <w:sz w:val="20"/>
        </w:rPr>
        <w:t>Q3 FY2028 at approximately INR 30 Crore annual revenue run rate.</w:t>
      </w:r>
    </w:p>
    <w:p>
      <w:pPr>
        <w:keepNext/>
        <w:spacing w:before="280" w:after="80"/>
        <w:pBdr>
          <w:bottom w:val="single" w:sz="4" w:space="2" w:color="2E75B6"/>
        </w:pBdr>
      </w:pPr>
      <w:r>
        <w:rPr>
          <w:rFonts w:ascii="Arial" w:hAnsi="Arial"/>
          <w:b/>
          <w:color w:val="1F487E"/>
          <w:sz w:val="24"/>
        </w:rPr>
        <w:t>3.3  Five-Year Financial Projections</w:t>
      </w:r>
    </w:p>
    <w:tbl>
      <w:tblPr>
        <w:tblLook w:firstColumn="1" w:firstRow="1" w:lastColumn="0" w:lastRow="0" w:noHBand="0" w:noVBand="1" w:val="04A0"/>
        <w:tblW w:w="84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val="380" w:hRule="atLeast"/>
        </w:trPr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Metric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FY2023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FY2024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FY2025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FY2026</w:t>
              <w:br/>
              <w:t>(Actuals)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6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FY2027E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Revenue (INR Cr)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0.0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0.3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1.2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2.5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6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8.0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Gross Profit (INR Cr)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0.0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0.1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0.5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1.1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6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4.0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Gross Margin (%)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33%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42%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44%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6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50%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EBITDA (INR Cr)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(0.5)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(1.8)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(4.2)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(7.5)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6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(6.0)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PAT (INR Cr)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(0.5)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(1.9)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(4.5)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(8.0)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6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(6.5)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Cash (INR Cr, closing)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1.0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3.5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1.8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24.3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6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17.8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Robots Deployed (cumulative)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25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6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75</w:t>
            </w:r>
          </w:p>
        </w:tc>
      </w:tr>
    </w:tbl>
    <w:p>
      <w:pPr>
        <w:spacing w:after="160"/>
      </w:pPr>
      <w:r>
        <w:rPr>
          <w:rFonts w:ascii="Arial" w:hAnsi="Arial"/>
          <w:i/>
          <w:color w:val="595959"/>
          <w:sz w:val="18"/>
        </w:rPr>
        <w:t>Note: FY2023–FY2025 = audited actuals. FY2026 = unaudited actuals (FY ended 31 March 2026). FY2027E = projection. All INR Crore.</w:t>
      </w:r>
    </w:p>
    <w:p>
      <w:pPr>
        <w:keepNext/>
        <w:spacing w:before="280" w:after="80"/>
        <w:pBdr>
          <w:bottom w:val="single" w:sz="4" w:space="2" w:color="2E75B6"/>
        </w:pBdr>
      </w:pPr>
      <w:r>
        <w:rPr>
          <w:rFonts w:ascii="Arial" w:hAnsi="Arial"/>
          <w:b/>
          <w:color w:val="1F487E"/>
          <w:sz w:val="24"/>
        </w:rPr>
        <w:t>3.4  Capital Requirements &amp; Use of Proceeds</w:t>
      </w:r>
    </w:p>
    <w:p>
      <w:pPr>
        <w:spacing w:after="100"/>
      </w:pPr>
      <w:r>
        <w:rPr>
          <w:rFonts w:ascii="Arial" w:hAnsi="Arial"/>
          <w:b/>
          <w:sz w:val="20"/>
        </w:rPr>
        <w:t xml:space="preserve">Series A Ask: </w:t>
      </w:r>
      <w:r>
        <w:rPr>
          <w:rFonts w:ascii="Arial" w:hAnsi="Arial"/>
          <w:sz w:val="20"/>
        </w:rPr>
        <w:t>INR 30 Crore at pre-money valuation INR 120 Crore (implied post-money INR 150 Crore).</w:t>
      </w:r>
    </w:p>
    <w:p>
      <w:pPr>
        <w:spacing w:after="80"/>
      </w:pPr>
    </w:p>
    <w:tbl>
      <w:tblPr>
        <w:tblLook w:firstColumn="1" w:firstRow="1" w:lastColumn="0" w:lastRow="0" w:noHBand="0" w:noVBand="1" w:val="04A0"/>
        <w:tblW w:w="8520" w:type="dxa"/>
      </w:tblPr>
      <w:tblGrid>
        <w:gridCol w:w="2340"/>
        <w:gridCol w:w="2340"/>
        <w:gridCol w:w="2340"/>
        <w:gridCol w:w="2340"/>
      </w:tblGrid>
      <w:tr>
        <w:trPr>
          <w:trHeight w:val="380" w:hRule="atLeast"/>
        </w:trPr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Use of Proceeds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Amount (INR Cr)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% of Raise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Rationale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R&amp;D — Hardware &amp; Software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10.0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33%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Complete Phases 1 &amp; 2 product; qualify alternate suppliers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Manufacturing Scale-up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8.0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27%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CM partner tooling, buffer stock, ESD infrastructure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Sales &amp; Marketing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7.0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23%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4 enterprise sales reps, pre-sales, trade shows, pilots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Working Capital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3.0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10%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Receivables bridge for RaaS subscription ramp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G&amp;A / Legal / Compliance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2.0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7%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ISO 10218, IATF 16949, SOC 2 certification budget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TOTAL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30.0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100%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</w:tbl>
    <w:p>
      <w:pPr>
        <w:keepNext/>
        <w:spacing w:before="280" w:after="80"/>
        <w:pBdr>
          <w:bottom w:val="single" w:sz="4" w:space="2" w:color="2E75B6"/>
        </w:pBdr>
      </w:pPr>
      <w:r>
        <w:rPr>
          <w:rFonts w:ascii="Arial" w:hAnsi="Arial"/>
          <w:b/>
          <w:color w:val="1F487E"/>
          <w:sz w:val="24"/>
        </w:rPr>
        <w:t>3.5  Exit Scenarios</w:t>
      </w:r>
    </w:p>
    <w:tbl>
      <w:tblPr>
        <w:tblLook w:firstColumn="1" w:firstRow="1" w:lastColumn="0" w:lastRow="0" w:noHBand="0" w:noVBand="1" w:val="04A0"/>
        <w:tblW w:w="1002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val="380" w:hRule="atLeast"/>
        </w:trPr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Scenario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Exit Year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Revenue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EBITDA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EV Multiple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Valuation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4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IRR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Conservative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FY2030 (4yr)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INR 80 Cr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INR 12 Cr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4.25× EV/Rev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INR 340 Cr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4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~40%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Base Case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FY2030 (4yr)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INR 120 Cr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INR 28 Cr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8.0× EV/Rev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INR 960 Cr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4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~55%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Upside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FY2030 (4yr)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INR 160 Cr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INR 52 Cr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17.5× EV/Rev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INR 2,800 Cr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4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~75%</w:t>
            </w:r>
          </w:p>
        </w:tc>
      </w:tr>
    </w:tbl>
    <w:p>
      <w:r>
        <w:br w:type="page"/>
      </w:r>
    </w:p>
    <w:p>
      <w:pPr>
        <w:keepNext/>
        <w:spacing w:before="120" w:after="80"/>
        <w:pBdr>
          <w:bottom w:val="single" w:sz="8" w:space="2" w:color="1F487E"/>
        </w:pBdr>
      </w:pPr>
      <w:r>
        <w:rPr>
          <w:rFonts w:ascii="Arial" w:hAnsi="Arial"/>
          <w:b/>
          <w:color w:val="1F487E"/>
          <w:sz w:val="30"/>
        </w:rPr>
        <w:t xml:space="preserve">PART IV  </w:t>
      </w:r>
      <w:r>
        <w:rPr>
          <w:rFonts w:ascii="Arial" w:hAnsi="Arial"/>
          <w:b/>
          <w:color w:val="1F487E"/>
          <w:sz w:val="30"/>
        </w:rPr>
        <w:t>FINANCIAL STATEMENTS — SUMMARY</w:t>
      </w:r>
    </w:p>
    <w:p>
      <w:pPr>
        <w:keepNext/>
        <w:spacing w:before="280" w:after="80"/>
        <w:pBdr>
          <w:bottom w:val="single" w:sz="4" w:space="2" w:color="2E75B6"/>
        </w:pBdr>
      </w:pPr>
      <w:r>
        <w:rPr>
          <w:rFonts w:ascii="Arial" w:hAnsi="Arial"/>
          <w:b/>
          <w:color w:val="1F487E"/>
          <w:sz w:val="24"/>
        </w:rPr>
        <w:t>4.1  Profit &amp; Loss Statement (INR Lakhs)</w:t>
      </w:r>
    </w:p>
    <w:tbl>
      <w:tblPr>
        <w:tblLook w:firstColumn="1" w:firstRow="1" w:lastColumn="0" w:lastRow="0" w:noHBand="0" w:noVBand="1" w:val="04A0"/>
        <w:tblW w:w="85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val="380" w:hRule="atLeast"/>
        </w:trPr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Line Item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FY2023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FY2024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FY2025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FY2026</w:t>
              <w:br/>
              <w:t>(Unaudited)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7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FY2027E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Hardware Revenue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15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60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100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7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240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RaaS Revenue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18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65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7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260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Platform Licence Revenue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15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42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85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7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300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Total Revenue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30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120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250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7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800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Cost of Goods Sold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(20)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(70)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(140)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7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(400)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Gross Profit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50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110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7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400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Gross Margin %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33%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42%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44%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7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50%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Total Operating Expenses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(50)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(190)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(490)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(860)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7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(1,000)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EBITDA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(50)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(180)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(440)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(750)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7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(600)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Depreciation &amp; Amortisation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(5)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(10)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(20)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(35)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7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(55)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EBIT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(55)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(190)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(460)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(785)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7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(655)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PAT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(55)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(190)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(465)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(800)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7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(655)</w:t>
            </w:r>
          </w:p>
        </w:tc>
      </w:tr>
    </w:tbl>
    <w:p>
      <w:pPr>
        <w:keepNext/>
        <w:spacing w:before="280" w:after="80"/>
        <w:pBdr>
          <w:bottom w:val="single" w:sz="4" w:space="2" w:color="2E75B6"/>
        </w:pBdr>
      </w:pPr>
      <w:r>
        <w:rPr>
          <w:rFonts w:ascii="Arial" w:hAnsi="Arial"/>
          <w:b/>
          <w:color w:val="1F487E"/>
          <w:sz w:val="24"/>
        </w:rPr>
        <w:t>4.2  Balance Sheet Highlights (INR Lakhs, as at 31 March)</w:t>
      </w:r>
    </w:p>
    <w:tbl>
      <w:tblPr>
        <w:tblLook w:firstColumn="1" w:firstRow="1" w:lastColumn="0" w:lastRow="0" w:noHBand="0" w:noVBand="1" w:val="04A0"/>
        <w:tblW w:w="752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val="380" w:hRule="atLeast"/>
        </w:trPr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FY2024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FY2025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FY2026</w:t>
              <w:br/>
              <w:t>(Unaudited)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FY2027E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Cash &amp; Bank Balances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350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180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2,430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1,780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Accounts Receivable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20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60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150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320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Inventory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30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90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180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380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Total Current Assets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410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350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2,820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2,570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Fixed Assets (Net)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80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170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290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380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Total Assets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510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540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3,150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3,000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Accounts Payable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40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80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120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200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Total Current Liabilities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80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160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220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350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Share Capital + Premium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900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1,200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3,800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3,800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Retained Earnings / (Deficit)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(475)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(840)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(890)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(1,155)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Total Equity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425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380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2,910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2,645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Balance Check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✓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✓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✓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✓</w:t>
            </w:r>
          </w:p>
        </w:tc>
      </w:tr>
    </w:tbl>
    <w:p>
      <w:pPr>
        <w:keepNext/>
        <w:spacing w:before="280" w:after="80"/>
        <w:pBdr>
          <w:bottom w:val="single" w:sz="4" w:space="2" w:color="2E75B6"/>
        </w:pBdr>
      </w:pPr>
      <w:r>
        <w:rPr>
          <w:rFonts w:ascii="Arial" w:hAnsi="Arial"/>
          <w:b/>
          <w:color w:val="1F487E"/>
          <w:sz w:val="24"/>
        </w:rPr>
        <w:t>4.3  Key Financial Ratios</w:t>
      </w:r>
    </w:p>
    <w:tbl>
      <w:tblPr>
        <w:tblLook w:firstColumn="1" w:firstRow="1" w:lastColumn="0" w:lastRow="0" w:noHBand="0" w:noVBand="1" w:val="04A0"/>
        <w:tblW w:w="752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val="380" w:hRule="atLeast"/>
        </w:trPr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Ratio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FY2024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FY2025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FY2026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FY2027E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Current Ratio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5.1×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2.2×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12.8×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7.3×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Cash Runway (months)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22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5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38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27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Gross Margin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33%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42%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44%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50%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EBITDA Margin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(600%)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(367%)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(300%)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(75%)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D/E Ratio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0.19×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0.42×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0.08×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0.13×</w:t>
            </w:r>
          </w:p>
        </w:tc>
      </w:tr>
    </w:tbl>
    <w:p>
      <w:pPr>
        <w:spacing w:after="160"/>
      </w:pPr>
      <w:r>
        <w:rPr>
          <w:rFonts w:ascii="Arial" w:hAnsi="Arial"/>
          <w:i/>
          <w:color w:val="595959"/>
          <w:sz w:val="18"/>
        </w:rPr>
        <w:t>Note: All figures in INR Lakhs. FY = April–March. Revenue and cost figures are illustrative model outputs based on the business plan assumptions.</w:t>
      </w:r>
    </w:p>
    <w:p>
      <w:r>
        <w:br w:type="page"/>
      </w:r>
    </w:p>
    <w:p>
      <w:pPr>
        <w:keepNext/>
        <w:spacing w:before="120" w:after="80"/>
        <w:pBdr>
          <w:bottom w:val="single" w:sz="8" w:space="2" w:color="1F487E"/>
        </w:pBdr>
      </w:pPr>
      <w:r>
        <w:rPr>
          <w:rFonts w:ascii="Arial" w:hAnsi="Arial"/>
          <w:b/>
          <w:color w:val="1F487E"/>
          <w:sz w:val="30"/>
        </w:rPr>
        <w:t xml:space="preserve">PART V  </w:t>
      </w:r>
      <w:r>
        <w:rPr>
          <w:rFonts w:ascii="Arial" w:hAnsi="Arial"/>
          <w:b/>
          <w:color w:val="1F487E"/>
          <w:sz w:val="30"/>
        </w:rPr>
        <w:t>RESOURCE DECOMPOSITION</w:t>
      </w:r>
    </w:p>
    <w:p>
      <w:pPr>
        <w:keepNext/>
        <w:spacing w:before="280" w:after="80"/>
        <w:pBdr>
          <w:bottom w:val="single" w:sz="4" w:space="2" w:color="2E75B6"/>
        </w:pBdr>
      </w:pPr>
      <w:r>
        <w:rPr>
          <w:rFonts w:ascii="Arial" w:hAnsi="Arial"/>
          <w:b/>
          <w:color w:val="1F487E"/>
          <w:sz w:val="24"/>
        </w:rPr>
        <w:t>5.1  Overview</w:t>
      </w:r>
    </w:p>
    <w:p>
      <w:pPr>
        <w:spacing w:after="100"/>
      </w:pPr>
      <w:r>
        <w:rPr>
          <w:rFonts w:ascii="Arial" w:hAnsi="Arial"/>
          <w:sz w:val="20"/>
        </w:rPr>
        <w:t>The Resource Decomposition breaks all inputs required to build and operate CloudRobotics into three categories — Hardware, Software, and Human Capital — with each item assessed for risk level, lead time, source country, and supply concentration. The Risk Mapping Summary sheet is the primary ECRA ingestion point.</w:t>
      </w:r>
    </w:p>
    <w:tbl>
      <w:tblPr>
        <w:tblLook w:firstColumn="1" w:firstRow="1" w:lastColumn="0" w:lastRow="0" w:noHBand="0" w:noVBand="1" w:val="04A0"/>
        <w:tblW w:w="8520" w:type="dxa"/>
      </w:tblPr>
      <w:tblGrid>
        <w:gridCol w:w="2340"/>
        <w:gridCol w:w="2340"/>
        <w:gridCol w:w="2340"/>
        <w:gridCol w:w="2340"/>
      </w:tblGrid>
      <w:tr>
        <w:trPr>
          <w:trHeight w:val="380" w:hRule="atLeast"/>
        </w:trPr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Items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Total Cost (INR L)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7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Focus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Hardware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25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637.5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7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Supply chain, geopolitics, lead time, export controls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Software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27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~243 (one-time build) + 55/yr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7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Vendor lock-in, export control, data risk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Human Capital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33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~573/yr (fully loaded CTC)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7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Talent scarcity, key person risk, retention</w:t>
            </w:r>
          </w:p>
        </w:tc>
      </w:tr>
    </w:tbl>
    <w:p>
      <w:pPr>
        <w:keepNext/>
        <w:spacing w:before="280" w:after="80"/>
        <w:pBdr>
          <w:bottom w:val="single" w:sz="4" w:space="2" w:color="2E75B6"/>
        </w:pBdr>
      </w:pPr>
      <w:r>
        <w:rPr>
          <w:rFonts w:ascii="Arial" w:hAnsi="Arial"/>
          <w:b/>
          <w:color w:val="1F487E"/>
          <w:sz w:val="24"/>
        </w:rPr>
        <w:t>5.2  Hardware — Key Items</w:t>
      </w:r>
    </w:p>
    <w:tbl>
      <w:tblPr>
        <w:tblLook w:firstColumn="1" w:firstRow="1" w:lastColumn="0" w:lastRow="0" w:noHBand="0" w:noVBand="1" w:val="04A0"/>
        <w:tblW w:w="85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val="380" w:hRule="atLeast"/>
        </w:trPr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Resource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Cost</w:t>
              <w:br/>
              <w:t>(INR L)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Country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HW-001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6-DOF Robotic Arm (75 units)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240.0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India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7F6000"/>
                <w:sz w:val="18"/>
              </w:rPr>
              <w:t>Medium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Single domestic source. Largest spend item (37.6% of HW budget). Qualify second vendor by Q3 FY2027.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HW-006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RGB-D Camera — RealSense D435i (150 units)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33.0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USA/Taiwan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C00000"/>
                <w:sz w:val="18"/>
              </w:rPr>
              <w:t>High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US-origin. Export controlled. 10-week LT. Evaluate Sony IMX alternative. 12-unit buffer recommended.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HW-007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Structured Light Sensor — SICK (40 units)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34.0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Germany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7F6000"/>
                <w:sz w:val="18"/>
              </w:rPr>
              <w:t>Medium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12-week LT. Buffer 10 units. Evaluate Photoneo/Cognex alternatives.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HW-008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F/T Sensor 6-axis — ATI (75 units)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41.3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USA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C00000"/>
                <w:sz w:val="18"/>
              </w:rPr>
              <w:t>High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SOLE SOURCE. Export controlled. 10-week LT. No qualified substitute. Critical SPOF.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HW-011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Edge Compute — NVIDIA Jetson AGX Orin (75 units)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71.3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USA/Taiwan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C00000"/>
                <w:sz w:val="18"/>
              </w:rPr>
              <w:t>High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SOLE SOURCE. 14–16 week LT. US origin. Critical SPOF. Maintain 20-unit buffer. Evaluate Qualcomm RB6.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HW-019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Robotic Testing Rig (1 unit)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18.0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India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7F6000"/>
                <w:sz w:val="18"/>
              </w:rPr>
              <w:t>Medium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Custom fabrication. 16-week LT (longest in BOM). Critical path. Order placed Q1 FY2027.</w:t>
            </w:r>
          </w:p>
        </w:tc>
      </w:tr>
    </w:tbl>
    <w:p>
      <w:pPr>
        <w:keepNext/>
        <w:spacing w:before="280" w:after="80"/>
        <w:pBdr>
          <w:bottom w:val="single" w:sz="4" w:space="2" w:color="2E75B6"/>
        </w:pBdr>
      </w:pPr>
      <w:r>
        <w:rPr>
          <w:rFonts w:ascii="Arial" w:hAnsi="Arial"/>
          <w:b/>
          <w:color w:val="1F487E"/>
          <w:sz w:val="24"/>
        </w:rPr>
        <w:t>5.3  Software — Key Items</w:t>
      </w:r>
    </w:p>
    <w:tbl>
      <w:tblPr>
        <w:tblLook w:firstColumn="1" w:firstRow="1" w:lastColumn="0" w:lastRow="0" w:noHBand="0" w:noVBand="1" w:val="04A0"/>
        <w:tblW w:w="85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val="380" w:hRule="atLeast"/>
        </w:trPr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Resource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Cost (INR L)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Origin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7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SW-001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Cloud Control Platform (custom build)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120.0 (build)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India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375623"/>
                <w:sz w:val="18"/>
              </w:rPr>
              <w:t>Low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7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In-house React + Python/Node.js. Key dependency: engineering team.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SW-002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AWS Cloud Infrastructure (annual)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18.0/yr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USA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7F6000"/>
                <w:sz w:val="18"/>
              </w:rPr>
              <w:t>Medium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7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Single cloud provider. Mitigate via IaC (Terraform) for Azure/GCP portability.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SW-009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Custom Edge Firmware (OTA-updateable)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35.0 (build)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India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375623"/>
                <w:sz w:val="18"/>
              </w:rPr>
              <w:t>Low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7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IP owned by company. Critical path. 8-month build timeline.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SW-012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Computer Vision Inference Engine (build)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28.0 (build)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India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7F6000"/>
                <w:sz w:val="18"/>
              </w:rPr>
              <w:t>Medium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7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Dataset dependency on pilot customer. Synthetic data augmentation required.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SW-016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Hardware Security Module (AWS CloudHSM)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4.5/yr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USA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7F6000"/>
                <w:sz w:val="18"/>
              </w:rPr>
              <w:t>Medium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7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AWS-proprietary. Evaluate Thales Luna as vendor-neutral option.</w:t>
            </w:r>
          </w:p>
        </w:tc>
      </w:tr>
    </w:tbl>
    <w:p>
      <w:pPr>
        <w:keepNext/>
        <w:spacing w:before="280" w:after="80"/>
        <w:pBdr>
          <w:bottom w:val="single" w:sz="4" w:space="2" w:color="2E75B6"/>
        </w:pBdr>
      </w:pPr>
      <w:r>
        <w:rPr>
          <w:rFonts w:ascii="Arial" w:hAnsi="Arial"/>
          <w:b/>
          <w:color w:val="1F487E"/>
          <w:sz w:val="24"/>
        </w:rPr>
        <w:t>5.4  Human Capital — High-Risk Roles</w:t>
      </w:r>
    </w:p>
    <w:tbl>
      <w:tblPr>
        <w:tblLook w:firstColumn="1" w:firstRow="1" w:lastColumn="0" w:lastRow="0" w:noHBand="0" w:noVBand="1" w:val="04A0"/>
        <w:tblW w:w="852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val="380" w:hRule="atLeast"/>
        </w:trPr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CTC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4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Mitigation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HC-015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Senior AI/ML Engineer — Computer Vision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24 L/yr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C00000"/>
                <w:sz w:val="18"/>
              </w:rPr>
              <w:t>High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4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Scarce globally. CV + robotics intersection. ESOP critical. Target IISc/IIT research labs.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HC-016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ML Engineer — Task Switching &amp; Predictive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20 L/yr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C00000"/>
                <w:sz w:val="18"/>
              </w:rPr>
              <w:t>High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4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RL for robotics is niche globally. IIT Bombay Robotics Lab collaboration recommended.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HC-012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Embedded Systems / Firmware Engineer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16 L/yr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7F6000"/>
                <w:sz w:val="18"/>
              </w:rPr>
              <w:t>Medium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4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Embedded Linux + ROS2 combination scarce in India. 4-month search budget required.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HC-010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Senior Cloud Platform Engineer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20 L/yr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7F6000"/>
                <w:sz w:val="18"/>
              </w:rPr>
              <w:t>Medium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4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High Bengaluru demand. ESOP + flexible remote policy required.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HC-001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CEO (Co-Founder)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7F6000"/>
                <w:sz w:val="18"/>
              </w:rPr>
              <w:t>Medium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4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Key person risk. Mitigate via documented strategy and VP-level hires.</w:t>
            </w:r>
          </w:p>
        </w:tc>
      </w:tr>
    </w:tbl>
    <w:p>
      <w:r>
        <w:br w:type="page"/>
      </w:r>
    </w:p>
    <w:p>
      <w:pPr>
        <w:keepNext/>
        <w:spacing w:before="120" w:after="80"/>
        <w:pBdr>
          <w:bottom w:val="single" w:sz="8" w:space="2" w:color="1F487E"/>
        </w:pBdr>
      </w:pPr>
      <w:r>
        <w:rPr>
          <w:rFonts w:ascii="Arial" w:hAnsi="Arial"/>
          <w:b/>
          <w:color w:val="1F487E"/>
          <w:sz w:val="30"/>
        </w:rPr>
        <w:t xml:space="preserve">PART VI  </w:t>
      </w:r>
      <w:r>
        <w:rPr>
          <w:rFonts w:ascii="Arial" w:hAnsi="Arial"/>
          <w:b/>
          <w:color w:val="1F487E"/>
          <w:sz w:val="30"/>
        </w:rPr>
        <w:t>EXTERNAL INDICATORS REGISTER</w:t>
      </w:r>
    </w:p>
    <w:p>
      <w:pPr>
        <w:keepNext/>
        <w:spacing w:before="280" w:after="80"/>
        <w:pBdr>
          <w:bottom w:val="single" w:sz="4" w:space="2" w:color="2E75B6"/>
        </w:pBdr>
      </w:pPr>
      <w:r>
        <w:rPr>
          <w:rFonts w:ascii="Arial" w:hAnsi="Arial"/>
          <w:b/>
          <w:color w:val="1F487E"/>
          <w:sz w:val="24"/>
        </w:rPr>
        <w:t>6.1  Overview</w:t>
      </w:r>
    </w:p>
    <w:p>
      <w:pPr>
        <w:spacing w:after="100"/>
      </w:pPr>
      <w:r>
        <w:rPr>
          <w:rFonts w:ascii="Arial" w:hAnsi="Arial"/>
          <w:sz w:val="20"/>
        </w:rPr>
        <w:t>The Indicators Register catalogues 53 external indicators across five categories relevant to CloudRobotics' operating environment. All data was sourced from verified real-world sources as of June 2026. Where data was not publicly available, entries are explicitly marked 'Not Available' — no data was estimated or hallucinated.</w:t>
      </w:r>
    </w:p>
    <w:p>
      <w:pPr>
        <w:spacing w:after="100"/>
      </w:pPr>
      <w:r>
        <w:rPr>
          <w:rFonts w:ascii="Arial" w:hAnsi="Arial"/>
          <w:sz w:val="20"/>
        </w:rPr>
        <w:t>All indicators are mapped to ECRA Risk Vectors and assessed for their relevance to CloudRobotics' business and supply chain.</w:t>
      </w:r>
    </w:p>
    <w:p>
      <w:pPr>
        <w:keepNext/>
        <w:spacing w:before="280" w:after="80"/>
        <w:pBdr>
          <w:bottom w:val="single" w:sz="4" w:space="2" w:color="2E75B6"/>
        </w:pBdr>
      </w:pPr>
      <w:r>
        <w:rPr>
          <w:rFonts w:ascii="Arial" w:hAnsi="Arial"/>
          <w:b/>
          <w:color w:val="1F487E"/>
          <w:sz w:val="24"/>
        </w:rPr>
        <w:t>6.2  Macroeconomic Indicators (12 items)</w:t>
      </w:r>
    </w:p>
    <w:tbl>
      <w:tblPr>
        <w:tblLook w:firstColumn="1" w:firstRow="1" w:lastColumn="0" w:lastRow="0" w:noHBand="0" w:noVBand="1" w:val="04A0"/>
        <w:tblW w:w="8520" w:type="dxa"/>
      </w:tblPr>
      <w:tblGrid>
        <w:gridCol w:w="2340"/>
        <w:gridCol w:w="2340"/>
        <w:gridCol w:w="2340"/>
        <w:gridCol w:w="2340"/>
      </w:tblGrid>
      <w:tr>
        <w:trPr>
          <w:trHeight w:val="380" w:hRule="atLeast"/>
        </w:trPr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Indicator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ECRA Risk Vector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India GDP Growth Rate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6.6%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FY2026-27 (RBI Jun 2026)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Market / Demand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RBI Policy Repo Rate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5.25% (held)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June 2026 MPC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Financial / Cost of Capital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CPI Inflation (projected)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4.2% Q1 FY2026-27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RBI Jun 2026 forecast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Operational / Input Costs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Manufacturing PMI (India)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54.5 (expansionary)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June 2026 (S&amp;P Global)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Market / Demand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FDI Inflows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USD 58.85 Bn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FY2025-26 (DPIIT)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Investment Climate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USD / INR Exchange Rate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~INR 86–90 / USD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June 2026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Supply Chain / Currency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Corporate Tax Rate (new mfg.)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15% (concessional)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AY2026-27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Financial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PLI Scheme Disbursements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INR 22,919 Cr (electronics)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FY2025-26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Policy / Subsidy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Unemployment Rate (India)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5.5%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May 2026 (CMIE)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Human Capital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India Sovereign Credit Rating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Baa3 / BBB- (stable)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Moody's / S&amp;P 2025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Credit / Systemic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10-year G-Sec Yield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~7.0%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June 2026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Financial / Discount Rate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India–US Trade Relationship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Elevated tension (tariffs)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2025-26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Geopolitical / Supply Chain</w:t>
            </w:r>
          </w:p>
        </w:tc>
      </w:tr>
    </w:tbl>
    <w:p>
      <w:pPr>
        <w:keepNext/>
        <w:spacing w:before="280" w:after="80"/>
        <w:pBdr>
          <w:bottom w:val="single" w:sz="4" w:space="2" w:color="2E75B6"/>
        </w:pBdr>
      </w:pPr>
      <w:r>
        <w:rPr>
          <w:rFonts w:ascii="Arial" w:hAnsi="Arial"/>
          <w:b/>
          <w:color w:val="1F487E"/>
          <w:sz w:val="24"/>
        </w:rPr>
        <w:t>6.3  Sector &amp; Micro Indicators (11 items)</w:t>
      </w:r>
    </w:p>
    <w:tbl>
      <w:tblPr>
        <w:tblLook w:firstColumn="1" w:firstRow="1" w:lastColumn="0" w:lastRow="0" w:noHBand="0" w:noVBand="1" w:val="04A0"/>
        <w:tblW w:w="8520" w:type="dxa"/>
      </w:tblPr>
      <w:tblGrid>
        <w:gridCol w:w="2340"/>
        <w:gridCol w:w="2340"/>
        <w:gridCol w:w="2340"/>
        <w:gridCol w:w="2340"/>
      </w:tblGrid>
      <w:tr>
        <w:trPr>
          <w:trHeight w:val="380" w:hRule="atLeast"/>
        </w:trPr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Indicator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Source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Global Robot Installations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542,000 units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2024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IFR World Robotics 2025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Global Operational Robot Stock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4.66 million units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2024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IFR World Robotics 2025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Global Robotics Market Value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USD 20.76 Bn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2024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IFR / Statzon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India Robot Installations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9,100 units (record)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2024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IFR World Robotics 2025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India Global Rank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6th globally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2024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IFR World Robotics 2025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India Robotics Market Size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USD 577 Mn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2024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Grand View Research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India Robotics CAGR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16.8%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2024–2030E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Grand View Research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RaaS Market (Global)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USD 1.79–1.96 Bn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2024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EIN Presswire / Mordor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RaaS CAGR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16–18%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2024–2034E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Multiple sources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Automotive Share of India Installs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~45%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2024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IFR 2025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India Automotive Market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USD 137 Bn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2025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Mordor Intelligence</w:t>
            </w:r>
          </w:p>
        </w:tc>
      </w:tr>
    </w:tbl>
    <w:p>
      <w:pPr>
        <w:keepNext/>
        <w:spacing w:before="280" w:after="80"/>
        <w:pBdr>
          <w:bottom w:val="single" w:sz="4" w:space="2" w:color="2E75B6"/>
        </w:pBdr>
      </w:pPr>
      <w:r>
        <w:rPr>
          <w:rFonts w:ascii="Arial" w:hAnsi="Arial"/>
          <w:b/>
          <w:color w:val="1F487E"/>
          <w:sz w:val="24"/>
        </w:rPr>
        <w:t>6.4  ESG Ratings &amp; Frameworks</w:t>
      </w:r>
    </w:p>
    <w:tbl>
      <w:tblPr>
        <w:tblLook w:firstColumn="1" w:firstRow="1" w:lastColumn="0" w:lastRow="0" w:noHBand="0" w:noVBand="1" w:val="04A0"/>
        <w:tblW w:w="8520" w:type="dxa"/>
      </w:tblPr>
      <w:tblGrid>
        <w:gridCol w:w="3120"/>
        <w:gridCol w:w="3120"/>
        <w:gridCol w:w="3120"/>
      </w:tblGrid>
      <w:tr>
        <w:trPr>
          <w:trHeight w:val="380" w:hRule="atLeast"/>
        </w:trPr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Framework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9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Applicability to CloudRobotics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SEBI BRSR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9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Not mandatory (unlisted company)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Voluntary — prepare for IPO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MSCI ESG Rating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9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Not available — private company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Obtain at Series B / pre-IPO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Sustainalytics Risk Rating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9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Not available — private company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Obtain at Series B / pre-IPO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CDP Climate Disclosure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9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Voluntary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Register at Series A close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GRI Standards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9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Voluntary self-disclosure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Implement at Series B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SDG Alignment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9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SDG 9 (Industry), SDG 8 (Jobs), SDG 13 (Climate)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Relevant — include in investor materials</w:t>
            </w:r>
          </w:p>
        </w:tc>
      </w:tr>
    </w:tbl>
    <w:p>
      <w:pPr>
        <w:keepNext/>
        <w:spacing w:before="280" w:after="80"/>
        <w:pBdr>
          <w:bottom w:val="single" w:sz="4" w:space="2" w:color="2E75B6"/>
        </w:pBdr>
      </w:pPr>
      <w:r>
        <w:rPr>
          <w:rFonts w:ascii="Arial" w:hAnsi="Arial"/>
          <w:b/>
          <w:color w:val="1F487E"/>
          <w:sz w:val="24"/>
        </w:rPr>
        <w:t>6.5  Regulatory Databases</w:t>
      </w:r>
    </w:p>
    <w:tbl>
      <w:tblPr>
        <w:tblLook w:firstColumn="1" w:firstRow="1" w:lastColumn="0" w:lastRow="0" w:noHBand="0" w:noVBand="1" w:val="04A0"/>
        <w:tblW w:w="8520" w:type="dxa"/>
      </w:tblPr>
      <w:tblGrid>
        <w:gridCol w:w="2340"/>
        <w:gridCol w:w="2340"/>
        <w:gridCol w:w="2340"/>
        <w:gridCol w:w="2340"/>
      </w:tblGrid>
      <w:tr>
        <w:trPr>
          <w:trHeight w:val="380" w:hRule="atLeast"/>
        </w:trPr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Regulation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Jurisdiction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ECRA Relevance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ISO 10218-1/2:2025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International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Revised 2025 — must comply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Robot safety certification for plant deployment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IEC 62061:2021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International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Active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Functional safety of machinery — safety MCU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ISO 13849-1:2023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International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Active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Safety of control systems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BIS Certification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India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Not Available — no IS standard confirmed for RaaS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Monitor BIS for robotics standard development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IATF 16949:6th Ed.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Global / Automotive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Effective January 2025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Required for automotive OEM supply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EU Machinery Regulation 2023/1230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European Union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In force — effective Jan 2027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Required for export to EU market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DPDP Act 2023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India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Passed — rules pending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Governs robot telemetry data handling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CERT-In Directions 2022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India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Active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6-hour breach reporting, log retention for cloud platform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Factories Act (amended)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India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Active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Governs plant deployment of robots</w:t>
            </w:r>
          </w:p>
        </w:tc>
      </w:tr>
    </w:tbl>
    <w:p>
      <w:pPr>
        <w:keepNext/>
        <w:spacing w:before="280" w:after="80"/>
        <w:pBdr>
          <w:bottom w:val="single" w:sz="4" w:space="2" w:color="2E75B6"/>
        </w:pBdr>
      </w:pPr>
      <w:r>
        <w:rPr>
          <w:rFonts w:ascii="Arial" w:hAnsi="Arial"/>
          <w:b/>
          <w:color w:val="1F487E"/>
          <w:sz w:val="24"/>
        </w:rPr>
        <w:t>6.6  Supply Chain Indices</w:t>
      </w:r>
    </w:p>
    <w:tbl>
      <w:tblPr>
        <w:tblLook w:firstColumn="1" w:firstRow="1" w:lastColumn="0" w:lastRow="0" w:noHBand="0" w:noVBand="1" w:val="04A0"/>
        <w:tblW w:w="862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val="380" w:hRule="atLeast"/>
        </w:trPr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Index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4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4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Trend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0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Relevance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NY Fed GSCPI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0.49 (above mean)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4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February 2026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4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Elevated but declining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0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Primary ECRA SC pressure input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Baltic Dry Index (BDI)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2,591 points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4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June 5, 2026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4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Declining from 2025 peak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0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Sea freight cost proxy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Harpex Container Index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Not Available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4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June 2026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4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N/A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0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Container rate monitoring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Freightos Baltic Index (FBX)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Not Available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4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June 2026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4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N/A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0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Air + sea freight composite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India Semiconductor Import Dep.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~90%+ of demand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4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2025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4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Structural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0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Core input risk for Jetson/cameras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US BIS Export Controls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Active and expanding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4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Ongoing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4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Tightening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0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Direct risk to HW-006, HW-008, HW-011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India–Taiwan Trade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Not Available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4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2025-26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4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N/A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0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Taiwan semiconductor dependency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World Bank LPI (India)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3.4/5.0 (Rank 38/139)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4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2023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4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Improving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0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Logistics infrastructure quality</w:t>
            </w:r>
          </w:p>
        </w:tc>
      </w:tr>
    </w:tbl>
    <w:p>
      <w:r>
        <w:br w:type="page"/>
      </w:r>
    </w:p>
    <w:p>
      <w:pPr>
        <w:keepNext/>
        <w:spacing w:before="120" w:after="80"/>
        <w:pBdr>
          <w:bottom w:val="single" w:sz="8" w:space="2" w:color="1F487E"/>
        </w:pBdr>
      </w:pPr>
      <w:r>
        <w:rPr>
          <w:rFonts w:ascii="Arial" w:hAnsi="Arial"/>
          <w:b/>
          <w:color w:val="1F487E"/>
          <w:sz w:val="30"/>
        </w:rPr>
        <w:t xml:space="preserve">PART VII  </w:t>
      </w:r>
      <w:r>
        <w:rPr>
          <w:rFonts w:ascii="Arial" w:hAnsi="Arial"/>
          <w:b/>
          <w:color w:val="1F487E"/>
          <w:sz w:val="30"/>
        </w:rPr>
        <w:t>API &amp; DATA SOURCE REFERENCE</w:t>
      </w:r>
    </w:p>
    <w:p>
      <w:pPr>
        <w:keepNext/>
        <w:spacing w:before="280" w:after="80"/>
        <w:pBdr>
          <w:bottom w:val="single" w:sz="4" w:space="2" w:color="2E75B6"/>
        </w:pBdr>
      </w:pPr>
      <w:r>
        <w:rPr>
          <w:rFonts w:ascii="Arial" w:hAnsi="Arial"/>
          <w:b/>
          <w:color w:val="1F487E"/>
          <w:sz w:val="24"/>
        </w:rPr>
        <w:t>7.1  Access Tier Summary</w:t>
      </w:r>
    </w:p>
    <w:p>
      <w:pPr>
        <w:spacing w:after="100"/>
      </w:pPr>
      <w:r>
        <w:rPr>
          <w:rFonts w:ascii="Arial" w:hAnsi="Arial"/>
          <w:sz w:val="20"/>
        </w:rPr>
        <w:t>The table below summarises programmatic data availability across all five indicator categories. 'Free' = no cost / no API key. 'Paid' = subscription or per-call billing. 'No API' = documents or static portals only.</w:t>
      </w:r>
    </w:p>
    <w:p>
      <w:pPr>
        <w:spacing w:after="80"/>
      </w:pPr>
    </w:p>
    <w:tbl>
      <w:tblPr>
        <w:tblLook w:firstColumn="1" w:firstRow="1" w:lastColumn="0" w:lastRow="0" w:noHBand="0" w:noVBand="1" w:val="04A0"/>
        <w:tblW w:w="8520" w:type="dxa"/>
      </w:tblPr>
      <w:tblGrid>
        <w:gridCol w:w="2340"/>
        <w:gridCol w:w="2340"/>
        <w:gridCol w:w="2340"/>
        <w:gridCol w:w="2340"/>
      </w:tblGrid>
      <w:tr>
        <w:trPr>
          <w:trHeight w:val="380" w:hRule="atLeast"/>
        </w:trPr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Primary APIs / Sources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Access Tier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Protocol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Macroeconomic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RBI DBIE, World Bank Indicators API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Free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REST / JSON, CSV download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PMI (Manufacturing)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S&amp;P Global Marketplace / TradingEconomics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Paid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REST / JSON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Sector &amp; Micro (Robotics)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IFR via Our World in Data (CSV), Grand View Research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Free / Paid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CSV download / reports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ESG Ratings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MSCI ESG API v3, Sustainalytics Datafeed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Paid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REST / OpenAPI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SEBI BRSR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BSE / NSE Annual Report filings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No API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Document portal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Regulatory Standards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ISO, IEC, BIS portals; EUR-Lex REST API (EU only)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No API / Free (EU)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Documents / REST (EUR-Lex)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GSCPI (NY Fed)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NY Fed direct Excel download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Free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HTTP GET → XLSX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Baltic Dry Index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OilPriceAPI (free tier) / Baltic Exchange API (paid)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Free / Paid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REST / JSON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Harpex, FBX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Harper Petersen, Freightos Terminal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Paid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Subscription only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Trade Flows (Semiconductors)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UN Comtrade API (HS code 8542)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Free (100 req/hr)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REST / JSON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Logistics Performance Index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World Bank API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Free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REST / JSON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US Export Controls (BIS/EAR)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US Federal Register API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Free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REST / JSON</w:t>
            </w:r>
          </w:p>
        </w:tc>
      </w:tr>
    </w:tbl>
    <w:p>
      <w:pPr>
        <w:keepNext/>
        <w:spacing w:before="280" w:after="80"/>
        <w:pBdr>
          <w:bottom w:val="single" w:sz="4" w:space="2" w:color="2E75B6"/>
        </w:pBdr>
      </w:pPr>
      <w:r>
        <w:rPr>
          <w:rFonts w:ascii="Arial" w:hAnsi="Arial"/>
          <w:b/>
          <w:color w:val="1F487E"/>
          <w:sz w:val="24"/>
        </w:rPr>
        <w:t>7.2  ECRA Ingestion Pipeline Recommendation</w:t>
      </w:r>
    </w:p>
    <w:tbl>
      <w:tblPr>
        <w:tblLook w:firstColumn="1" w:firstRow="1" w:lastColumn="0" w:lastRow="0" w:noHBand="0" w:noVBand="1" w:val="04A0"/>
        <w:tblW w:w="8520" w:type="dxa"/>
      </w:tblPr>
      <w:tblGrid>
        <w:gridCol w:w="2340"/>
        <w:gridCol w:w="2340"/>
        <w:gridCol w:w="2340"/>
        <w:gridCol w:w="2340"/>
      </w:tblGrid>
      <w:tr>
        <w:trPr>
          <w:trHeight w:val="380" w:hRule="atLeast"/>
        </w:trPr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Indicator(s)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Source API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Schedule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Auth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GDP, CPI, FDI, LPI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World Bank Indicators API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Monthly automated GET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None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Repo Rate, INR/USD Rate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RBI DBIE bulk CSV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Daily scheduled job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None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Manufacturing PMI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TradingEconomics API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Monthly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Paid API key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Robot Installations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Our World in Data CSV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Annual HTTP GET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None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GSCPI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NY Fed direct Excel download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Monthly (~4-wk lag)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None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Baltic Dry Index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OilPriceAPI REST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Daily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Free API key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Semiconductor Trade Flows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UN Comtrade API (HS 8542)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Quarterly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Free API key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EU Machinery Regulation amendments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EUR-Lex REST API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Monthly monitoring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None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US BIS Export Control rules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US Federal Register API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Weekly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3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None</w:t>
            </w:r>
          </w:p>
        </w:tc>
      </w:tr>
    </w:tbl>
    <w:p>
      <w:r>
        <w:br w:type="page"/>
      </w:r>
    </w:p>
    <w:p>
      <w:pPr>
        <w:keepNext/>
        <w:spacing w:before="120" w:after="80"/>
        <w:pBdr>
          <w:bottom w:val="single" w:sz="8" w:space="2" w:color="1F487E"/>
        </w:pBdr>
      </w:pPr>
      <w:r>
        <w:rPr>
          <w:rFonts w:ascii="Arial" w:hAnsi="Arial"/>
          <w:b/>
          <w:color w:val="1F487E"/>
          <w:sz w:val="30"/>
        </w:rPr>
        <w:t xml:space="preserve">PART VIII  </w:t>
      </w:r>
      <w:r>
        <w:rPr>
          <w:rFonts w:ascii="Arial" w:hAnsi="Arial"/>
          <w:b/>
          <w:color w:val="1F487E"/>
          <w:sz w:val="30"/>
        </w:rPr>
        <w:t>SUPPLY-CHAIN RESILIENCE SCORE (SCRS)</w:t>
      </w:r>
    </w:p>
    <w:p>
      <w:pPr>
        <w:keepNext/>
        <w:spacing w:before="280" w:after="80"/>
        <w:pBdr>
          <w:bottom w:val="single" w:sz="4" w:space="2" w:color="2E75B6"/>
        </w:pBdr>
      </w:pPr>
      <w:r>
        <w:rPr>
          <w:rFonts w:ascii="Arial" w:hAnsi="Arial"/>
          <w:b/>
          <w:color w:val="1F487E"/>
          <w:sz w:val="24"/>
        </w:rPr>
        <w:t>8.1  Formula Design</w:t>
      </w:r>
    </w:p>
    <w:p>
      <w:pPr>
        <w:spacing w:after="100"/>
      </w:pPr>
      <w:r>
        <w:rPr>
          <w:rFonts w:ascii="Arial" w:hAnsi="Arial"/>
          <w:sz w:val="20"/>
        </w:rPr>
        <w:t>The Supply-Chain Resilience Score is a composite index that produces a single 0–100 score summarising a company's vulnerability to supply chain disruption. It was designed specifically for use in the ECRA Risk Vector Engine as a quantitative input to investment evaluation — a use case for which no established formula currently exists in commercial platforms or academic literature.</w:t>
      </w:r>
    </w:p>
    <w:p>
      <w:pPr>
        <w:spacing w:after="120"/>
      </w:pPr>
    </w:p>
    <w:p>
      <w:pPr>
        <w:spacing w:after="160"/>
        <w:jc w:val="center"/>
      </w:pPr>
      <w:r>
        <w:rPr>
          <w:rFonts w:ascii="Courier New" w:hAnsi="Courier New"/>
          <w:b/>
          <w:color w:val="1F487E"/>
          <w:sz w:val="20"/>
        </w:rPr>
        <w:t>SCRS = 100 × [ 0.25·(1−SCI) + 0.20·(1−LDI) + 0.30·(1−SPOF) + 0.15·GDI + 0.07·LTBI + 0.03·SI ]</w:t>
      </w:r>
    </w:p>
    <w:p>
      <w:pPr>
        <w:keepNext/>
        <w:spacing w:before="280" w:after="80"/>
        <w:pBdr>
          <w:bottom w:val="single" w:sz="4" w:space="2" w:color="2E75B6"/>
        </w:pBdr>
      </w:pPr>
      <w:r>
        <w:rPr>
          <w:rFonts w:ascii="Arial" w:hAnsi="Arial"/>
          <w:b/>
          <w:color w:val="1F487E"/>
          <w:sz w:val="24"/>
        </w:rPr>
        <w:t>8.2  Sub-Index Definitions</w:t>
      </w:r>
    </w:p>
    <w:tbl>
      <w:tblPr>
        <w:tblLook w:firstColumn="1" w:firstRow="1" w:lastColumn="0" w:lastRow="0" w:noHBand="0" w:noVBand="1" w:val="04A0"/>
        <w:tblW w:w="852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val="380" w:hRule="atLeast"/>
        </w:trPr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Code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7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Weight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What It Measures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SCI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Supplier Concentration Index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7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25%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SCI = Σ(v_c · HHI_c) / Σv_c  where HHI_c = Σs²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Spend-weighted HHI across supplier shares per component category. High SCI = monopoly-like concentration.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LDI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Logistics Dependency Index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7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20%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LDI = 0.40·CC + 0.35·RC + 0.25·(1−MF)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Carrier concentration, route chokepoint criticality, and modal flexibility.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SPOF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Single-Point-of-Failure Exposure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7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30%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SPOF = Σ(φ_i·κ_i) / Σκ_i  where κ_i = v_i·LT_norm·(1+EC_i)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Criticality-weighted fraction of BOM in confirmed sole-source / no-substitute components. EC penalty inflates criticality for export-controlled items.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GDI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Geographic Diversification Index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7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15%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GDI = 1 − HHI_geo  using PR-adjusted shares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Inverse HHI of country-of-origin spend, adjusted for political/export-control risk per country.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LTBI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Lead-Time Buffer Index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7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7%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LTBI = Σ(v_i · min(INV_i/LT_i, 1)) / Σv_i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Spend-weighted coverage of inventory-on-hand vs replenishment lead time per component.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SI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Substitutability Index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7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3%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SI = Σ(v_i · sub_i) / Σv_i  where sub_i ∈ {0, 0.5, 1}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Spend-weighted ease of switching to an alternative supplier or design.</w:t>
            </w:r>
          </w:p>
        </w:tc>
      </w:tr>
    </w:tbl>
    <w:p>
      <w:pPr>
        <w:spacing w:after="160"/>
      </w:pPr>
      <w:r>
        <w:rPr>
          <w:rFonts w:ascii="Arial" w:hAnsi="Arial"/>
          <w:i/>
          <w:color w:val="595959"/>
          <w:sz w:val="18"/>
        </w:rPr>
        <w:t>Note: All sub-indices are in [0,1]. For SCI, LDI, SPOF: higher raw value = worse. These are inverted (1−x) before weighting. For GDI, LTBI, SI: higher = more resilient (used directly). SCRS = 100 means perfectly resilient; SCRS = 0 means catastrophically exposed.</w:t>
      </w:r>
    </w:p>
    <w:p>
      <w:pPr>
        <w:keepNext/>
        <w:spacing w:before="280" w:after="80"/>
        <w:pBdr>
          <w:bottom w:val="single" w:sz="4" w:space="2" w:color="2E75B6"/>
        </w:pBdr>
      </w:pPr>
      <w:r>
        <w:rPr>
          <w:rFonts w:ascii="Arial" w:hAnsi="Arial"/>
          <w:b/>
          <w:color w:val="1F487E"/>
          <w:sz w:val="24"/>
        </w:rPr>
        <w:t>8.3  Novelty Assessment</w:t>
      </w:r>
    </w:p>
    <w:p>
      <w:pPr>
        <w:spacing w:after="100"/>
      </w:pPr>
      <w:r>
        <w:rPr>
          <w:rFonts w:ascii="Arial" w:hAnsi="Arial"/>
          <w:sz w:val="20"/>
        </w:rPr>
        <w:t>The formula is not novel as a concept — composite resilience scoring with multiple sub-indices exists in academic literature (IFR-derived indices, Tandfonline 2025 lithium SRI, IntechOpen resilience quantification chapter). HHI-based supplier concentration is used by the IMF, OECD, and the US OCC. Geographic diversification as a resilience dimension appears in the Biden administration's 2024 Quadrennial Supply Chain Review.</w:t>
      </w:r>
    </w:p>
    <w:p>
      <w:pPr>
        <w:spacing w:after="100"/>
      </w:pPr>
      <w:r>
        <w:rPr>
          <w:rFonts w:ascii="Arial" w:hAnsi="Arial"/>
          <w:sz w:val="20"/>
        </w:rPr>
        <w:t>Three specific formulation choices are not found verbatim in the literature: (1) the SPOF criticality weight κ_i multiplying export-control penalty into lead-time × spend — most frameworks treat SPOF as a binary flag; (2) risk-adjusting geographic shares by PR_j before computing HHI, so diversification across two high-risk countries is correctly penalised; (3) the LDI sub-formula decomposing logistics into carrier concentration, route criticality, and modal flexibility as a structured three-part index.</w:t>
      </w:r>
    </w:p>
    <w:p>
      <w:pPr>
        <w:spacing w:after="100"/>
      </w:pPr>
      <w:r>
        <w:rPr>
          <w:rFonts w:ascii="Arial" w:hAnsi="Arial"/>
          <w:sz w:val="20"/>
        </w:rPr>
        <w:t>Verdict: synthesis with incremental novelty in implementation. The formula as stated is an engineering decision, not a publishable finding. Empirical validation against actual disruption outcomes across a portfolio would constitute a research contribution.</w:t>
      </w:r>
    </w:p>
    <w:p>
      <w:pPr>
        <w:keepNext/>
        <w:spacing w:before="280" w:after="80"/>
        <w:pBdr>
          <w:bottom w:val="single" w:sz="4" w:space="2" w:color="2E75B6"/>
        </w:pBdr>
      </w:pPr>
      <w:r>
        <w:rPr>
          <w:rFonts w:ascii="Arial" w:hAnsi="Arial"/>
          <w:b/>
          <w:color w:val="1F487E"/>
          <w:sz w:val="24"/>
        </w:rPr>
        <w:t>8.4  Adoption in Investment Evaluation</w:t>
      </w:r>
    </w:p>
    <w:p>
      <w:pPr>
        <w:spacing w:after="100"/>
      </w:pPr>
      <w:r>
        <w:rPr>
          <w:rFonts w:ascii="Arial" w:hAnsi="Arial"/>
          <w:sz w:val="20"/>
        </w:rPr>
        <w:t>No existing commercial solution applies a quantitative composite supply chain resilience formula at the business plan / investment evaluation stage. The gap is clear and specific: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Commercial SC platforms: </w:t>
      </w:r>
      <w:r>
        <w:rPr>
          <w:rFonts w:ascii="Arial" w:hAnsi="Arial"/>
          <w:sz w:val="20"/>
        </w:rPr>
        <w:t>Resilinc R-Score, SCAIR, Exiger, and Moody's Supplier Risk Management are post-investment operational tools used by procurement teams at large corporates — not by investors evaluating business plans.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VC due diligence: </w:t>
      </w:r>
      <w:r>
        <w:rPr>
          <w:rFonts w:ascii="Arial" w:hAnsi="Arial"/>
          <w:sz w:val="20"/>
        </w:rPr>
        <w:t>VC and PE due diligence frameworks (4Degrees, SignalX, Soreno) mention supply chain as a qualitative checklist item — no quantitative scoring.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Rating agencies: </w:t>
      </w:r>
      <w:r>
        <w:rPr>
          <w:rFonts w:ascii="Arial" w:hAnsi="Arial"/>
          <w:sz w:val="20"/>
        </w:rPr>
        <w:t>Credit rating agencies (Moody's, S&amp;P, Fitch) incorporate supply chain risk as qualitative commentary and scenario inputs, not as a standalone scored dimension.</w:t>
      </w:r>
    </w:p>
    <w:p>
      <w:pPr>
        <w:spacing w:after="100"/>
      </w:pPr>
      <w:r>
        <w:rPr>
          <w:rFonts w:ascii="Arial" w:hAnsi="Arial"/>
          <w:sz w:val="20"/>
        </w:rPr>
        <w:t>ECRA's SCRS fills this gap — making it the first known system to apply a structured quantitative supply chain resilience formula specifically at the pre-investment business plan evaluation stage.</w:t>
      </w:r>
    </w:p>
    <w:p>
      <w:r>
        <w:br w:type="page"/>
      </w:r>
    </w:p>
    <w:p>
      <w:pPr>
        <w:keepNext/>
        <w:spacing w:before="280" w:after="80"/>
        <w:pBdr>
          <w:bottom w:val="single" w:sz="4" w:space="2" w:color="2E75B6"/>
        </w:pBdr>
      </w:pPr>
      <w:r>
        <w:rPr>
          <w:rFonts w:ascii="Arial" w:hAnsi="Arial"/>
          <w:b/>
          <w:color w:val="1F487E"/>
          <w:sz w:val="24"/>
        </w:rPr>
        <w:t>8.5  CloudRobotics Co. — SCRS Computation</w:t>
      </w:r>
    </w:p>
    <w:p>
      <w:pPr>
        <w:spacing w:after="100"/>
      </w:pPr>
      <w:r>
        <w:rPr>
          <w:rFonts w:ascii="Arial" w:hAnsi="Arial"/>
          <w:sz w:val="20"/>
        </w:rPr>
        <w:t>The SCRS formula was applied to CloudRobotics' hardware BOM (25 items, INR 637.5 Lakhs total) as extracted from the Resource Decomposition workbook. All sub-index parameters were sourced directly from the BOM data: supplier HHI per component, lead times, country-of-origin splits, export-control classifications, current inventory buffer, and substitutability ratings.</w:t>
      </w:r>
    </w:p>
    <w:p>
      <w:pPr>
        <w:spacing w:after="120"/>
      </w:pPr>
    </w:p>
    <w:tbl>
      <w:tblPr>
        <w:tblLook w:firstColumn="1" w:firstRow="1" w:lastColumn="0" w:lastRow="0" w:noHBand="0" w:noVBand="1" w:val="04A0"/>
        <w:tblW w:w="8520" w:type="dxa"/>
      </w:tblPr>
      <w:tblGrid>
        <w:gridCol w:w="3120"/>
        <w:gridCol w:w="3120"/>
        <w:gridCol w:w="3120"/>
      </w:tblGrid>
      <w:tr>
        <w:trPr>
          <w:trHeight w:val="800" w:hRule="atLeast"/>
        </w:trPr>
        <w:tc>
          <w:tcPr>
            <w:shd w:val="clear" w:color="auto" w:fill="1F487E"/>
            <w:tcBorders>
              <w:top w:val="single" w:sz="6" w:space="0" w:color="1F487E"/>
              <w:left w:val="single" w:sz="6" w:space="0" w:color="1F487E"/>
              <w:bottom w:val="single" w:sz="6" w:space="0" w:color="1F487E"/>
              <w:right w:val="single" w:sz="6" w:space="0" w:color="1F487E"/>
            </w:tcBorders>
            <w:tcW w:w="1800" w:type="dx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SCRS</w:t>
            </w:r>
            <w:r>
              <w:br/>
            </w:r>
            <w:r>
              <w:rPr>
                <w:rFonts w:ascii="Arial" w:hAnsi="Arial"/>
                <w:b/>
                <w:color w:val="FFFFFF"/>
                <w:sz w:val="36"/>
              </w:rPr>
              <w:t>49.1 / 100</w:t>
            </w:r>
          </w:p>
        </w:tc>
        <w:tc>
          <w:tcPr>
            <w:shd w:val="clear" w:color="auto" w:fill="FDECEA"/>
            <w:tcBorders>
              <w:top w:val="single" w:sz="6" w:space="0" w:color="1F487E"/>
              <w:left w:val="single" w:sz="6" w:space="0" w:color="1F487E"/>
              <w:bottom w:val="single" w:sz="6" w:space="0" w:color="1F487E"/>
              <w:right w:val="single" w:sz="6" w:space="0" w:color="1F487E"/>
            </w:tcBorders>
            <w:tcW w:w="3720" w:type="dx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4"/>
              </w:rPr>
              <w:t>Band: HIGH RISK</w:t>
            </w:r>
            <w:r>
              <w:br/>
            </w:r>
            <w:r>
              <w:rPr>
                <w:rFonts w:ascii="Arial" w:hAnsi="Arial"/>
                <w:b/>
                <w:color w:val="C00000"/>
                <w:sz w:val="24"/>
              </w:rPr>
              <w:t>(Scale: 31–50)</w:t>
            </w:r>
          </w:p>
        </w:tc>
        <w:tc>
          <w:tcPr>
            <w:shd w:val="clear" w:color="auto" w:fill="EAF2FB"/>
            <w:tcBorders>
              <w:top w:val="single" w:sz="6" w:space="0" w:color="1F487E"/>
              <w:left w:val="single" w:sz="6" w:space="0" w:color="1F487E"/>
              <w:bottom w:val="single" w:sz="6" w:space="0" w:color="1F487E"/>
              <w:right w:val="single" w:sz="6" w:space="0" w:color="1F487E"/>
            </w:tcBorders>
            <w:tcW w:w="3000" w:type="dx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F487E"/>
                <w:sz w:val="24"/>
              </w:rPr>
              <w:t>Hardware BOM</w:t>
            </w:r>
            <w:r>
              <w:br/>
            </w:r>
            <w:r>
              <w:rPr>
                <w:rFonts w:ascii="Arial" w:hAnsi="Arial"/>
                <w:b/>
                <w:color w:val="1F487E"/>
                <w:sz w:val="24"/>
              </w:rPr>
              <w:t>INR 637.5 Lakhs · 25 items</w:t>
            </w:r>
          </w:p>
        </w:tc>
      </w:tr>
    </w:tbl>
    <w:p>
      <w:pPr>
        <w:spacing w:after="160"/>
      </w:pPr>
    </w:p>
    <w:p>
      <w:pPr>
        <w:keepNext/>
        <w:spacing w:before="280" w:after="80"/>
        <w:pBdr>
          <w:bottom w:val="single" w:sz="4" w:space="2" w:color="2E75B6"/>
        </w:pBdr>
      </w:pPr>
      <w:r>
        <w:rPr>
          <w:rFonts w:ascii="Arial" w:hAnsi="Arial"/>
          <w:b/>
          <w:color w:val="1F487E"/>
          <w:sz w:val="24"/>
        </w:rPr>
        <w:t>8.6  Dimension Score Breakdown</w:t>
      </w:r>
    </w:p>
    <w:tbl>
      <w:tblPr>
        <w:tblLook w:firstColumn="1" w:firstRow="1" w:lastColumn="0" w:lastRow="0" w:noHBand="0" w:noVBand="1" w:val="04A0"/>
        <w:tblW w:w="854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val="380" w:hRule="atLeast"/>
        </w:trPr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Dim.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Raw Score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7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Weight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Contribution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Interpretation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D1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Supplier Non-Concentration (1−SCI)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0.152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7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25%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3.8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CRITICAL — SCI=0.848; most spend in single-source components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D2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Logistics Flexibility (1−LDI)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0.704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7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20%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14.1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MODERATE — domestic sourcing keeps route criticality low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D3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SPOF-Free Score (1−SPOF)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0.528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7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30%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15.9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HIGH RISK — 47.2% of κ-weighted exposure in 3 SPOFs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D4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Geographic Diversification (GDI)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0.683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7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15%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10.2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MODERATE — USA PR-adjusted share inflates to 28.7%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D5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Lead-Time Buffer (LTBI)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0.521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7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7%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3.6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MODERATE — Jetson buffer adequate; ATI buffer critically low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D6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Substitutability (SI)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0.507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7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3%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1.5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MODERATE — half of spend has alternatives; Jetson sub=0.1</w:t>
            </w:r>
          </w:p>
        </w:tc>
      </w:tr>
    </w:tbl>
    <w:p>
      <w:pPr>
        <w:keepNext/>
        <w:spacing w:before="280" w:after="80"/>
        <w:pBdr>
          <w:bottom w:val="single" w:sz="4" w:space="2" w:color="2E75B6"/>
        </w:pBdr>
      </w:pPr>
      <w:r>
        <w:rPr>
          <w:rFonts w:ascii="Arial" w:hAnsi="Arial"/>
          <w:b/>
          <w:color w:val="1F487E"/>
          <w:sz w:val="24"/>
        </w:rPr>
        <w:t>8.7  SPOF Analysis — Confirmed Single-Points-of-Failure</w:t>
      </w:r>
    </w:p>
    <w:p>
      <w:pPr>
        <w:spacing w:after="100"/>
      </w:pPr>
      <w:r>
        <w:rPr>
          <w:rFonts w:ascii="Arial" w:hAnsi="Arial"/>
          <w:sz w:val="20"/>
        </w:rPr>
        <w:t>Three hardware components are confirmed SPOFs (sole-source AND no qualified substitute). Together they account for 47.2% of the total criticality-weighted exposure (κ-weighted SPOF ratio = 0.472).</w:t>
      </w:r>
    </w:p>
    <w:p>
      <w:pPr>
        <w:spacing w:after="80"/>
      </w:pPr>
    </w:p>
    <w:tbl>
      <w:tblPr>
        <w:tblLook w:firstColumn="1" w:firstRow="1" w:lastColumn="0" w:lastRow="0" w:noHBand="0" w:noVBand="1" w:val="04A0"/>
        <w:tblW w:w="1004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val="380" w:hRule="atLeast"/>
        </w:trPr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Component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κ Score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4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% of SPOF Exposure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Lead Time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Export Control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3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Why Critical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HW-011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NVIDIA Jetson AGX Orin (Edge Compute)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0.1956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4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27.0%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14 weeks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Yes (BIS/EAR)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3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Highest spend + longest LT + EC=1.0 → highest κ. No qualified alternate.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HW-008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ATI F/T Sensor (6-axis)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0.0809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4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11.2%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10 weeks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Yes (BIS/EAR)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3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Sole US source. Export-controlled. Only 2-week buffer stock currently.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HW-006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RGB-D Camera (Intel RealSense D435i)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0.0647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4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8.9%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10 weeks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Yes (BIS/EAR)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3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US/Taiwan origin. Sony IMX alternative not yet qualified.</w:t>
            </w:r>
          </w:p>
        </w:tc>
      </w:tr>
    </w:tbl>
    <w:p>
      <w:pPr>
        <w:spacing w:after="160"/>
      </w:pPr>
      <w:r>
        <w:rPr>
          <w:rFonts w:ascii="Arial" w:hAnsi="Arial"/>
          <w:i/>
          <w:color w:val="595959"/>
          <w:sz w:val="18"/>
        </w:rPr>
        <w:t>Note: κ_i = spend_share × LT_normalised × (1 + EC_i). EC_i = 1.0 for BIS/EAR controlled US-origin components. HW-011 dominates because it combines the highest spend among SPOF items, the longest lead time (14 wk), and full EC penalty.</w:t>
      </w:r>
    </w:p>
    <w:p>
      <w:pPr>
        <w:keepNext/>
        <w:spacing w:before="280" w:after="80"/>
        <w:pBdr>
          <w:bottom w:val="single" w:sz="4" w:space="2" w:color="2E75B6"/>
        </w:pBdr>
      </w:pPr>
      <w:r>
        <w:rPr>
          <w:rFonts w:ascii="Arial" w:hAnsi="Arial"/>
          <w:b/>
          <w:color w:val="1F487E"/>
          <w:sz w:val="24"/>
        </w:rPr>
        <w:t>8.8  Country Exposure Analysis</w:t>
      </w:r>
    </w:p>
    <w:p>
      <w:pPr>
        <w:spacing w:after="100"/>
      </w:pPr>
      <w:r>
        <w:rPr>
          <w:rFonts w:ascii="Arial" w:hAnsi="Arial"/>
          <w:sz w:val="20"/>
        </w:rPr>
        <w:t>After applying PR_j risk adjustments, the USA's effective share of the BOM rises from 19.3% raw to 28.7% adjusted — the single largest risk-adjusted exposure. India (56.2% raw, 46.4% adjusted) benefits from PR=0.0 but does not reduce overall HHI sufficiently to overcome the US concentration.</w:t>
      </w:r>
    </w:p>
    <w:tbl>
      <w:tblPr>
        <w:tblLook w:firstColumn="1" w:firstRow="1" w:lastColumn="0" w:lastRow="0" w:noHBand="0" w:noVBand="1" w:val="04A0"/>
        <w:tblW w:w="864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val="380" w:hRule="atLeast"/>
        </w:trPr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Country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4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Raw Spend Share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Political Risk (PR_j)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7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Risk-Adjusted Share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Key Concern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India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4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56.2%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0.0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7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46.4%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Largest single domestic supplier (HW-001 arm) single-sourced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USA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4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19.3%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0.8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7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28.7%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BIS/EAR export controls; all 3 SPOFs are US-origin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Germany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4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11.6%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0.1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7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10.5%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Suez Canal route risk; SICK sensor lead times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Taiwan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4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5.9%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0.6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7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7.8%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Geopolitical tension; semiconductor fab concentration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Canada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4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5.2%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0.1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7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4.7%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Robotiq gripper single-sourced; USD exposure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China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4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0.6%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0.7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7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0.8%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Espressif Wi-Fi module; trade friction risk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Others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4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1.2%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0.1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7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1.1%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Sweden (Atlas Copco), Austria (Fronius), Switzerland (Kistler candidate)</w:t>
            </w:r>
          </w:p>
        </w:tc>
      </w:tr>
    </w:tbl>
    <w:p>
      <w:pPr>
        <w:keepNext/>
        <w:spacing w:before="280" w:after="80"/>
        <w:pBdr>
          <w:bottom w:val="single" w:sz="4" w:space="2" w:color="2E75B6"/>
        </w:pBdr>
      </w:pPr>
      <w:r>
        <w:rPr>
          <w:rFonts w:ascii="Arial" w:hAnsi="Arial"/>
          <w:b/>
          <w:color w:val="1F487E"/>
          <w:sz w:val="24"/>
        </w:rPr>
        <w:t>8.9  Remediation Roadmap</w:t>
      </w:r>
    </w:p>
    <w:p>
      <w:pPr>
        <w:spacing w:after="100"/>
      </w:pPr>
      <w:r>
        <w:rPr>
          <w:rFonts w:ascii="Arial" w:hAnsi="Arial"/>
          <w:sz w:val="20"/>
        </w:rPr>
        <w:t>The following three actions, executable within the 12 months post-Series A close, are projected to lift the SCRS from 49.1 to approximately 65–67 (Moderate → Resilient boundary).</w:t>
      </w:r>
    </w:p>
    <w:p>
      <w:pPr>
        <w:spacing w:after="80"/>
      </w:pPr>
    </w:p>
    <w:tbl>
      <w:tblPr>
        <w:tblLook w:firstColumn="1" w:firstRow="1" w:lastColumn="0" w:lastRow="0" w:noHBand="0" w:noVBand="1" w:val="04A0"/>
        <w:tblW w:w="86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val="380" w:hRule="atLeast"/>
        </w:trPr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7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Dimensions Improved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Estimated Score Lift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Cost Estimate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Timeline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7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①  HIGH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Qualify Qualcomm RB6 (or MediaTek) as alternate to NVIDIA Jetson</w:t>
              <w:br/>
              <w:t>(HW-011 — removes dominant SPOF)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D3: SPOF (0.528→0.65)</w:t>
              <w:br/>
              <w:t>D1: SCI (0.152→0.22)</w:t>
              <w:br/>
              <w:t>D6: SI (sub improves 0.1→0.7)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+ 8–10 SCRS points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INR 15–20 L (engineering qualification + testing)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Q1–Q2 FY2027 (6 months)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7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②  HIGH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Qualify second domestic robotic arm fabricator</w:t>
              <w:br/>
              <w:t>(HW-001 — halves HHI on largest spend item)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D1: SCI (biggest single lever)</w:t>
              <w:br/>
              <w:t>D6: SI (sub 0.5→0.9)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+ 5–7 SCRS points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INR 5–8 L (vendor audit + pilot order)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Q2 FY2027 (4 months)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7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③  MEDIUM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Qualify Kistler (Swiss) or Sunrise Instruments for F/T sensor</w:t>
              <w:br/>
              <w:t>(HW-008 — removes second SPOF, adds EU source)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D3: SPOF (removes 11.2% κ)</w:t>
              <w:br/>
              <w:t>D4: GDI (adds Swiss source)</w:t>
              <w:br/>
              <w:t>D6: SI (sub 0.2→0.7)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+ 3–4 SCRS points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INR 8–12 L (qualification + integration testing)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Q2–Q3 FY2027 (6 months)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7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④  LOW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Increase ATI F/T sensor buffer stock to 8+ weeks</w:t>
              <w:br/>
              <w:t>(from current 2 weeks)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D5: LTBI (ATI buffer 0.20→1.0)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+ 1–2 SCRS points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INR 4.1 L (pre-purchase ~7.5 units at INR 0.55 L)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2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Immediate (1 month)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hAnsi="Arial"/>
          <w:sz w:val="20"/>
        </w:rPr>
        <w:t>Score Band Reference:</w:t>
      </w:r>
    </w:p>
    <w:tbl>
      <w:tblPr>
        <w:tblLook w:firstColumn="1" w:firstRow="1" w:lastColumn="0" w:lastRow="0" w:noHBand="0" w:noVBand="1" w:val="04A0"/>
        <w:tblW w:w="8040" w:type="dxa"/>
      </w:tblPr>
      <w:tblGrid>
        <w:gridCol w:w="2340"/>
        <w:gridCol w:w="2340"/>
        <w:gridCol w:w="2340"/>
        <w:gridCol w:w="2340"/>
      </w:tblGrid>
      <w:tr>
        <w:trPr>
          <w:trHeight w:val="380" w:hRule="atLeast"/>
        </w:trPr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Band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Score Range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Interpretation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1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Typical Investor Response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Critical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0–30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Catastrophic exposure; likely production-stopping SPOFs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1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Decline / major restructuring required before funding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High Risk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31–50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Significant vulnerability; multiple SPOFs or extreme concentration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1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Conditional funding with mandatory SC mitigation milestones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Moderate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51–65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Material risks present; mitigation underway or feasible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1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Fund with SC covenants in term sheet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Resilient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66–80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Well-managed; diversified supply base; buffers adequate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1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Standard funding; monitor quarterly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Strong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1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81–100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Best-in-class; multiple qualified sources; deep buffers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1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No SC conditions; positive differentiator</w:t>
            </w:r>
          </w:p>
        </w:tc>
      </w:tr>
    </w:tbl>
    <w:p>
      <w:pPr>
        <w:spacing w:after="160"/>
      </w:pPr>
      <w:r>
        <w:rPr>
          <w:rFonts w:ascii="Arial" w:hAnsi="Arial"/>
          <w:i/>
          <w:color w:val="595959"/>
          <w:sz w:val="18"/>
        </w:rPr>
        <w:t>Note: CloudRobotics current score: 49.1 (HIGH RISK). Projected post-remediation score: ~65–67 (MODERATE → RESILIENT). Investor recommendation: Conditional Approve — fund Series A with mandatory SPOF remediation milestones at 6 and 12 months post-close.</w:t>
      </w:r>
    </w:p>
    <w:p>
      <w:r>
        <w:br w:type="page"/>
      </w:r>
    </w:p>
    <w:p>
      <w:pPr>
        <w:keepNext/>
        <w:spacing w:before="280" w:after="80"/>
        <w:pBdr>
          <w:bottom w:val="single" w:sz="4" w:space="2" w:color="2E75B6"/>
        </w:pBdr>
      </w:pPr>
      <w:r>
        <w:rPr>
          <w:rFonts w:ascii="Arial" w:hAnsi="Arial"/>
          <w:b/>
          <w:color w:val="1F487E"/>
          <w:sz w:val="24"/>
        </w:rPr>
        <w:t>Appendix A — SCRS Intermediate Computation Values</w:t>
      </w:r>
    </w:p>
    <w:tbl>
      <w:tblPr>
        <w:tblLook w:firstColumn="1" w:firstRow="1" w:lastColumn="0" w:lastRow="0" w:noHBand="0" w:noVBand="1" w:val="04A0"/>
        <w:tblW w:w="8540" w:type="dxa"/>
      </w:tblPr>
      <w:tblGrid>
        <w:gridCol w:w="3120"/>
        <w:gridCol w:w="3120"/>
        <w:gridCol w:w="3120"/>
      </w:tblGrid>
      <w:tr>
        <w:trPr>
          <w:trHeight w:val="380" w:hRule="atLeast"/>
        </w:trPr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7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Derivation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Total Hardware BOM Spend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INR 637.5 Lakhs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7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25 items × qty × unit cost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Supplier Concentration Index (SCI)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0.848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7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Spend-weighted HHI across all 25 BOM items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D1 — Supplier Non-Concentration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0.152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7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1 − 0.848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Carrier HHI (CC)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0.345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7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DHL 40%² + Forwarder 35%² + Domestic 25%²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Route Criticality (RC)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0.213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7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Spend-weighted ρ per origin country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Modal Flexibility (MF)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0.667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7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2 of 3 viable freight modes (air + sea)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Logistics Dependency Index (LDI)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0.296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7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0.40×0.345 + 0.35×0.213 + 0.25×(1−0.667)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D2 — Logistics Flexibility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0.704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7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1 − 0.296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Total Criticality Weight (Σκ)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0.7235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7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Sum of κ_i across all BOM items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SPOF Criticality Weight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0.3412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7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Sum of κ_i for HW-006, HW-008, HW-011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SPOF Ratio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0.472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7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0.3412 / 0.7235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D3 — SPOF-Free Score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0.528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7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1 − 0.472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Raw HHI_geo (unadjusted)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0.346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7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HHI of raw country spend shares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Risk-Adjusted HHI_geo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0.317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7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HHI of PR_j-adjusted normalised shares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D4 — Geographic Diversification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0.683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7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1 − 0.317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Lead-Time Buffer Index (LTBI)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0.521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7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Spend-weighted min(buffer/LT, 1)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D5 — LTBI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0.521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7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Direct use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Substitutability Index (SI)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0.507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7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Spend-weighted sub_i scores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D6 — SI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0.507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7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Direct use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SCRS (Composite)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49.1 / 100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7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100 × Σ(w_i × D_i)</w:t>
            </w:r>
          </w:p>
        </w:tc>
      </w:tr>
    </w:tbl>
    <w:p>
      <w:pPr>
        <w:keepNext/>
        <w:spacing w:before="280" w:after="80"/>
        <w:pBdr>
          <w:bottom w:val="single" w:sz="4" w:space="2" w:color="2E75B6"/>
        </w:pBdr>
      </w:pPr>
      <w:r>
        <w:rPr>
          <w:rFonts w:ascii="Arial" w:hAnsi="Arial"/>
          <w:b/>
          <w:color w:val="1F487E"/>
          <w:sz w:val="24"/>
        </w:rPr>
        <w:t>Appendix B — Deliverables Summary</w:t>
      </w:r>
    </w:p>
    <w:tbl>
      <w:tblPr>
        <w:tblLook w:firstColumn="1" w:firstRow="1" w:lastColumn="0" w:lastRow="0" w:noHBand="0" w:noVBand="1" w:val="04A0"/>
        <w:tblW w:w="8540" w:type="dxa"/>
      </w:tblPr>
      <w:tblGrid>
        <w:gridCol w:w="3120"/>
        <w:gridCol w:w="3120"/>
        <w:gridCol w:w="3120"/>
      </w:tblGrid>
      <w:tr>
        <w:trPr>
          <w:trHeight w:val="380" w:hRule="atLeast"/>
        </w:trPr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File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7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Format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ECRA_Product_Specification.docx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Full ECRA system product spec with 56 functional requirements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7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Word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CloudRobotics_Business_Profile.docx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Company overview, ownership, management, product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7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Word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CloudRobotics_Business_Plan.docx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Full 14-section VC-targeted business plan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7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Word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CloudRobotics_Financial_Statements.xlsx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5-year P&amp;L, Balance Sheet, Cash Flow with formulas and ratios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7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Excel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CloudRobotics_Resource_Decomposition.xlsx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85 resources across HW, SW, HC; Risk Mapping Summary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7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Excel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CloudRobotics_Indicators_Register.xlsx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53 indicators across 5 categories; all data sourced June 2026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7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Excel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CloudRobotics_Indicators_API_Reference.docx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42 API/data sources mapped; ECRA pipeline recommendation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7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Word</w:t>
            </w:r>
          </w:p>
        </w:tc>
      </w:tr>
      <w:tr>
        <w:trPr>
          <w:trHeight w:val="34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CloudRobotics_ECRA_Master_Report.docx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This document — comprehensive engagement summary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7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Word</w:t>
            </w:r>
          </w:p>
        </w:tc>
      </w:tr>
      <w:tr>
        <w:trPr>
          <w:trHeight w:val="34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2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cloudrobotics_scrs.json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6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Machine-readable SCRS output for ECRA system ingestion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7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JSON</w:t>
            </w:r>
          </w:p>
        </w:tc>
      </w:tr>
    </w:tbl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