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Auto Ticket Classification using Flow Designer</w:t>
      </w:r>
    </w:p>
    <w:p>
      <w:pPr>
        <w:jc w:val="center"/>
      </w:pPr>
      <w:r>
        <w:rPr>
          <w:b/>
          <w:sz w:val="26"/>
        </w:rPr>
        <w:t>Additional Template Applicability Notes</w:t>
      </w:r>
    </w:p>
    <w:p>
      <w:r>
        <w:t>Prepared from the project details available in this conversation and the supplied template archive. Unknown details are marked rather than assumed.</w:t>
      </w:r>
    </w:p>
    <w:p>
      <w:pPr>
        <w:pStyle w:val="Heading2"/>
      </w:pPr>
      <w:r>
        <w:t>Tableau performance template</w:t>
      </w:r>
    </w:p>
    <w:p>
      <w:r>
        <w:t>Not applicable as written: this project is ServiceNow Flow Designer, not a Tableau dashboard. Do not invent rendered datasets, filters, calculated fields, visualizations, or story counts.</w:t>
      </w:r>
    </w:p>
    <w:p>
      <w:pPr>
        <w:pStyle w:val="Heading2"/>
      </w:pPr>
      <w:r>
        <w:t>Power BI performance template</w:t>
      </w:r>
    </w:p>
    <w:p>
      <w:r>
        <w:t>Not applicable as written: no Power BI model/dashboard is part of this project.</w:t>
      </w:r>
    </w:p>
    <w:p>
      <w:pPr>
        <w:pStyle w:val="Heading2"/>
      </w:pPr>
      <w:r>
        <w:t>Salesforce performance template</w:t>
      </w:r>
    </w:p>
    <w:p>
      <w:r>
        <w:t>Not applicable as written: project is implemented in ServiceNow, not Salesforce. No Salesforce model accuracy figures apply.</w:t>
      </w:r>
    </w:p>
    <w:p>
      <w:pPr>
        <w:pStyle w:val="Heading2"/>
      </w:pPr>
      <w:r>
        <w:t>Machine Learning / AI / GenAI performance templates</w:t>
      </w:r>
    </w:p>
    <w:p>
      <w:r>
        <w:t>Not applicable: the project uses configured keyword conditions in Flow Designer, not a trained ML/AI/GenAI model. No accuracy, confidence score, API latency, or model performance metrics were measured.</w:t>
      </w:r>
    </w:p>
    <w:p>
      <w:pPr>
        <w:pStyle w:val="Heading2"/>
      </w:pPr>
      <w:r>
        <w:t>Template handling</w:t>
      </w:r>
    </w:p>
    <w:p>
      <w:r>
        <w:t>The supplied archive includes duplicate DOCX/PDF versions and technology-specific templates. This pack completes the project-relevant content and documents non-applicable technology-specific templates rather than fabricating results.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