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266"/>
          <w:sz w:val="40"/>
          <w:szCs w:val="40"/>
        </w:rPr>
        <w:t xml:space="preserve">Algorithmic Credit Scoring Using Behavioral and Transactional Data</w:t>
      </w:r>
    </w:p>
    <w:p>
      <w:pPr>
        <w:spacing w:after="40"/>
      </w:pPr>
      <w:r>
        <w:rPr>
          <w:color w:val="6E8898"/>
          <w:sz w:val="26"/>
          <w:szCs w:val="26"/>
        </w:rPr>
        <w:t xml:space="preserve">Day 1 — Data Integration and Preprocessing (ETL): Technical Report</w:t>
      </w:r>
    </w:p>
    <w:p>
      <w:pPr>
        <w:spacing w:after="320"/>
      </w:pPr>
      <w:r>
        <w:rPr>
          <w:i/>
          <w:iCs/>
          <w:color w:val="888888"/>
          <w:sz w:val="18"/>
          <w:szCs w:val="18"/>
        </w:rPr>
        <w:t xml:space="preserve">Domain: Finance   |   Dataset: Semi_Unclear_Finance_Dataset_5000.xlsx (adapted as Master_Finance_Data.xlsx)</w:t>
      </w:r>
    </w:p>
    <w:p>
      <w:pPr>
        <w:pStyle w:val="Heading1"/>
        <w:spacing w:after="160" w:before="320"/>
      </w:pPr>
      <w:r>
        <w:t xml:space="preserve">1. Objective</w:t>
      </w:r>
    </w:p>
    <w:p>
      <w:pPr>
        <w:spacing w:after="160"/>
      </w:pPr>
      <w:r>
        <w:rPr>
          <w:sz w:val="21"/>
          <w:szCs w:val="21"/>
        </w:rPr>
        <w:t xml:space="preserve">Acquire, clean, and integrate the raw transaction-level export into a single, analysis-ready master dataset, structured as a star schema, so it can support every downstream stage of the credit-scoring project (EDA, segmentation, fraud flagging, dashboards, forecasting).</w:t>
      </w:r>
    </w:p>
    <w:p>
      <w:pPr>
        <w:pStyle w:val="Heading1"/>
        <w:spacing w:after="160" w:before="320"/>
      </w:pPr>
      <w:r>
        <w:t xml:space="preserve">2. Data Source Overview</w:t>
      </w:r>
    </w:p>
    <w:p>
      <w:pPr>
        <w:spacing w:after="160"/>
      </w:pPr>
      <w:r>
        <w:rPr>
          <w:sz w:val="21"/>
          <w:szCs w:val="21"/>
        </w:rPr>
        <w:t xml:space="preserve">The raw file contains a single sheet, "Transactions", with 5,000 rows and 15 columns, spanning transaction dates from 1 Jan 2025 to 25 Jun 2026 across 801 distinct customers (multiple transactions per customer).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95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CustomerID / TransactionID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identifier (repeats) and unique transaction identifier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TransactionDate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of the transaction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Age, Gender, Occupation, Region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Demographic attributes recorded at the time of the transaction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Income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Reported income at the time of the transaction (frequently missing)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TransactionAmount, MerchantCategory, PaymentMethod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Transaction-level details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BehaviorScore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Behavioral score (0–100 scale)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LoanAmount, CreditScore, DefaultFlag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Credit variables: outstanding loan amount, credit score (300–900 scale), and default indicator (1 = defaulted)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3. Methodology</w:t>
      </w:r>
    </w:p>
    <w:p>
      <w:pPr>
        <w:pStyle w:val="Heading2"/>
        <w:spacing w:after="120" w:before="240"/>
      </w:pPr>
      <w:r>
        <w:t xml:space="preserve">3.1 Extract</w:t>
      </w:r>
    </w:p>
    <w:p>
      <w:pPr>
        <w:spacing w:after="160"/>
      </w:pPr>
      <w:r>
        <w:rPr>
          <w:sz w:val="21"/>
          <w:szCs w:val="21"/>
        </w:rPr>
        <w:t xml:space="preserve">The Transactions sheet was loaded in full (5,000 rows × 15 columns) using pandas / openpyxl. No rows were excluded at extraction.</w:t>
      </w:r>
    </w:p>
    <w:p>
      <w:pPr>
        <w:pStyle w:val="Heading2"/>
        <w:spacing w:after="120" w:before="240"/>
      </w:pPr>
      <w:r>
        <w:t xml:space="preserve">3.2 Transform — Cleaning Steps Applied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 Found</w:t>
            </w:r>
          </w:p>
        </w:tc>
        <w:tc>
          <w:tcPr>
            <w:tcW w:type="dxa" w:w="440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  <w:tc>
          <w:tcPr>
            <w:tcW w:type="dxa" w:w="235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Rows Affected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Whitespace inconsistency in Region ('South ' vs 'South')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Trimmed whitespace on all text columns; 'South ' merged into 'South', reducing Region from 5 to 4 categories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56 rows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TransactionDate stored as text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Parsed to a proper datetime type; Year, Month, MonthName, Quarter derived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5,000 rows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Income missing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~50% missing. Too large a share to safely impute as a point estimate; original left null, IsIncomeMissing flag added, and a separate segment-median Income_Imputed column supplied for charting only (not for modelling)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2,501 rows (50.0%)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TransactionAmount missing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Imputed using the median TransactionAmount for the same MerchantCategory; IsTransactionAmountMissing flag retained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49 rows (0.98%)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Duplicate records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Checked on TransactionID (business key) and on full-row basis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 found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Out-of-range / invalid values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Validated Income ≥ 0, TransactionAmount ≥ 0, CreditScore ∈ [300,900], Age ∈ [18,100]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 found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Business-rule consistency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Verified no row has LoanAmount = 0 with DefaultFlag = 1 (cannot default with no loan)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Rule holds (0 violations)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3.3 Load — Star Schema Design</w:t>
      </w:r>
    </w:p>
    <w:p>
      <w:pPr>
        <w:spacing w:after="160"/>
      </w:pPr>
      <w:r>
        <w:rPr>
          <w:sz w:val="21"/>
          <w:szCs w:val="21"/>
        </w:rPr>
        <w:t xml:space="preserve">A modelling decision was required before building the schema: profiling showed that Age, Gender, Occupation, Region, Income and CreditScore are NOT stable per CustomerID — they vary across a given customer's own transactions (verified for all 801 customers). Rather than force a conventional one-row-per-customer Dim_Customer, which would silently overwrite genuine point-in-time variation such as a customer's CreditScore changing between transactions, these fields are kept as point-in-time attributes on the fact row. CustomerID remains on the fact table as a degenerate dimension. This preserves the credit-relevant history that the later modelling stages depend on.</w:t>
      </w:r>
    </w:p>
    <w:p>
      <w:pPr>
        <w:spacing w:after="160"/>
      </w:pPr>
      <w:r>
        <w:rPr>
          <w:sz w:val="21"/>
          <w:szCs w:val="21"/>
        </w:rPr>
        <w:t xml:space="preserve">The resulting schema: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Fact_Transactions — grain: one row per TransactionID (5,000 rows). Contains the FKs below plus measures: Age, Income, TransactionAmount, BehaviorScore, LoanAmount, CreditScore, DefaultFlag, and data-quality flags.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Dim_Date — 541 distinct dates, with Year / Month / Quarter / DayOfWeek attributes.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Dim_MerchantCategory — 6 categories (Groceries, Bills, Shopping, Travel, Dining, Fuel).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Dim_PaymentMethod — 4 methods (UPI, NetBanking, Cash, Card).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Dim_Occupation — 5 occupations (Retired, Student, Salaried, Unemployed, Self-Employed).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Dim_Region — 4 regions (East, North, South, West) after cleaning.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Dim_Gender — 2 categories (F, M).</w:t>
      </w:r>
    </w:p>
    <w:p>
      <w:pPr>
        <w:spacing w:after="160"/>
      </w:pPr>
      <w:r>
        <w:rPr>
          <w:sz w:val="21"/>
          <w:szCs w:val="21"/>
        </w:rPr>
        <w:t xml:space="preserve">Every fact row joined successfully to all six dimensions with zero orphaned foreign keys (referential integrity check passed).</w:t>
      </w:r>
    </w:p>
    <w:p>
      <w:pPr>
        <w:pStyle w:val="Heading1"/>
        <w:spacing w:after="160" w:before="320"/>
      </w:pPr>
      <w:r>
        <w:t xml:space="preserve">4. Data Quality Findings — Summary</w:t>
      </w:r>
    </w:p>
    <w:p>
      <w:pPr>
        <w:spacing w:after="160"/>
        <w:jc w:val="center"/>
      </w:pPr>
      <w:r>
        <w:drawing>
          <wp:inline distT="0" distB="0" distL="0" distR="0">
            <wp:extent cx="409575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1"/>
          <w:szCs w:val="21"/>
        </w:rPr>
        <w:t xml:space="preserve">Income is the dominant data-quality gap (50.0% missing), spread evenly across occupation segments rather than concentrated in one group — consistent with values simply not being captured at the point of transaction. TransactionAmount had a small, easily-imputed gap (0.98%).</w:t>
      </w:r>
    </w:p>
    <w:p>
      <w:pPr>
        <w:spacing w:after="160"/>
        <w:jc w:val="center"/>
      </w:pPr>
      <w:r>
        <w:drawing>
          <wp:inline distT="0" distB="0" distL="0" distR="0">
            <wp:extent cx="409575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1"/>
          <w:szCs w:val="21"/>
        </w:rPr>
        <w:t xml:space="preserve">Region contained a whitespace-only duplicate ('South ' vs 'South'); trimming text fields resolved this and every other categorical column checked clean.</w:t>
      </w:r>
    </w:p>
    <w:p>
      <w:pPr>
        <w:pStyle w:val="Heading1"/>
        <w:spacing w:after="160" w:before="320"/>
      </w:pPr>
      <w:r>
        <w:t xml:space="preserve">5. Visual Overview of the Cleaned Data</w:t>
      </w:r>
    </w:p>
    <w:p>
      <w:pPr>
        <w:spacing w:after="160"/>
        <w:jc w:val="center"/>
      </w:pPr>
      <w:r>
        <w:drawing>
          <wp:inline distT="0" distB="0" distL="0" distR="0">
            <wp:extent cx="4381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distT="0" distB="0" distL="0" distR="0">
            <wp:extent cx="409575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distT="0" distB="0" distL="0" distR="0">
            <wp:extent cx="409575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1"/>
          <w:szCs w:val="21"/>
        </w:rPr>
        <w:t xml:space="preserve">These charts (and two more — Region before/after, Income by Occupation) are reproduced at full size on the Dashboard tab of Master_Finance_Data_Cleaned.xlsx.</w:t>
      </w:r>
    </w:p>
    <w:p>
      <w:pPr>
        <w:pStyle w:val="Heading1"/>
        <w:spacing w:after="160" w:before="320"/>
      </w:pPr>
      <w:r>
        <w:t xml:space="preserve">6. Deliverables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15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Technical report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Day1_Technical_Report.docx (this document)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Cleaned &amp; processed dataset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Master_Finance_Data_Cleaned.xlsx — Cleaned_Flat_Table, 6-table star schema (Fact_Transactions + 6 dimensions), Data_Quality_Log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Visualization / dashboard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 tab inside Master_Finance_Data_Cleaned.xlsx (6 charts)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 scripts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etl_star_schema.py (ETL + star schema build), make_charts.py, add_dashboard.py, format_sheets.py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7. Assumptions &amp; Limitations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Income_Imputed (segment-median by Occupation) is provided strictly for descriptive charting. It should not be fed into the credit-scoring model as if it were observed income without explicitly flagging IsIncomeMissing as a feature or excluding those rows, since 50% imputation can materially distort a risk model.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CreditScore in this dataset uses a 300–900 scale (not the standard FICO 300–850); this is treated as the project's internal scale and used consistently as-is.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Because customer attributes are time-variant, any customer-level aggregation performed in later days (e.g. RFM segmentation) should be built from Fact_Transactions directly (e.g., most recent transaction per customer) rather than from an implied static customer profile.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 rows were removed during cleaning; all 5,000 transactions are retained in both the flat cleaned table and the star schema.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Algorithmic Credit Scoring — Day 1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266" w:sz="6" w:space="4"/>
      </w:pBdr>
      <w:spacing w:after="160" w:before="320"/>
    </w:pPr>
    <w:rPr>
      <w:rFonts w:ascii="Arial" w:cs="Arial" w:eastAsia="Arial" w:hAnsi="Arial"/>
      <w:b/>
      <w:bCs/>
      <w:color w:val="2E526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6E889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1d0d23e8fb9eec0a517c287026a00191eb62eec.png"/><Relationship Id="rId10" Type="http://schemas.openxmlformats.org/officeDocument/2006/relationships/image" Target="media/91e9a9849f7d2533af88174d9bc8de437a94e3e1.png"/><Relationship Id="rId11" Type="http://schemas.openxmlformats.org/officeDocument/2006/relationships/image" Target="media/f0daccdd24323cb1396220140b497596ecb5dbc2.png"/><Relationship Id="rId12" Type="http://schemas.openxmlformats.org/officeDocument/2006/relationships/image" Target="media/c505a0445a182dec0edeacb478783ff93a81cbd4.png"/><Relationship Id="rId13" Type="http://schemas.openxmlformats.org/officeDocument/2006/relationships/image" Target="media/bd5e1cdd0d237e7f1a7b9ed2e87387d017244e6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2026-07-10T10:29:28.598Z</dcterms:created>
  <dcterms:modified xsi:type="dcterms:W3CDTF">2026-07-10T10:29:28.609Z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