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266"/>
          <w:sz w:val="40"/>
          <w:szCs w:val="40"/>
        </w:rPr>
        <w:t xml:space="preserve">Algorithmic Credit Scoring Using Behavioral and Transactional Data</w:t>
      </w:r>
    </w:p>
    <w:p>
      <w:pPr>
        <w:spacing w:after="40"/>
      </w:pPr>
      <w:r>
        <w:rPr>
          <w:color w:val="6E8898"/>
          <w:sz w:val="26"/>
          <w:szCs w:val="26"/>
        </w:rPr>
        <w:t xml:space="preserve">Day 2 — Descriptive Statistics &amp; Exploratory Data Analysis: Technical Report</w:t>
      </w:r>
    </w:p>
    <w:p>
      <w:pPr>
        <w:spacing w:after="320"/>
      </w:pPr>
      <w:r>
        <w:rPr>
          <w:i/>
          <w:iCs/>
          <w:color w:val="888888"/>
          <w:sz w:val="18"/>
          <w:szCs w:val="18"/>
        </w:rPr>
        <w:t xml:space="preserve">Domain: Finance   |   Input: Master_Finance_Data_Cleaned.xlsx (Day 1 output)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60"/>
      </w:pPr>
      <w:r>
        <w:rPr>
          <w:sz w:val="21"/>
          <w:szCs w:val="21"/>
        </w:rPr>
        <w:t xml:space="preserve">Perform a comprehensive exploratory analysis on the cleaned dataset to understand distributions, identify outliers, and quantify which variables are most associated with DefaultFlag — the target the whole project is ultimately built around.</w:t>
      </w:r>
    </w:p>
    <w:p>
      <w:pPr>
        <w:pStyle w:val="Heading1"/>
        <w:spacing w:after="160" w:before="320"/>
      </w:pPr>
      <w:r>
        <w:t xml:space="preserve">2.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Descriptive statistics (count, mean, median, std dev, quartiles, skew) computed for all 7 numeric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Frequency distributions computed for all 5 categorical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Outlier scan using the standard IQR method (1.5× interquartile range) on 6 numeric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Pearson correlation matrix across all numeric fields, including DefaultFlag.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Default-rate cuts by Occupation, Region and Income bracket for early risk profiling.</w:t>
      </w:r>
    </w:p>
    <w:p>
      <w:pPr>
        <w:pStyle w:val="Heading1"/>
        <w:spacing w:after="160" w:before="320"/>
      </w:pPr>
      <w:r>
        <w:t xml:space="preserve">3. Distributions</w:t>
      </w:r>
    </w:p>
    <w:p>
      <w:pPr>
        <w:spacing w:after="16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Age and CreditScore are close to uniformly spread across their ranges. Income is right-skewed, as expected for income data. TransactionAmount shows a similar right skew with a long tail toward high-value transactions.</w:t>
      </w:r>
    </w:p>
    <w:p>
      <w:pPr>
        <w:pStyle w:val="Heading1"/>
        <w:spacing w:after="160" w:before="320"/>
      </w:pPr>
      <w:r>
        <w:t xml:space="preserve">4. Outlier Scan</w:t>
      </w:r>
    </w:p>
    <w:p>
      <w:pPr>
        <w:spacing w:after="160"/>
        <w:jc w:val="center"/>
      </w:pPr>
      <w:r>
        <w:drawing>
          <wp:inline distT="0" distB="0" distL="0" distR="0">
            <wp:extent cx="4191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The IQR (1.5×) method found meaningful outliers in only one field: TransactionAmount, with 76 values (1.52%) above the upper bound of ₹304,732 — large but plausible transactions, not data errors, given the dataset's realistic range up to ~₹998K. Income, LoanAmount, BehaviorScore, CreditScore and Age all came back with 0 IQR outliers; their bounded, evenly-spread ranges (e.g. CreditScore 300–900, BehaviorScore 20–100) don't produce classic long-tail outliers.</w:t>
      </w:r>
    </w:p>
    <w:p>
      <w:pPr>
        <w:pStyle w:val="Heading1"/>
        <w:spacing w:after="160" w:before="320"/>
      </w:pPr>
      <w:r>
        <w:t xml:space="preserve">5. Correlation Analysis</w:t>
      </w:r>
    </w:p>
    <w:p>
      <w:pPr>
        <w:spacing w:after="160"/>
        <w:jc w:val="center"/>
      </w:pPr>
      <w:r>
        <w:drawing>
          <wp:inline distT="0" distB="0" distL="0" distR="0">
            <wp:extent cx="3619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Ranked by absolute correlation with DefaultFlag: LoanAmount is the strongest correlate (r=0.326, positive — larger loans associate with more defaults), followed by Income (r=-0.242, negative — higher income associates with fewer defaults) and CreditScore (r=-0.208, negative, as expected for a credit score). BehaviorScore, Age and TransactionAmount show only weak correlation with default (|r|&lt;0.07), suggesting they carry limited standalone predictive signal for default risk in this dataset.</w:t>
      </w:r>
    </w:p>
    <w:p>
      <w:pPr>
        <w:spacing w:after="160"/>
        <w:jc w:val="center"/>
      </w:pPr>
      <w:r>
        <w:drawing>
          <wp:inline distT="0" distB="0" distL="0" distR="0">
            <wp:extent cx="4191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Plotting Income against CreditScore and coloring by DefaultFlag shows defaults (red) scattered broadly rather than confined to one corner — consistent with the modest correlation strengths above; no single pair of variables cleanly separates defaulters from non-defaulters.</w:t>
      </w:r>
    </w:p>
    <w:p>
      <w:pPr>
        <w:pStyle w:val="Heading1"/>
        <w:spacing w:after="160" w:before="320"/>
      </w:pPr>
      <w:r>
        <w:t xml:space="preserve">6. Segment-Level Default Rates</w:t>
      </w:r>
    </w:p>
    <w:p>
      <w:pPr>
        <w:spacing w:after="16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Default rate by Occupation is fairly flat (13.4%–14.7%), with Retired customers highest (14.7%) and Salaried lowest (13.4%) — occupation alone is a weak differentiator of risk, consistent with the low correlation of Age/BehaviorScore with default seen above.</w:t>
      </w:r>
    </w:p>
    <w:p>
      <w:pPr>
        <w:pStyle w:val="Heading1"/>
        <w:spacing w:after="160" w:before="320"/>
      </w:pPr>
      <w:r>
        <w:t xml:space="preserve">7. Category Frequencies</w:t>
      </w:r>
    </w:p>
    <w:p>
      <w:pPr>
        <w:spacing w:after="16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  <w:szCs w:val="21"/>
        </w:rPr>
        <w:t xml:space="preserve">Merchant category and payment method volumes are reproduced on the Dashboard tab for reference; both are close to evenly distributed across their categories, with no single category dominating transaction volume.</w:t>
      </w:r>
    </w:p>
    <w:p>
      <w:pPr>
        <w:pStyle w:val="Heading1"/>
        <w:spacing w:after="160" w:before="320"/>
      </w:pPr>
      <w:r>
        <w:t xml:space="preserve">8. Key Takeaways for Later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LoanAmount, Income and CreditScore are the three variables most worth prioritizing in any predictive/risk-scoring work later in the project — they carry the clearest (if still moderate) relationship with DefaultFlag.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TransactionAmount is the only field with a notable outlier tail (1.52%) — worth revisiting if a model proves sensitive to extreme transaction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Occupation and Region show limited standalone power to separate default risk; they may still help in combination with other features but shouldn't be treated as strong risk signals on their own.</w:t>
      </w:r>
    </w:p>
    <w:p>
      <w:pPr>
        <w:pStyle w:val="Heading1"/>
        <w:spacing w:after="160" w:before="320"/>
      </w:pPr>
      <w:r>
        <w:t xml:space="preserve">9. Deliverables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150"/>
            <w:shd w:fill="2E52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Technical report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Day2_Technical_Report.docx (this document)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Cleaned &amp; processed dataset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Master_Finance_Data_EDA.xlsx — Descriptive_Numeric, Descriptive_Categorical, Outlier_Scan, Correlation_Matrix, Correlation_vs_Default, Default_by_Occupation, Default_by_Region, Default_by_IncomeBracket, Methodology_Log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Visualization / dashboard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tab inside Master_Finance_Data_EDA.xlsx (6 charts)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scripts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eda_analysis.py (statistics + correlation build), make_charts.py, add_dashboard.py, format_sheets.py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10. Assumptions &amp;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Correlation is Pearson (linear) only; non-linear relationships between variables and DefaultFlag are not captured by this pass and would need a model-based feature-importance check later in the 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Income used for the income-bracket cut is Income_Imputed (segment-median fill for the 50% missing rows carried over from Day 1) — bracket-level default rates for the imputed portion should be read as indicative, not exact.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IQR outlier detection assumes roughly unimodal distributions; it is less meaningful for CreditScore and BehaviorScore, which are closer to uniform by design in this dataset.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Algorithmic Credit Scoring — Day 2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266" w:sz="6" w:space="4"/>
      </w:pBdr>
      <w:spacing w:after="160" w:before="320"/>
    </w:pPr>
    <w:rPr>
      <w:rFonts w:ascii="Arial" w:cs="Arial" w:eastAsia="Arial" w:hAnsi="Arial"/>
      <w:b/>
      <w:bCs/>
      <w:color w:val="2E52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6E88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4aca9bfb10e09a2a339fa71569e00476a56bd02.png"/><Relationship Id="rId10" Type="http://schemas.openxmlformats.org/officeDocument/2006/relationships/image" Target="media/95de129f6d2b6e21e5f5947ced5a2d17795ceaf5.png"/><Relationship Id="rId11" Type="http://schemas.openxmlformats.org/officeDocument/2006/relationships/image" Target="media/40f90ca99e3e64e8a8203c23d5bdcff663d85e0e.png"/><Relationship Id="rId12" Type="http://schemas.openxmlformats.org/officeDocument/2006/relationships/image" Target="media/69e1ad45ee07acd37af3e82fe2cfd353afbb0a1d.png"/><Relationship Id="rId13" Type="http://schemas.openxmlformats.org/officeDocument/2006/relationships/image" Target="media/f67efeefbebc33a578af6dbdb233c9320b10626c.png"/><Relationship Id="rId14" Type="http://schemas.openxmlformats.org/officeDocument/2006/relationships/image" Target="media/26a858ff3db903fe04a9db26657debeb0b7c5a2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2026-07-14T08:37:48.450Z</dcterms:created>
  <dcterms:modified xsi:type="dcterms:W3CDTF">2026-07-14T08:37:48.458Z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