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266"/>
          <w:sz w:val="40"/>
          <w:szCs w:val="40"/>
        </w:rPr>
        <w:t xml:space="preserve">Algorithmic Credit Scoring Using Behavioral and Transactional Data</w:t>
      </w:r>
    </w:p>
    <w:p>
      <w:pPr>
        <w:spacing w:after="40"/>
      </w:pPr>
      <w:r>
        <w:rPr>
          <w:color w:val="6E8898"/>
          <w:sz w:val="26"/>
          <w:szCs w:val="26"/>
        </w:rPr>
        <w:t xml:space="preserve">Day 3 — Customer Segmentation using RFM Analysis: Technical Report</w:t>
      </w:r>
    </w:p>
    <w:p>
      <w:pPr>
        <w:spacing w:after="320"/>
      </w:pPr>
      <w:r>
        <w:rPr>
          <w:i/>
          <w:iCs/>
          <w:color w:val="888888"/>
          <w:sz w:val="18"/>
          <w:szCs w:val="18"/>
        </w:rPr>
        <w:t xml:space="preserve">Domain: Finance   |   Input: Master_Finance_Data_Cleaned.xlsx (Day 1 output)</w:t>
      </w:r>
    </w:p>
    <w:p>
      <w:pPr>
        <w:pStyle w:val="Heading1"/>
        <w:spacing w:after="160" w:before="320"/>
      </w:pPr>
      <w:r>
        <w:t xml:space="preserve">1. Objective</w:t>
      </w:r>
    </w:p>
    <w:p>
      <w:pPr>
        <w:spacing w:after="160"/>
      </w:pPr>
      <w:r>
        <w:rPr>
          <w:sz w:val="21"/>
          <w:szCs w:val="21"/>
        </w:rPr>
        <w:t xml:space="preserve">Segment the project's 801 customers using RFM (Recency, Frequency, Monetary) behavioral analysis, then connect each segment to credit-risk indicators (average CreditScore, default rate, BehaviorScore) so the segmentation is directly useful for credit-scoring decisions, not just marketing.</w:t>
      </w:r>
    </w:p>
    <w:p>
      <w:pPr>
        <w:pStyle w:val="Heading1"/>
        <w:spacing w:after="160" w:before="320"/>
      </w:pPr>
      <w:r>
        <w:t xml:space="preserve">2. Methodology</w:t>
      </w:r>
    </w:p>
    <w:p>
      <w:pPr>
        <w:pStyle w:val="Heading2"/>
        <w:spacing w:after="120" w:before="240"/>
      </w:pPr>
      <w:r>
        <w:t xml:space="preserve">2.1 Why aggregate from Fact_Transactions, not a customer master table</w:t>
      </w:r>
    </w:p>
    <w:p>
      <w:pPr>
        <w:spacing w:after="160"/>
      </w:pPr>
      <w:r>
        <w:rPr>
          <w:sz w:val="21"/>
          <w:szCs w:val="21"/>
        </w:rPr>
        <w:t xml:space="preserve">As established in Day 1, a customer's Age, Income and CreditScore are point-in-time values that change across their own transactions — there is no single stable 'customer record' to pull from. RFM metrics are therefore computed by aggregating all of Fact_Transactions per CustomerID directly, and CreditScore / BehaviorScore are summarized as an AVERAGE across a customer's transaction history rather than taken from one arbitrary row.</w:t>
      </w:r>
    </w:p>
    <w:p>
      <w:pPr>
        <w:pStyle w:val="Heading2"/>
        <w:spacing w:after="120" w:before="240"/>
      </w:pPr>
      <w:r>
        <w:t xml:space="preserve">2.2 RFM metric definitions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8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755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Recency (R)</w:t>
            </w:r>
          </w:p>
        </w:tc>
        <w:tc>
          <w:tcPr>
            <w:tcW w:type="dxa" w:w="7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Days between each customer's most recent transaction and the reference date (26 Jun 2026, one day after the latest transaction in the dataset). Lower = more recently active.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Frequency (F)</w:t>
            </w:r>
          </w:p>
        </w:tc>
        <w:tc>
          <w:tcPr>
            <w:tcW w:type="dxa" w:w="7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count of transactions per customer over the full 1 Jan 2025 – 25 Jun 2026 window.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Monetary (M)</w:t>
            </w:r>
          </w:p>
        </w:tc>
        <w:tc>
          <w:tcPr>
            <w:tcW w:type="dxa" w:w="7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 of TransactionAmount across all of a customer's transactions.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2.3 Scoring and segmentation</w:t>
      </w:r>
    </w:p>
    <w:p>
      <w:pPr>
        <w:spacing w:after="160"/>
      </w:pPr>
      <w:r>
        <w:rPr>
          <w:sz w:val="21"/>
          <w:szCs w:val="21"/>
        </w:rPr>
        <w:t xml:space="preserve">Each of R, F and M was split into quartiles and scored 1 (lowest) to 4 (highest), with Recency reversed so that a score of 4 always means 'good' (most recent, most frequent, highest spend). Frequency ties were broken with a stable rank before quartiling so quartiles remained evenly sized. The three digit scores were combined into an RFM_Score (e.g. '432') and an RFM_Total (sum, 3–12), and each customer was assigned to one of 8 behavioral segments using standard RFM heuristics (e.g. R≥4,F≥4,M≥4 → Champions; R≤2,F≤2,M≤2 → Hibernating).</w:t>
      </w:r>
    </w:p>
    <w:p>
      <w:pPr>
        <w:pStyle w:val="Heading1"/>
        <w:spacing w:after="160" w:before="320"/>
      </w:pPr>
      <w:r>
        <w:t xml:space="preserve">3. Segment Results</w:t>
      </w:r>
    </w:p>
    <w:p>
      <w:pPr>
        <w:spacing w:after="160"/>
        <w:jc w:val="center"/>
      </w:pPr>
      <w:r>
        <w:drawing>
          <wp:inline distT="0" distB="0" distL="0" distR="0">
            <wp:extent cx="4191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  <w:szCs w:val="21"/>
        </w:rPr>
        <w:t xml:space="preserve">Hibernating (216, 27%) and Loyal Customers (208, 26%) are the two largest groups, together over half the base. Champions — the highest-value, most engaged customers — make up 53 customers (6.6%), and Potential Loyalist is the smallest segment at 22 (2.7%).</w:t>
      </w:r>
    </w:p>
    <w:p>
      <w:pPr>
        <w:spacing w:after="16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  <w:szCs w:val="21"/>
        </w:rPr>
        <w:t xml:space="preserve">The Recency-vs-Monetary view (bubble size = Frequency) shows Champions clustered at low recency / high monetary with large bubbles (high frequency), while Hibernating customers sit at high recency (inactive) with small, low-value bubbles — the segmentation is behaving as expected.</w:t>
      </w:r>
    </w:p>
    <w:p>
      <w:pPr>
        <w:spacing w:after="160"/>
        <w:jc w:val="center"/>
      </w:pPr>
      <w:r>
        <w:drawing>
          <wp:inline distT="0" distB="0" distL="0" distR="0">
            <wp:extent cx="3619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  <w:szCs w:val="21"/>
        </w:rPr>
        <w:t xml:space="preserve">The Recency-score x Frequency-score density heatmap shows the customer base is not evenly spread — there is a concentration at low R / low F (disengaged) and a separate cluster at high R / mid-high F (engaged), rather than a smooth continuum.</w:t>
      </w:r>
    </w:p>
    <w:p>
      <w:pPr>
        <w:pStyle w:val="Heading1"/>
        <w:spacing w:after="160" w:before="320"/>
      </w:pPr>
      <w:r>
        <w:t xml:space="preserve">4. Credit-Risk Overlay</w:t>
      </w:r>
    </w:p>
    <w:p>
      <w:pPr>
        <w:spacing w:after="160"/>
      </w:pPr>
      <w:r>
        <w:rPr>
          <w:sz w:val="21"/>
          <w:szCs w:val="21"/>
        </w:rPr>
        <w:t xml:space="preserve">Because this is a credit-scoring project, each segment's average CreditScore and default rate were also computed, to test whether engagement behavior lines up with credit risk.</w:t>
      </w:r>
    </w:p>
    <w:p>
      <w:pPr>
        <w:spacing w:after="160"/>
        <w:jc w:val="center"/>
      </w:pPr>
      <w:r>
        <w:drawing>
          <wp:inline distT="0" distB="0" distL="0" distR="0">
            <wp:extent cx="409575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distT="0" distB="0" distL="0" distR="0">
            <wp:extent cx="409575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  <w:szCs w:val="21"/>
        </w:rPr>
        <w:t xml:space="preserve">Default rates are fairly close across segments (12%–17%), with Needs Attention highest (17.1%) and Champions lowest (11.7%). Average CreditScore is also fairly flat across segments (485–521), with Potential Loyalist notably higher (521) despite being the smallest segment. This suggests engagement/spend behavior (RFM) and credit risk are only weakly related in this dataset — RFM segments should be treated as a behavioral/engagement view, not a substitute for a dedicated credit-risk score.</w:t>
      </w:r>
    </w:p>
    <w:p>
      <w:pPr>
        <w:pStyle w:val="Heading1"/>
        <w:spacing w:after="160" w:before="320"/>
      </w:pPr>
      <w:r>
        <w:t xml:space="preserve">5. Segment Profile Table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1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Customers</w:t>
            </w:r>
          </w:p>
        </w:tc>
        <w:tc>
          <w:tcPr>
            <w:tcW w:type="dxa" w:w="14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 Recency (days)</w:t>
            </w:r>
          </w:p>
        </w:tc>
        <w:tc>
          <w:tcPr>
            <w:tcW w:type="dxa" w:w="12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 Frequency</w:t>
            </w:r>
          </w:p>
        </w:tc>
        <w:tc>
          <w:tcPr>
            <w:tcW w:type="dxa" w:w="155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 Monetary (₹)</w:t>
            </w:r>
          </w:p>
        </w:tc>
        <w:tc>
          <w:tcPr>
            <w:tcW w:type="dxa" w:w="12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 CreditScore</w:t>
            </w:r>
          </w:p>
        </w:tc>
        <w:tc>
          <w:tcPr>
            <w:tcW w:type="dxa" w:w="12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 Default Rate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Hibernating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216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167.6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3.92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367,460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485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15.0%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Loyal Customers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208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31.1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7.92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831,571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503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13.0%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 Risk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120.3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8.05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946,403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499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14.0%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Needs Attention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64.1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5.29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424,544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499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17.1%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/ Promising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12.2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4.59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505,567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506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14.0%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Champions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14.3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10.13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1,160,585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502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11.7%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Can't Lose Them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133.0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5.26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841,069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497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14.0%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Potential Loyalist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41.8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5.41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850,489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521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14.0%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6. Deliverables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15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Technical report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Day3_Technical_Report.docx (this document)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Cleaned &amp; processed dataset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Customer_RFM_Segments.xlsx — Customer_RFM (801 rows), Segment_Profile (8 segments), Methodology_Log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Visualization / dashboard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 tab inside Customer_RFM_Segments.xlsx (5 charts)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 scripts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rfm_segmentation.py (RFM build), make_charts.py, add_dashboard.py, format_sheets.py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7. Assumptions &amp; Limitations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RFM quartile cut points are relative to this dataset only (801 customers); segment boundaries would shift on a different customer base or time window.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CreditScore/BehaviorScore per customer are averages across all of that customer's transactions, smoothing over any real point-in-time change — appropriate for a general standing view, but not a substitute for the point-in-time CreditScore used in fraud/default modelling on individual transactions.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Default rate here is computed only over transactions that carried a loan (LoanAmount &gt; 0 rows contribute the DefaultFlag signal); customers with very few loan-bearing transactions have noisier default-rate estimates.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weak link observed between RFM segment and credit risk means engagement-based segments (this report) and risk-based segments (to be built in later days) should be used as complementary views, not interchangeably.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Algorithmic Credit Scoring — Day 3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266" w:sz="6" w:space="4"/>
      </w:pBdr>
      <w:spacing w:after="160" w:before="320"/>
    </w:pPr>
    <w:rPr>
      <w:rFonts w:ascii="Arial" w:cs="Arial" w:eastAsia="Arial" w:hAnsi="Arial"/>
      <w:b/>
      <w:bCs/>
      <w:color w:val="2E52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6E88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089a2cc34a95ac5cf667b99526b37a1f1a8be55.png"/><Relationship Id="rId10" Type="http://schemas.openxmlformats.org/officeDocument/2006/relationships/image" Target="media/070e090615e0d99e489e61427e6b21a14ee79f4c.png"/><Relationship Id="rId11" Type="http://schemas.openxmlformats.org/officeDocument/2006/relationships/image" Target="media/5996590e2b7d9f1116d79f436e60140517bfce33.png"/><Relationship Id="rId12" Type="http://schemas.openxmlformats.org/officeDocument/2006/relationships/image" Target="media/ba30531924c5ad1d39237e47318eb491be19b0dc.png"/><Relationship Id="rId13" Type="http://schemas.openxmlformats.org/officeDocument/2006/relationships/image" Target="media/59a506abdadfbf0a17ed840ff4e4a74b86d21ee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2026-07-14T08:22:15.778Z</dcterms:created>
  <dcterms:modified xsi:type="dcterms:W3CDTF">2026-07-14T08:22:15.842Z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