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An AI-Based Environmental Intelligence System for Sustainability</w:t>
      </w:r>
    </w:p>
    <w:p>
      <w:pPr>
        <w:spacing w:after="360"/>
        <w:jc w:val="center"/>
      </w:pPr>
      <w:r>
        <w:rPr>
          <w:i/>
          <w:iCs/>
          <w:sz w:val="22"/>
          <w:szCs w:val="22"/>
        </w:rPr>
        <w:t xml:space="preserve">Wind-speed forecasting (LSTM), air-pollution forecasting (Random Forest), and zero-shot ESG text classification on the Beijing PM2.5 dataset</w:t>
      </w:r>
    </w:p>
    <w:p>
      <w:pPr>
        <w:pStyle w:val="Heading1"/>
        <w:spacing w:after="200" w:before="360"/>
      </w:pPr>
      <w:r>
        <w:rPr>
          <w:b/>
          <w:bCs/>
          <w:sz w:val="28"/>
          <w:szCs w:val="28"/>
        </w:rPr>
        <w:t xml:space="preserve">1. Introduction</w:t>
      </w:r>
    </w:p>
    <w:p>
      <w:pPr>
        <w:spacing w:after="160" w:line="360"/>
        <w:jc w:val="both"/>
      </w:pPr>
      <w:r>
        <w:t xml:space="preserve">Air pollution remains one of the most consequential public-health risks of the twenty-first century, contributing to an estimated seven million premature deaths each year (WHO, 2021). Among regulated pollutants, fine particulate matter (PM2.5) is particularly damaging because particles below 2.5 micrometres in aerodynamic diameter can penetrate the lower respiratory tract and enter the bloodstream. Cities such as Beijing have repeatedly recorded concentrations far in excess of safe thresholds, and short-horizon forecasts of PM2.5 levels are now routinely used to inform public-health advisories and outdoor-activity guidance.</w:t>
      </w:r>
    </w:p>
    <w:p>
      <w:pPr>
        <w:spacing w:after="160" w:line="360"/>
        <w:jc w:val="both"/>
      </w:pPr>
      <w:r>
        <w:t xml:space="preserve">This project examines two artificial-intelligence applications that touch on environmental sustainability: short-horizon forecasting of meteorological and air-quality variables, and natural-language understanding applied to corporate sustainability text. We pose two research questions. First, can a chained forecasting pipeline, in which a recurrent neural network forecasts wind speed and a tree ensemble uses that forecast as an additional input to predict PM2.5, yield meaningfully better air-quality forecasts than the naive practice of reusing the previous hour’s value? Second, can a large pre-trained language model classify sustainability text into Environmental, Social and Governance categories without supervised fine-tuning on labelled examples?</w:t>
      </w:r>
    </w:p>
    <w:p>
      <w:pPr>
        <w:spacing w:after="160" w:line="360"/>
        <w:jc w:val="both"/>
      </w:pPr>
      <w:r>
        <w:t xml:space="preserve">Our headline finding is that, once the most recent observed wind speed and a small number of PM2.5 lag features are available to the air-quality model, the marginal information content of a one-hour wind-speed forecast is small (around half of one per cent in RMSE terms) – considerably smaller than dispersal physics alone would suggest. The persistence baseline is itself a stronger competitor than the original literature on this dataset has typically acknowledged. The zero-shot ESG classifier handles canonical examples convincingly, but its confidence becomes diffuse on multi-topic sentences and is misleadingly high on out-of-distribution input.</w:t>
      </w:r>
    </w:p>
    <w:p>
      <w:pPr>
        <w:pStyle w:val="Heading1"/>
        <w:spacing w:after="200" w:before="360"/>
      </w:pPr>
      <w:r>
        <w:rPr>
          <w:b/>
          <w:bCs/>
          <w:sz w:val="28"/>
          <w:szCs w:val="28"/>
        </w:rPr>
        <w:t xml:space="preserve">2. Theory</w:t>
      </w:r>
    </w:p>
    <w:p>
      <w:pPr>
        <w:spacing w:after="160" w:line="360"/>
        <w:jc w:val="both"/>
      </w:pPr>
      <w:r>
        <w:t xml:space="preserve">Long short-term memory networks (Hochreiter and Schmidhuber, 1997) extend basic recurrent neural networks with gated memory cells that mitigate the vanishing-gradient problem and support learning of long-range temporal dependencies. They have become a default baseline for short-horizon environmental forecasting, particularly where the underlying signal exhibits autoregressive structure interleaved with abrupt state changes (Lim and Zohren, 2021). Random Forests (Breiman, 2001) approximate non-linear regression surfaces by averaging over decorrelated decision trees. They are widely used for hourly air-quality prediction because they tolerate mixed-type predictors, expose interpretable feature-importance scores, and require limited tuning.</w:t>
      </w:r>
    </w:p>
    <w:p>
      <w:pPr>
        <w:spacing w:after="160" w:line="360"/>
        <w:jc w:val="both"/>
      </w:pPr>
      <w:r>
        <w:t xml:space="preserve">Atmospheric science predicts a clear directional relationship between wind speed and PM2.5: faster winds disperse pollutants and lower their measured concentration, while calm conditions allow pollutants to accumulate. Liang et al. (2015), in introducing the dataset used in this study, document this relationship at the United States Embassy monitoring station in Beijing across a five-year window. Wang and Ogawa (2017) report a consistent finding in an unrelated Japanese urban context. We therefore expected wind-speed information to contribute material predictive power to the air-quality model, particularly during the low-wind episodes of winter heating during which the most severe pollution events occur.</w:t>
      </w:r>
    </w:p>
    <w:p>
      <w:pPr>
        <w:spacing w:after="160" w:line="360"/>
        <w:jc w:val="both"/>
      </w:pPr>
      <w:r>
        <w:t xml:space="preserve">Zero-shot classification via natural-language inference (Yin, Hay and Roth, 2019; Lewis et al., 2020) reformulates classification as entailment between a candidate sentence and a hypothesis template such as “this text is about [LABEL]”. Because BART-large-MNLI was pre-trained on a large NLI corpus, it can be applied directly to new label sets without further training. This is attractive for ESG categorisation given the absence of a large publicly labelled corpus and the contested boundaries of the ESG categories themselves.</w:t>
      </w:r>
    </w:p>
    <w:p>
      <w:pPr>
        <w:pStyle w:val="Heading1"/>
        <w:spacing w:after="200" w:before="360"/>
      </w:pPr>
      <w:r>
        <w:rPr>
          <w:b/>
          <w:bCs/>
          <w:sz w:val="28"/>
          <w:szCs w:val="28"/>
        </w:rPr>
        <w:t xml:space="preserve">3. Data and Methods</w:t>
      </w:r>
    </w:p>
    <w:p>
      <w:pPr>
        <w:pStyle w:val="Heading2"/>
        <w:spacing w:after="140" w:before="240"/>
      </w:pPr>
      <w:r>
        <w:rPr>
          <w:b/>
          <w:bCs/>
          <w:sz w:val="24"/>
          <w:szCs w:val="24"/>
        </w:rPr>
        <w:t xml:space="preserve">3.1 Data</w:t>
      </w:r>
    </w:p>
    <w:p>
      <w:pPr>
        <w:spacing w:after="160" w:line="360"/>
        <w:jc w:val="both"/>
      </w:pPr>
      <w:r>
        <w:t xml:space="preserve">The forecasting components of this study use the Beijing PM2.5 dataset compiled by Liang et al. (2015) and hosted by the UCI Machine Learning Repository. The dataset contains 43,824 hourly records collected at the United States Embassy in Beijing between 1 January 2010 and 31 December 2014. Each record captures simultaneous measurements of fine particulate matter concentration (pm2.5, µg/m³), dew point (DEWP, °C), air temperature (TEMP, °C), atmospheric pressure (PRES, hPa), combined wind direction (cbwd, a four-level categorical variable taking values NW, NE, SE or cv), cumulative wind speed (Iws, m/s), and cumulative hours of snow and rain (Is, Ir).</w:t>
      </w:r>
    </w:p>
    <w:p>
      <w:pPr>
        <w:spacing w:after="160" w:line="360"/>
        <w:jc w:val="both"/>
      </w:pPr>
      <w:r>
        <w:t xml:space="preserve">We did not collect or annotate this data ourselves. Reusing an established benchmark allows for comparability with the substantial body of follow-up work that uses the same source, and avoids the considerable infrastructural cost of operating an air-quality monitoring station – itself a barrier to entry that limits how widely such modelling can be replicated outside well-resourced cities. Pre-processing was deliberately minimal. Records with missing PM2.5 readings, concentrated in the early months of 2010 when the embassy’s monitoring programme was being established, were dropped, leaving 41,757 usable observations. The categorical wind-direction column was one-hot encoded with the first level dropped to avoid perfect collinearity. No outlier removal was applied: extreme PM2.5 values are precisely the cases of greatest public-health interest, and trimming them would bias downstream evaluation in misleading directions.</w:t>
      </w:r>
    </w:p>
    <w:p>
      <w:pPr>
        <w:spacing w:after="80" w:before="200"/>
        <w:jc w:val="center"/>
      </w:pPr>
      <w:r>
        <w:drawing>
          <wp:inline distT="0" distB="0" distL="0" distR="0">
            <wp:extent cx="5715000" cy="2600325"/>
            <wp:effectExtent t="0" r="0" b="0" l="0"/>
            <wp:docPr id="1" name="cell05.png" descr="Figure 1. Hourly PM2.5 (top) and cumulative wind speed Iws (bottom) over the full 2010–2014 sample, illustrating the strong seasonal and high-frequency variability of both series." title="Figure 1. Hourly PM2.5 (top) and cumulative wind speed Iws (bottom) over the full 2010–2014 sample, illustrating the strong seasonal and high-frequency variability of both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spacing w:after="240"/>
        <w:jc w:val="center"/>
      </w:pPr>
      <w:r>
        <w:rPr>
          <w:i/>
          <w:iCs/>
          <w:sz w:val="20"/>
          <w:szCs w:val="20"/>
        </w:rPr>
        <w:t xml:space="preserve">Figure 1. Hourly PM2.5 (top) and cumulative wind speed Iws (bottom) over the full 2010–2014 sample, illustrating the strong seasonal and high-frequency variability of both series.</w:t>
      </w:r>
    </w:p>
    <w:p>
      <w:pPr>
        <w:pStyle w:val="Heading2"/>
        <w:spacing w:after="140" w:before="240"/>
      </w:pPr>
      <w:r>
        <w:rPr>
          <w:b/>
          <w:bCs/>
          <w:sz w:val="24"/>
          <w:szCs w:val="24"/>
        </w:rPr>
        <w:t xml:space="preserve">3.2 Wind-speed forecasting</w:t>
      </w:r>
    </w:p>
    <w:p>
      <w:pPr>
        <w:spacing w:after="160" w:line="360"/>
        <w:jc w:val="both"/>
      </w:pPr>
      <w:r>
        <w:t xml:space="preserve">A two-layer LSTM was trained to forecast cumulative wind speed one hour ahead. The model takes as input the preceding twenty-four hours of [DEWP, TEMP, PRES, Iws] and returns a single scalar. It was implemented in PyTorch with sixty-four hidden units per layer, dropout of 0.1 between layers, and a final linear projection to a one-dimensional output. Min-max scaling was fitted on the training partition only and applied to validation and test partitions, ensuring that no information from later periods entered the model during fitting.</w:t>
      </w:r>
    </w:p>
    <w:p>
      <w:pPr>
        <w:spacing w:after="160" w:line="360"/>
        <w:jc w:val="both"/>
      </w:pPr>
      <w:r>
        <w:t xml:space="preserve">The dataset was partitioned chronologically into 70% training, 15% validation and 15% test segments, and never shuffled. Shuffling time-series data with autoregressive features is a well-documented source of optimistic bias (Cerqueira, Torgo and Mozetič, 2020): rows from immediately adjacent hours otherwise end up in different splits, and a model that simply memorises near-neighbours will appear to generalise. The model was trained for fifteen epochs with the Adam optimiser at a learning rate of 1×10⁻³ and mini-batches of 256 sequences. Mean squared error served as the loss function for both training and validation.</w:t>
      </w:r>
    </w:p>
    <w:p>
      <w:pPr>
        <w:pStyle w:val="Heading2"/>
        <w:spacing w:after="140" w:before="240"/>
      </w:pPr>
      <w:r>
        <w:rPr>
          <w:b/>
          <w:bCs/>
          <w:sz w:val="24"/>
          <w:szCs w:val="24"/>
        </w:rPr>
        <w:t xml:space="preserve">3.3 Air-pollution forecasting</w:t>
      </w:r>
    </w:p>
    <w:p>
      <w:pPr>
        <w:spacing w:after="160" w:line="360"/>
        <w:jc w:val="both"/>
      </w:pPr>
      <w:r>
        <w:t xml:space="preserve">A Random Forest regressor (200 trees, scikit-learn implementation, fixed random seed) was trained to predict hourly PM2.5. The feature vector consisted of the observed weather variables, two-step lag features pm_lag1 and pm_lag2, the one-hot wind-direction indicators, and the LSTM’s wind-speed forecast pred_Iws aligned to each row. The chronological 80/20 train-test split yielded 33,386 training hours and 8,347 testing hours, with the test segment beginning on 14 January 2014 and continuing to the end of the dataset.</w:t>
      </w:r>
    </w:p>
    <w:p>
      <w:pPr>
        <w:spacing w:after="160" w:line="360"/>
        <w:jc w:val="both"/>
      </w:pPr>
      <w:r>
        <w:t xml:space="preserve">Three configurations were evaluated on this same split. The first is a persistence baseline that predicts the previous hour’s PM2.5 directly. The second is the Random Forest excluding pred_Iws, which serves as a control. The third is the full Random Forest including pred_Iws. Comparing configurations two and three isolates the marginal contribution of the LSTM forecast as a feature, and comparison against the persistence baseline establishes whether the Random Forest is doing anything useful in the first place. We also fitted a Linear Regression and a Decision Tree on the same features for breadth.</w:t>
      </w:r>
    </w:p>
    <w:p>
      <w:pPr>
        <w:pStyle w:val="Heading2"/>
        <w:spacing w:after="140" w:before="240"/>
      </w:pPr>
      <w:r>
        <w:rPr>
          <w:b/>
          <w:bCs/>
          <w:sz w:val="24"/>
          <w:szCs w:val="24"/>
        </w:rPr>
        <w:t xml:space="preserve">3.4 ESG classification</w:t>
      </w:r>
    </w:p>
    <w:p>
      <w:pPr>
        <w:spacing w:after="160" w:line="360"/>
        <w:jc w:val="both"/>
      </w:pPr>
      <w:r>
        <w:t xml:space="preserve">The pre-trained transformer facebook/bart-large-mnli (Lewis et al., 2020) was applied without task-specific fine-tuning via the Hugging Face Transformers zero-shot-classification pipeline. The model revision was pinned for reproducibility. Internally, the pipeline reframes classification as a natural-language inference task: the candidate sentence becomes the premise, and a hypothesis of the form “this text is about [LABEL]” is constructed for each candidate label. The probability assigned to the entailment relation under each hypothesis serves as the label score, and the scores are normalised across labels via softmax to produce a probability distribution. Five English-language sentences were evaluated: one canonical example per ESG category, one example designed to span all three categories, and one off-topic financial sentence that served as an out-of-distribution control.</w:t>
      </w:r>
    </w:p>
    <w:p>
      <w:pPr>
        <w:pStyle w:val="Heading1"/>
        <w:spacing w:after="200" w:before="360"/>
      </w:pPr>
      <w:r>
        <w:rPr>
          <w:b/>
          <w:bCs/>
          <w:sz w:val="28"/>
          <w:szCs w:val="28"/>
        </w:rPr>
        <w:t xml:space="preserve">4. Results</w:t>
      </w:r>
    </w:p>
    <w:p>
      <w:pPr>
        <w:spacing w:after="160" w:line="360"/>
        <w:jc w:val="both"/>
      </w:pPr>
      <w:r>
        <w:t xml:space="preserve">The LSTM converged within the budgeted fifteen epochs. Training and validation losses decreased in step, with the validation loss reaching its minimum in the final epoch and showing no sign of overfitting (Figure 2). On the held-out test segment the model achieved an RMSE of 14.40 m/s, an MAE of 5.95 m/s, and an R² of 0.908 on `Iws`. The model captures the gross trajectory of cumulative wind speed but lags abrupt resets that occur when wind direction changes, visible as sharp downward steps in the observed series (Figure 3).</w:t>
      </w:r>
    </w:p>
    <w:p>
      <w:pPr>
        <w:spacing w:after="80" w:before="200"/>
        <w:jc w:val="center"/>
      </w:pPr>
      <w:r>
        <w:drawing>
          <wp:inline distT="0" distB="0" distL="0" distR="0">
            <wp:extent cx="4572000" cy="2286000"/>
            <wp:effectExtent t="0" r="0" b="0" l="0"/>
            <wp:docPr id="1" name="cell09.png" descr="Figure 2. LSTM training and validation loss across fifteen epochs (mean squared error in scaled units)." title="Figure 2. LSTM training and validation loss across fifteen epochs (mean squared error in scaled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i/>
          <w:iCs/>
          <w:sz w:val="20"/>
          <w:szCs w:val="20"/>
        </w:rPr>
        <w:t xml:space="preserve">Figure 2. LSTM training and validation loss across fifteen epochs (mean squared error in scaled units).</w:t>
      </w:r>
    </w:p>
    <w:p>
      <w:pPr>
        <w:spacing w:after="80" w:before="200"/>
        <w:jc w:val="center"/>
      </w:pPr>
      <w:r>
        <w:drawing>
          <wp:inline distT="0" distB="0" distL="0" distR="0">
            <wp:extent cx="5715000" cy="1971675"/>
            <wp:effectExtent t="0" r="0" b="0" l="0"/>
            <wp:docPr id="1" name="cell11.png" descr="Figure 3. LSTM wind-speed forecast versus observation on the first 300 hours of the test set." title="Figure 3. LSTM wind-speed forecast versus observation on the first 300 hours of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71675"/>
                    </a:xfrm>
                    <a:prstGeom prst="rect">
                      <a:avLst/>
                    </a:prstGeom>
                  </pic:spPr>
                </pic:pic>
              </a:graphicData>
            </a:graphic>
          </wp:inline>
        </w:drawing>
      </w:r>
    </w:p>
    <w:p>
      <w:pPr>
        <w:spacing w:after="240"/>
        <w:jc w:val="center"/>
      </w:pPr>
      <w:r>
        <w:rPr>
          <w:i/>
          <w:iCs/>
          <w:sz w:val="20"/>
          <w:szCs w:val="20"/>
        </w:rPr>
        <w:t xml:space="preserve">Figure 3. LSTM wind-speed forecast versus observation on the first 300 hours of the test set.</w:t>
      </w:r>
    </w:p>
    <w:p>
      <w:pPr>
        <w:spacing w:after="160" w:line="360"/>
        <w:jc w:val="both"/>
      </w:pPr>
      <w:r>
        <w:t xml:space="preserve">For PM2.5, the persistence baseline achieved an RMSE of 22.08 µg/m³ and an R² of 0.945 on the chronological test set (Table 1). This is a strong reference point: simply predicting that the next hour’s concentration will equal the current hour’s concentration explains 94.5% of test-set variance. The Random Forest excluding pred_Iws improved upon this baseline, achieving an RMSE of 21.30 µg/m³ and an R² of 0.949. Adding the LSTM’s wind-speed forecast as a feature further reduced RMSE by 0.11 µg/m³ to 21.19 µg/m³ and lifted R² by 0.0005. The marginal contribution of the wind forecast is therefore measurable but modest – of the order of half of one per cent in RMSE – and is the principal empirical contribution of this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Configuration</w:t>
            </w:r>
          </w:p>
        </w:tc>
        <w:tc>
          <w:tcPr>
            <w:tcW w:type="dxa" w:w="2000"/>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RMSE (µg/m³)</w:t>
            </w:r>
          </w:p>
        </w:tc>
        <w:tc>
          <w:tcPr>
            <w:tcW w:type="dxa" w:w="2000"/>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MAE (µg/m³)</w:t>
            </w:r>
          </w:p>
        </w:tc>
        <w:tc>
          <w:tcPr>
            <w:tcW w:type="dxa" w:w="2000"/>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R²</w:t>
            </w:r>
          </w:p>
        </w:tc>
      </w:tr>
      <w:tr>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Persistence (pm_lag1)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22.083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11.860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0.945</w:t>
            </w:r>
          </w:p>
        </w:tc>
      </w:tr>
      <w:tr>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RF without pred_Iws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21.303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11.959</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0.949</w:t>
            </w:r>
          </w:p>
        </w:tc>
      </w:tr>
      <w:tr>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RF with pred_Iws (full)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21.194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11.860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0.949</w:t>
            </w:r>
          </w:p>
        </w:tc>
      </w:tr>
    </w:tbl>
    <w:p>
      <w:pPr>
        <w:spacing w:after="240" w:before="80"/>
        <w:jc w:val="center"/>
      </w:pPr>
      <w:r>
        <w:rPr>
          <w:i/>
          <w:iCs/>
          <w:sz w:val="20"/>
          <w:szCs w:val="20"/>
        </w:rPr>
        <w:t xml:space="preserve">Table 1. Test-set performance for the three air-pollution configurations.</w:t>
      </w:r>
    </w:p>
    <w:p>
      <w:pPr>
        <w:spacing w:after="160" w:line="360"/>
        <w:jc w:val="both"/>
      </w:pPr>
      <w:r>
        <w:t xml:space="preserve">The cross-model comparison conducted on the same chronological split (Table 2) produces a clear ordering. Linear Regression and Random Forest are essentially tied at R² ≈ 0.949, while the Decision Tree underperforms at R² = 0.898. The closeness of Linear Regression and Random Forest is itself informative: once lag features are present the regression problem becomes nearly linear in those features, and the additional capacity of an ensemble provides limited benefit on this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Model</w:t>
            </w:r>
          </w:p>
        </w:tc>
        <w:tc>
          <w:tcPr>
            <w:tcW w:type="dxa" w:w="2000"/>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RMSE (µg/m³)</w:t>
            </w:r>
          </w:p>
        </w:tc>
        <w:tc>
          <w:tcPr>
            <w:tcW w:type="dxa" w:w="2000"/>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MAE (µg/m³)</w:t>
            </w:r>
          </w:p>
        </w:tc>
        <w:tc>
          <w:tcPr>
            <w:tcW w:type="dxa" w:w="2000"/>
            <w:tcBorders>
              <w:top w:val="single" w:color="999999" w:sz="4"/>
              <w:left w:val="single" w:color="999999" w:sz="4"/>
              <w:bottom w:val="single" w:color="999999" w:sz="4"/>
              <w:right w:val="single" w:color="999999" w:sz="4"/>
            </w:tcBorders>
            <w:shd w:fill="EAEAEA" w:val="clear"/>
            <w:tcMar>
              <w:top w:type="dxa" w:w="80"/>
              <w:left w:type="dxa" w:w="120"/>
              <w:bottom w:type="dxa" w:w="80"/>
              <w:right w:type="dxa" w:w="120"/>
            </w:tcMar>
          </w:tcPr>
          <w:p>
            <w:r>
              <w:rPr>
                <w:b/>
                <w:bCs/>
              </w:rPr>
              <w:t xml:space="preserve">R²</w:t>
            </w:r>
          </w:p>
        </w:tc>
      </w:tr>
      <w:tr>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Linear Regression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21.389</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11.753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0.949</w:t>
            </w:r>
          </w:p>
        </w:tc>
      </w:tr>
      <w:tr>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Decision Tree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30.069</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17.785</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0.898</w:t>
            </w:r>
          </w:p>
        </w:tc>
      </w:tr>
      <w:tr>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Random Forest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21.194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11.860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0.949</w:t>
            </w:r>
          </w:p>
        </w:tc>
      </w:tr>
    </w:tbl>
    <w:p>
      <w:pPr>
        <w:spacing w:after="240" w:before="80"/>
        <w:jc w:val="center"/>
      </w:pPr>
      <w:r>
        <w:rPr>
          <w:i/>
          <w:iCs/>
          <w:sz w:val="20"/>
          <w:szCs w:val="20"/>
        </w:rPr>
        <w:t xml:space="preserve">Table 2. Cross-model comparison on the same chronological 80/20 split.</w:t>
      </w:r>
    </w:p>
    <w:p>
      <w:pPr>
        <w:spacing w:after="160" w:line="360"/>
        <w:jc w:val="both"/>
      </w:pPr>
      <w:r>
        <w:t xml:space="preserve">Random Forest feature importances confirm the source of the model’s predictive power (Figure 4). The lag features pm_lag1 and pm_lag2 together account for the majority of mean-decrease-in-impurity, with pm_lag1 alone dominant. Observed atmospheric variables (Iws, PRES, TEMP, DEWP) contribute moderately, while the LSTM’s forecast pred_Iws and the one-hot wind-direction indicators contribute marginally. The relative ordering is robust across re-runs with different random seeds.</w:t>
      </w:r>
    </w:p>
    <w:p>
      <w:pPr>
        <w:spacing w:after="80" w:before="200"/>
        <w:jc w:val="center"/>
      </w:pPr>
      <w:r>
        <w:drawing>
          <wp:inline distT="0" distB="0" distL="0" distR="0">
            <wp:extent cx="4381500" cy="2667000"/>
            <wp:effectExtent t="0" r="0" b="0" l="0"/>
            <wp:docPr id="1" name="cell15.png" descr="Figure 4. Random Forest feature importance (mean decrease in impurity) for the full air-pollution model." title="Figure 4. Random Forest feature importance (mean decrease in impurity) for the full air-pollu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67000"/>
                    </a:xfrm>
                    <a:prstGeom prst="rect">
                      <a:avLst/>
                    </a:prstGeom>
                  </pic:spPr>
                </pic:pic>
              </a:graphicData>
            </a:graphic>
          </wp:inline>
        </w:drawing>
      </w:r>
    </w:p>
    <w:p>
      <w:pPr>
        <w:spacing w:after="240"/>
        <w:jc w:val="center"/>
      </w:pPr>
      <w:r>
        <w:rPr>
          <w:i/>
          <w:iCs/>
          <w:sz w:val="20"/>
          <w:szCs w:val="20"/>
        </w:rPr>
        <w:t xml:space="preserve">Figure 4. Random Forest feature importance (mean decrease in impurity) for the full air-pollution model.</w:t>
      </w:r>
    </w:p>
    <w:p>
      <w:pPr>
        <w:spacing w:after="80" w:before="200"/>
        <w:jc w:val="center"/>
      </w:pPr>
      <w:r>
        <w:drawing>
          <wp:inline distT="0" distB="0" distL="0" distR="0">
            <wp:extent cx="5715000" cy="1971675"/>
            <wp:effectExtent t="0" r="0" b="0" l="0"/>
            <wp:docPr id="1" name="cell16.png" descr="Figure 5. Random Forest PM2.5 forecast versus observation on the first 300 hours of the test set." title="Figure 5. Random Forest PM2.5 forecast versus observation on the first 300 hours of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71675"/>
                    </a:xfrm>
                    <a:prstGeom prst="rect">
                      <a:avLst/>
                    </a:prstGeom>
                  </pic:spPr>
                </pic:pic>
              </a:graphicData>
            </a:graphic>
          </wp:inline>
        </w:drawing>
      </w:r>
    </w:p>
    <w:p>
      <w:pPr>
        <w:spacing w:after="240"/>
        <w:jc w:val="center"/>
      </w:pPr>
      <w:r>
        <w:rPr>
          <w:i/>
          <w:iCs/>
          <w:sz w:val="20"/>
          <w:szCs w:val="20"/>
        </w:rPr>
        <w:t xml:space="preserve">Figure 5. Random Forest PM2.5 forecast versus observation on the first 300 hours of the test set.</w:t>
      </w:r>
    </w:p>
    <w:p>
      <w:pPr>
        <w:spacing w:after="160" w:line="360"/>
        <w:jc w:val="both"/>
      </w:pPr>
      <w:r>
        <w:t xml:space="preserve">For the ESG component, the canonical examples were each assigned to their intended category, but with confidences below 0.65 in every case (Environmental at 0.481, Social at 0.562, Governance at 0.617). The mixed sentence, designed to span all three categories, was assigned to Social with confidence 0.455. The off-topic financial sentence was also assigned to Social, with the largest confidence in the entire test set at 0.598. This last result is a real concern: a sentence that is unambiguously not about ESG receives a more confident ESG label than several of the canonical examples (Figure 6). The classifier always emits a top-1 label, and the shape of its confidence distribution is the only available signal that an input is out-of-distribution.</w:t>
      </w:r>
    </w:p>
    <w:p>
      <w:pPr>
        <w:spacing w:after="80" w:before="200"/>
        <w:jc w:val="center"/>
      </w:pPr>
      <w:r>
        <w:drawing>
          <wp:inline distT="0" distB="0" distL="0" distR="0">
            <wp:extent cx="5715000" cy="2543175"/>
            <wp:effectExtent t="0" r="0" b="0" l="0"/>
            <wp:docPr id="1" name="cell20.png" descr="Figure 6. Zero-shot ESG classification confidences across the five test sentences (E = Environmental, S = Social, G = Governance, Mix = multi-topic, Off = off-topic financial control)." title="Figure 6. Zero-shot ESG classification confidences across the five test sentences (E = Environmental, S = Social, G = Governance, Mix = multi-topic, Off = off-topic financia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43175"/>
                    </a:xfrm>
                    <a:prstGeom prst="rect">
                      <a:avLst/>
                    </a:prstGeom>
                  </pic:spPr>
                </pic:pic>
              </a:graphicData>
            </a:graphic>
          </wp:inline>
        </w:drawing>
      </w:r>
    </w:p>
    <w:p>
      <w:pPr>
        <w:spacing w:after="240"/>
        <w:jc w:val="center"/>
      </w:pPr>
      <w:r>
        <w:rPr>
          <w:i/>
          <w:iCs/>
          <w:sz w:val="20"/>
          <w:szCs w:val="20"/>
        </w:rPr>
        <w:t xml:space="preserve">Figure 6. Zero-shot ESG classification confidences across the five test sentences (E = Environmental, S = Social, G = Governance, Mix = multi-topic, Off = off-topic financial control).</w:t>
      </w:r>
    </w:p>
    <w:p>
      <w:pPr>
        <w:pStyle w:val="Heading1"/>
        <w:spacing w:after="200" w:before="360"/>
      </w:pPr>
      <w:r>
        <w:rPr>
          <w:b/>
          <w:bCs/>
          <w:sz w:val="28"/>
          <w:szCs w:val="28"/>
        </w:rPr>
        <w:t xml:space="preserve">5. Discussion of Results</w:t>
      </w:r>
    </w:p>
    <w:p>
      <w:pPr>
        <w:spacing w:after="160" w:line="360"/>
        <w:jc w:val="both"/>
      </w:pPr>
      <w:r>
        <w:t xml:space="preserve">Three findings warrant comment against the existing literature.</w:t>
      </w:r>
    </w:p>
    <w:p>
      <w:pPr>
        <w:spacing w:after="160" w:line="360"/>
        <w:jc w:val="both"/>
      </w:pPr>
      <w:r>
        <w:t xml:space="preserve">First, the marginal contribution of the LSTM’s wind-speed forecast to the air-pollution model was small but non-zero: a 0.11 µg/m³ reduction in RMSE and a 0.0005 increase in R². The direction is consistent with dispersal physics, but the magnitude is far smaller than would be implied by the strong wind–PM2.5 relationship documented across the literature. The most likely explanation is that the air-pollution model already had access to the most recent observed Iws and to two recent PM2.5 values; the information content of a one-hour wind-speed forecast, conditional on the current observed wind state and on near-term pollution history, is necessarily small. Liang et al. (2015) showed in this same dataset that PM2.5 evolution can be reconstructed largely from immediately preceding values once weather is conditioned on, and our ablation provides a quantitative refinement of that observation.</w:t>
      </w:r>
    </w:p>
    <w:p>
      <w:pPr>
        <w:spacing w:after="160" w:line="360"/>
        <w:jc w:val="both"/>
      </w:pPr>
      <w:r>
        <w:t xml:space="preserve">Second, the persistence baseline’s R² of 0.945 is not, on its own, evidence of a strong model. It is evidence that the prediction problem as posed is dominated by autocorrelation. Reports in this dataset that quote R² above 0.9 without a baseline comparison should therefore be read with caution. A genuine forecasting contribution would require either longer prediction horizons (six, twelve or twenty-four hours), multi-station prediction, or richer covariates such as upwind chemistry transport (Geng et al., 2017).</w:t>
      </w:r>
    </w:p>
    <w:p>
      <w:pPr>
        <w:spacing w:after="160" w:line="360"/>
        <w:jc w:val="both"/>
      </w:pPr>
      <w:r>
        <w:t xml:space="preserve">Third, the ESG classifier reproduces the well-documented brittleness of zero-shot inference under distribution shift. The canonical examples are correctly labelled but with modest confidence. The mixed sentence collapses to Social rather than distributing confidence smoothly across the three labels, and the off-topic financial sentence is also confidently labelled Social – more confidently than two of the three canonical examples. This pattern matches the calibration concerns raised by Yin, Hay and Roth (2019): zero-shot classifiers cannot decline to classify, and their confidence scores do not reliably indicate whether an input belongs to the target distribution. Production use in regulatory or investment contexts would require a calibrated confidence threshold and validation on labelled data drawn from the deployment domain.</w:t>
      </w:r>
    </w:p>
    <w:p>
      <w:pPr>
        <w:spacing w:after="160" w:line="360"/>
        <w:jc w:val="both"/>
      </w:pPr>
      <w:r>
        <w:t xml:space="preserve">The ethical and societal implications of these systems extend beyond their technical performance. Air-quality forecasts feed public-health advisories, and these advisories influence the behaviour of vulnerable populations – children, the elderly, and outdoor workers in particular. A model that is confidently wrong produces real harm: under-prediction on heavily polluted days leads to inadequate protective behaviour, while over-prediction on clean days produces unnecessary economic disruption. Our model is trained on data from a single station in a single city, and any deployment beyond that airshed would require fresh validation. ESG classification raises distinct concerns. The category boundaries are themselves contested by sustainability scholars (Dimson, Marsh and Staunton, 2020), and an automated classifier can amplify the linguistic patterns of well-resourced firms whose disclosures dominate the underlying training data, potentially obscuring greenwashing or penalising smaller and non-English-speaking issuers. The carbon cost of training and querying a 1.6 GB transformer is itself a sustainability variable that any honest ESG pipeline should account for.</w:t>
      </w:r>
    </w:p>
    <w:p>
      <w:pPr>
        <w:spacing w:after="160" w:line="360"/>
        <w:jc w:val="both"/>
      </w:pPr>
      <w:r>
        <w:t xml:space="preserve">Use cases worth highlighting include municipal early-warning systems, sensor-network gap-filling on stations with intermittent failures, and triage of large volumes of sustainability disclosures for human review. None of these uses can responsibly proceed without the calibration, baselining and external validation discussed above.</w:t>
      </w:r>
    </w:p>
    <w:p>
      <w:pPr>
        <w:pStyle w:val="Heading1"/>
        <w:spacing w:after="200" w:before="360"/>
      </w:pPr>
      <w:r>
        <w:rPr>
          <w:b/>
          <w:bCs/>
          <w:sz w:val="28"/>
          <w:szCs w:val="28"/>
        </w:rPr>
        <w:t xml:space="preserve">6. Conclusion</w:t>
      </w:r>
    </w:p>
    <w:p>
      <w:pPr>
        <w:spacing w:after="160" w:line="360"/>
        <w:jc w:val="both"/>
      </w:pPr>
      <w:r>
        <w:t xml:space="preserve">This project implemented an integrated environmental-intelligence system combining a wind-speed LSTM, a PM2.5 Random Forest and a zero-shot ESG classifier, applied to the Beijing PM2.5 benchmark dataset. The empirical contribution is a transparent ablation: under a strict chronological evaluation protocol with a persistence baseline, the LSTM’s wind-speed forecast added a small but measurable improvement to the air-pollution model (RMSE 21.30 → 21.19 µg/m³; ΔR² = +0.0005) once the current observed wind speed and recent pollution lags were available. The Random Forest improved upon the persistence baseline by approximately 4% in RMSE, but the gap between the two is much smaller than headline R² figures alone would suggest. The zero-shot ESG component handled canonical sustainability text effectively while exposing the calibration limits of zero-shot inference: an out-of-distribution financial sentence was confidently mis-labelled, illustrating that the absence of a “none of the above” option is a real risk in deployment.</w:t>
      </w:r>
    </w:p>
    <w:p>
      <w:pPr>
        <w:spacing w:after="160" w:line="360"/>
        <w:jc w:val="both"/>
      </w:pPr>
      <w:r>
        <w:t xml:space="preserve">Three avenues for further work follow naturally. First, multi-step ahead PM2.5 forecasting at horizons of six, twelve and twenty-four hours would degrade persistence sharply and provide a fairer arena in which to measure the contribution of weather forecasts. Second, transfer learning across multiple monitoring stations would test whether the architecture extends beyond a single airshed, and would be the first step towards any deployment claim. Third, calibration of the ESG classifier – for example by fine-tuning a confidence threshold on a small labelled set drawn from public sustainability reports – would convert a useful demonstration into a deployable component. We close with the broader observation that honest evaluation, rather than headline-metric inflation, is the foundation on which environmental AI systems must be built if they are to inform decisions that protect human health and ecological systems.</w:t>
      </w:r>
    </w:p>
    <w:p>
      <w:pPr>
        <w:pStyle w:val="Heading1"/>
        <w:spacing w:after="200" w:before="360"/>
      </w:pPr>
      <w:r>
        <w:rPr>
          <w:b/>
          <w:bCs/>
          <w:sz w:val="28"/>
          <w:szCs w:val="28"/>
        </w:rPr>
        <w:t xml:space="preserve">References</w:t>
      </w:r>
    </w:p>
    <w:p>
      <w:pPr>
        <w:spacing w:after="100" w:line="300"/>
        <w:ind w:left="360" w:hanging="360"/>
        <w:jc w:val="left"/>
      </w:pPr>
      <w:r>
        <w:rPr>
          <w:sz w:val="22"/>
          <w:szCs w:val="22"/>
        </w:rPr>
        <w:t xml:space="preserve">Breiman, L. (2001) ‘Random forests’, Machine Learning, 45(1), pp. 5–32.</w:t>
      </w:r>
    </w:p>
    <w:p>
      <w:pPr>
        <w:spacing w:after="100" w:line="300"/>
        <w:ind w:left="360" w:hanging="360"/>
        <w:jc w:val="left"/>
      </w:pPr>
      <w:r>
        <w:rPr>
          <w:sz w:val="22"/>
          <w:szCs w:val="22"/>
        </w:rPr>
        <w:t xml:space="preserve">Cerqueira, V., Torgo, L. and Mozetič, I. (2020) ‘Evaluating time series forecasting models: an empirical study on performance estimation methods’, Machine Learning, 109(11), pp. 1997–2028.</w:t>
      </w:r>
    </w:p>
    <w:p>
      <w:pPr>
        <w:spacing w:after="100" w:line="300"/>
        <w:ind w:left="360" w:hanging="360"/>
        <w:jc w:val="left"/>
      </w:pPr>
      <w:r>
        <w:rPr>
          <w:sz w:val="22"/>
          <w:szCs w:val="22"/>
        </w:rPr>
        <w:t xml:space="preserve">Dimson, E., Marsh, P. and Staunton, M. (2020) ‘Divergent ESG ratings’, The Journal of Portfolio Management, 47(1), pp. 75–87.</w:t>
      </w:r>
    </w:p>
    <w:p>
      <w:pPr>
        <w:spacing w:after="100" w:line="300"/>
        <w:ind w:left="360" w:hanging="360"/>
        <w:jc w:val="left"/>
      </w:pPr>
      <w:r>
        <w:rPr>
          <w:sz w:val="22"/>
          <w:szCs w:val="22"/>
        </w:rPr>
        <w:t xml:space="preserve">Geng, G., Zhang, Q., Tong, D., Li, M., Zheng, Y., Wang, S. and He, K. (2017) ‘Tracking air pollution in China: near real-time PM2.5 retrievals from multisource data fusion’, Environmental Science &amp; Technology, 51(21), pp. 12283–12291.</w:t>
      </w:r>
    </w:p>
    <w:p>
      <w:pPr>
        <w:spacing w:after="100" w:line="300"/>
        <w:ind w:left="360" w:hanging="360"/>
        <w:jc w:val="left"/>
      </w:pPr>
      <w:r>
        <w:rPr>
          <w:sz w:val="22"/>
          <w:szCs w:val="22"/>
        </w:rPr>
        <w:t xml:space="preserve">Hochreiter, S. and Schmidhuber, J. (1997) ‘Long short-term memory’, Neural Computation, 9(8), pp. 1735–1780.</w:t>
      </w:r>
    </w:p>
    <w:p>
      <w:pPr>
        <w:spacing w:after="100" w:line="300"/>
        <w:ind w:left="360" w:hanging="360"/>
        <w:jc w:val="left"/>
      </w:pPr>
      <w:r>
        <w:rPr>
          <w:sz w:val="22"/>
          <w:szCs w:val="22"/>
        </w:rPr>
        <w:t xml:space="preserve">Lewis, M., Liu, Y., Goyal, N., Ghazvininejad, M., Mohamed, A., Levy, O., Stoyanov, V. and Zettlemoyer, L. (2020) ‘BART: denoising sequence-to-sequence pre-training for natural language generation, translation, and comprehension’, Proceedings of the 58th Annual Meeting of the Association for Computational Linguistics, pp. 7871–7880.</w:t>
      </w:r>
    </w:p>
    <w:p>
      <w:pPr>
        <w:spacing w:after="100" w:line="300"/>
        <w:ind w:left="360" w:hanging="360"/>
        <w:jc w:val="left"/>
      </w:pPr>
      <w:r>
        <w:rPr>
          <w:sz w:val="22"/>
          <w:szCs w:val="22"/>
        </w:rPr>
        <w:t xml:space="preserve">Liang, X., Zou, T., Guo, B., Li, S., Zhang, H., Zhang, S., Huang, H. and Chen, S. X. (2015) ‘Assessing Beijing’s PM2.5 pollution: severity, weather impact, APEC and winter heating’, Proceedings of the Royal Society A, 471(2182), 20150257.</w:t>
      </w:r>
    </w:p>
    <w:p>
      <w:pPr>
        <w:spacing w:after="100" w:line="300"/>
        <w:ind w:left="360" w:hanging="360"/>
        <w:jc w:val="left"/>
      </w:pPr>
      <w:r>
        <w:rPr>
          <w:sz w:val="22"/>
          <w:szCs w:val="22"/>
        </w:rPr>
        <w:t xml:space="preserve">Lim, B. and Zohren, S. (2021) ‘Time-series forecasting with deep learning: a survey’, Philosophical Transactions of the Royal Society A, 379(2194), 20200209.</w:t>
      </w:r>
    </w:p>
    <w:p>
      <w:pPr>
        <w:spacing w:after="100" w:line="300"/>
        <w:ind w:left="360" w:hanging="360"/>
        <w:jc w:val="left"/>
      </w:pPr>
      <w:r>
        <w:rPr>
          <w:sz w:val="22"/>
          <w:szCs w:val="22"/>
        </w:rPr>
        <w:t xml:space="preserve">Wang, J. and Ogawa, S. (2017) ‘Effects of meteorological conditions on PM2.5 concentrations in Nagasaki, Japan’, International Journal of Environmental Research and Public Health, 12(8), pp. 9089–9101.</w:t>
      </w:r>
    </w:p>
    <w:p>
      <w:pPr>
        <w:spacing w:after="100" w:line="300"/>
        <w:ind w:left="360" w:hanging="360"/>
        <w:jc w:val="left"/>
      </w:pPr>
      <w:r>
        <w:rPr>
          <w:sz w:val="22"/>
          <w:szCs w:val="22"/>
        </w:rPr>
        <w:t xml:space="preserve">World Health Organization (2021) WHO global air quality guidelines: particulate matter (PM2.5 and PM10), ozone, nitrogen dioxide, sulfur dioxide and carbon monoxide. Geneva: World Health Organization.</w:t>
      </w:r>
    </w:p>
    <w:p>
      <w:pPr>
        <w:spacing w:after="100" w:line="300"/>
        <w:ind w:left="360" w:hanging="360"/>
        <w:jc w:val="left"/>
      </w:pPr>
      <w:r>
        <w:rPr>
          <w:sz w:val="22"/>
          <w:szCs w:val="22"/>
        </w:rPr>
        <w:t xml:space="preserve">Yin, W., Hay, J. and Roth, D. (2019) ‘Benchmarking zero-shot text classification: datasets, evaluation and entailment approach’, Proceedings of the 2019 Conference on Empirical Methods in Natural Language Processing, pp. 3914–3923.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99f50bffc7699892e57becbfa502d6bb69f9b5.png"/><Relationship Id="rId9" Type="http://schemas.openxmlformats.org/officeDocument/2006/relationships/image" Target="media/2240a757954597dec01f8a54c682d79281ba71fa.png"/><Relationship Id="rId10" Type="http://schemas.openxmlformats.org/officeDocument/2006/relationships/image" Target="media/12e26c88e284e93189032f0e430cab71faafb03e.png"/><Relationship Id="rId11" Type="http://schemas.openxmlformats.org/officeDocument/2006/relationships/image" Target="media/23b70b53898e56fc623e9a376636932fea71ff49.png"/><Relationship Id="rId12" Type="http://schemas.openxmlformats.org/officeDocument/2006/relationships/image" Target="media/e7abf83ef981e9d6467a1f434e1cb23baf9c9a9e.png"/><Relationship Id="rId13" Type="http://schemas.openxmlformats.org/officeDocument/2006/relationships/image" Target="media/5b51dc28163b41bffd15976c8776f8c880af1f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2026-05-03T20:07:13.265Z</dcterms:created>
  <dcterms:modified xsi:type="dcterms:W3CDTF">2026-05-03T20:07:13.265Z</dcterms:modified>
</cp:coreProperties>
</file>

<file path=docProps/custom.xml><?xml version="1.0" encoding="utf-8"?>
<Properties xmlns="http://schemas.openxmlformats.org/officeDocument/2006/custom-properties" xmlns:vt="http://schemas.openxmlformats.org/officeDocument/2006/docPropsVTypes"/>
</file>