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2"/>
          <w:szCs w:val="32"/>
        </w:rPr>
        <w:t xml:space="preserve">An AI-Based Environmental Intelligence System for Sustainability</w:t>
      </w:r>
    </w:p>
    <w:p>
      <w:pPr>
        <w:spacing w:after="360"/>
        <w:jc w:val="center"/>
      </w:pPr>
      <w:r>
        <w:rPr>
          <w:i/>
          <w:iCs/>
          <w:sz w:val="22"/>
          <w:szCs w:val="22"/>
        </w:rPr>
        <w:t xml:space="preserve">Wind-speed forecasting (LSTM), air-pollution forecasting (Random Forest), and zero-shot ESG text classification on the Beijing PM2.5 dataset</w:t>
      </w:r>
    </w:p>
    <w:p>
      <w:pPr>
        <w:pStyle w:val="Heading1"/>
        <w:spacing w:after="200" w:before="360"/>
      </w:pPr>
      <w:r>
        <w:rPr>
          <w:b/>
          <w:bCs/>
          <w:sz w:val="28"/>
          <w:szCs w:val="28"/>
        </w:rPr>
        <w:t xml:space="preserve">1. Introduction</w:t>
      </w:r>
    </w:p>
    <w:p>
      <w:pPr>
        <w:spacing w:after="160" w:line="360"/>
        <w:jc w:val="both"/>
      </w:pPr>
      <w:r>
        <w:t xml:space="preserve">Air pollution remains one of the most consequential public-health risks of the twenty-first century, contributing to an estimated seven million premature deaths each year (WHO, 2021). Fine particulate matter (PM2.5) is particularly damaging because particles below 2.5 micrometres can penetrate the lower respiratory tract and enter the bloodstream. Cities such as Beijing have repeatedly recorded concentrations far in excess of safe thresholds, and short-horizon PM2.5 forecasts now inform public-health advisories and outdoor-activity guidance.</w:t>
      </w:r>
    </w:p>
    <w:p>
      <w:pPr>
        <w:spacing w:after="160" w:line="360"/>
        <w:jc w:val="both"/>
      </w:pPr>
      <w:r>
        <w:t xml:space="preserve">This project examines two AI applications that touch on environmental sustainability: short-horizon forecasting of meteorological and air-quality variables, and natural-language understanding of corporate sustainability text. We ask, first, whether a chained pipeline in which a recurrent neural network forecasts wind speed and a tree ensemble uses that forecast as an additional input to predict PM2.5 outperforms the naive practice of reusing the previous hour’s value; and second, whether a large pre-trained language model classifies sustainability text into Environmental, Social and Governance categories without supervised fine-tuning.</w:t>
      </w:r>
    </w:p>
    <w:p>
      <w:pPr>
        <w:spacing w:after="160" w:line="360"/>
        <w:jc w:val="both"/>
      </w:pPr>
      <w:r>
        <w:t xml:space="preserve">Our headline finding is that the wind-speed forecast’s contribution to PM2.5 prediction is horizon-dependent, and is concealed by the dominance of autocorrelation at short horizons. At t+1, where the persistence baseline already explains 94.5% of test-set variance, the LSTM forecast adds only 0.054 µg/m³ in RMSE; at t+24, where persistence is worse than predicting the long-run mean (R² = −0.127), the LSTM forecast adds eight times more. The integration is therefore worthwhile, but only when the prediction horizon outruns the natural autocorrelation timescale of PM2.5. The zero-shot ESG classifier, evaluated separately on an 80-sentence annotated dataset, achieves 68.3% accuracy on in-distribution sentences but assigns confidently mis-labelled outputs to 80% of off-topic controls, illustrating a calibration limit of zero-shot inference that is not visible from accuracy figures alone.</w:t>
      </w:r>
    </w:p>
    <w:p>
      <w:pPr>
        <w:pStyle w:val="Heading1"/>
        <w:spacing w:after="200" w:before="360"/>
      </w:pPr>
      <w:r>
        <w:rPr>
          <w:b/>
          <w:bCs/>
          <w:sz w:val="28"/>
          <w:szCs w:val="28"/>
        </w:rPr>
        <w:t xml:space="preserve">2. Theory</w:t>
      </w:r>
    </w:p>
    <w:p>
      <w:pPr>
        <w:spacing w:after="160" w:line="360"/>
        <w:jc w:val="both"/>
      </w:pPr>
      <w:r>
        <w:t xml:space="preserve">Long short-term memory networks (Hochreiter and Schmidhuber, 1997) extend recurrent neural networks with gated memory cells that mitigate the vanishing-gradient problem and support long-range temporal dependencies. They have been applied directly to PM2.5 forecasting (Li et al., 2017) and to broader spatio-temporal air-quality prediction (Reid et al., 2015), and are a default baseline for short-horizon environmental forecasting (Lim and Zohren, 2021). Random Forests (Breiman, 2001) approximate non-linear regression surfaces by averaging decorrelated decision trees and are widely used for hourly air-quality prediction because they tolerate mixed-type predictors, expose interpretable feature importances, and require limited tuning.</w:t>
      </w:r>
    </w:p>
    <w:p>
      <w:pPr>
        <w:spacing w:after="160" w:line="360"/>
        <w:jc w:val="both"/>
      </w:pPr>
      <w:r>
        <w:t xml:space="preserve">Atmospheric science predicts a clear relationship between wind speed and PM2.5: faster winds disperse pollutants and lower their concentration, while calm conditions allow accumulation. Liang et al. (2015) document this at the United States Embassy in Beijing; Wang and Ogawa (2017) report a consistent finding in a Japanese urban context. We therefore expected wind-speed information to contribute predictive power to the air-quality model, particularly during low-wind winter-heating episodes.</w:t>
      </w:r>
    </w:p>
    <w:p>
      <w:pPr>
        <w:spacing w:after="160" w:line="360"/>
        <w:jc w:val="both"/>
      </w:pPr>
      <w:r>
        <w:t xml:space="preserve">Zero-shot classification via natural-language inference (Yin, Hay and Roth, 2019; Lewis et al., 2020) reformulates classification as entailment between a candidate sentence and a hypothesis template such as “this text is about [LABEL]”. Because BART-large-MNLI was pre-trained on a large NLI corpus, it can be applied directly to new label sets without further training. This is attractive for ESG categorisation given the absence of a large publicly labelled corpus and the contested boundaries of the ESG categories themselves.</w:t>
      </w:r>
    </w:p>
    <w:p>
      <w:pPr>
        <w:pStyle w:val="Heading1"/>
        <w:spacing w:after="200" w:before="360"/>
      </w:pPr>
      <w:r>
        <w:rPr>
          <w:b/>
          <w:bCs/>
          <w:sz w:val="28"/>
          <w:szCs w:val="28"/>
        </w:rPr>
        <w:t xml:space="preserve">3. Data and Methods</w:t>
      </w:r>
    </w:p>
    <w:p>
      <w:pPr>
        <w:pStyle w:val="Heading2"/>
        <w:spacing w:after="140" w:before="240"/>
      </w:pPr>
      <w:r>
        <w:rPr>
          <w:b/>
          <w:bCs/>
          <w:sz w:val="24"/>
          <w:szCs w:val="24"/>
        </w:rPr>
        <w:t xml:space="preserve">3.1 Data</w:t>
      </w:r>
    </w:p>
    <w:p>
      <w:pPr>
        <w:spacing w:after="160" w:line="360"/>
        <w:jc w:val="both"/>
      </w:pPr>
      <w:r>
        <w:t xml:space="preserve">The forecasting components of this study use the Beijing PM2.5 dataset compiled by Liang et al. (2015) and hosted by the UCI Machine Learning Repository. The dataset contains 43,824 hourly records collected at the United States Embassy in Beijing between 1 January 2010 and 31 December 2014. Each record captures simultaneous measurements of fine particulate matter concentration (pm2.5, µg/m³), dew point (DEWP, °C), air temperature (TEMP, °C), atmospheric pressure (PRES, hPa), combined wind direction (cbwd, a four-level categorical variable taking values NW, NE, SE or cv), cumulative wind speed (Iws, m/s), and cumulative hours of snow and rain (Is, Ir).</w:t>
      </w:r>
    </w:p>
    <w:p>
      <w:pPr>
        <w:spacing w:after="160" w:line="360"/>
        <w:jc w:val="both"/>
      </w:pPr>
      <w:r>
        <w:t xml:space="preserve">We did not collect or annotate this data ourselves. Reusing an established benchmark allows comparability with the substantial body of follow-up work and avoids the infrastructural cost of operating a monitoring station — itself a barrier that limits replication outside well-resourced cities. Records with missing PM2.5 (concentrated in early 2010 during the embassy’s monitoring set-up) were dropped, leaving 41,757 usable observations. The categorical wind-direction column was one-hot encoded with the first level dropped. No outlier removal was applied: extreme PM2.5 values are the cases of greatest public-health interest.</w:t>
      </w:r>
    </w:p>
    <w:p>
      <w:pPr>
        <w:spacing w:after="80" w:before="200"/>
        <w:jc w:val="center"/>
      </w:pPr>
      <w:r>
        <w:drawing>
          <wp:inline distT="0" distB="0" distL="0" distR="0">
            <wp:extent cx="5715000" cy="2600325"/>
            <wp:effectExtent t="0" r="0" b="0" l="0"/>
            <wp:docPr id="1" name="cell05.png" descr="Figure 1. Hourly PM2.5 and Iws, 2010–2014." title="Figure 1. Hourly PM2.5 and Iws, 2010–2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00325"/>
                    </a:xfrm>
                    <a:prstGeom prst="rect">
                      <a:avLst/>
                    </a:prstGeom>
                  </pic:spPr>
                </pic:pic>
              </a:graphicData>
            </a:graphic>
          </wp:inline>
        </w:drawing>
      </w:r>
    </w:p>
    <w:p>
      <w:pPr>
        <w:spacing w:after="240"/>
        <w:jc w:val="center"/>
      </w:pPr>
      <w:r>
        <w:rPr>
          <w:i/>
          <w:iCs/>
          <w:sz w:val="20"/>
          <w:szCs w:val="20"/>
        </w:rPr>
        <w:t xml:space="preserve">Figure 1. Hourly PM2.5 and Iws, 2010–2014.</w:t>
      </w:r>
    </w:p>
    <w:p>
      <w:pPr>
        <w:pStyle w:val="Heading2"/>
        <w:spacing w:after="140" w:before="240"/>
      </w:pPr>
      <w:r>
        <w:rPr>
          <w:b/>
          <w:bCs/>
          <w:sz w:val="24"/>
          <w:szCs w:val="24"/>
        </w:rPr>
        <w:t xml:space="preserve">3.2 Wind-speed forecasting</w:t>
      </w:r>
    </w:p>
    <w:p>
      <w:pPr>
        <w:spacing w:after="160" w:line="360"/>
        <w:jc w:val="both"/>
      </w:pPr>
      <w:r>
        <w:t xml:space="preserve">A two-layer LSTM was trained to forecast cumulative wind speed one hour ahead. The model takes as input the preceding twenty-four hours of [DEWP, TEMP, PRES, Iws] and returns a single scalar. It was implemented in PyTorch with sixty-four hidden units per layer, dropout of 0.1 between layers, and a final linear projection to a one-dimensional output. Min-max scaling was fitted on the training partition only and applied to validation and test partitions, ensuring that no information from later periods entered the model during fitting.</w:t>
      </w:r>
    </w:p>
    <w:p>
      <w:pPr>
        <w:spacing w:after="160" w:line="360"/>
        <w:jc w:val="both"/>
      </w:pPr>
      <w:r>
        <w:t xml:space="preserve">The dataset was partitioned chronologically into 70% training, 15% validation and 15% test segments, and never shuffled. Shuffling time-series data with autoregressive features is a well-documented source of optimistic bias (Cerqueira, Torgo and Mozetič, 2020): rows from immediately adjacent hours otherwise end up in different splits, and a model that simply memorises near-neighbours will appear to generalise. The model was trained for fifteen epochs with the Adam optimiser at a learning rate of 1×10⁻³ and mini-batches of 256 sequences. Mean squared error served as the loss function for both training and validation.</w:t>
      </w:r>
    </w:p>
    <w:p>
      <w:pPr>
        <w:pStyle w:val="Heading2"/>
        <w:spacing w:after="140" w:before="240"/>
      </w:pPr>
      <w:r>
        <w:rPr>
          <w:b/>
          <w:bCs/>
          <w:sz w:val="24"/>
          <w:szCs w:val="24"/>
        </w:rPr>
        <w:t xml:space="preserve">3.3 Air-pollution forecasting</w:t>
      </w:r>
    </w:p>
    <w:p>
      <w:pPr>
        <w:spacing w:after="160" w:line="360"/>
        <w:jc w:val="both"/>
      </w:pPr>
      <w:r>
        <w:t xml:space="preserve">A Random Forest regressor (200 trees, scikit-learn implementation, fixed random seed) was trained to predict hourly PM2.5. The feature vector consisted of the observed weather variables, two-step lag features pm_lag1 and pm_lag2, the one-hot wind-direction indicators, and the LSTM’s wind-speed forecast pred_Iws aligned to each row. The chronological 80/20 train-test split yielded 33,386 training hours and 8,347 testing hours, with the test segment beginning on 14 January 2014 and continuing to the end of the dataset.</w:t>
      </w:r>
    </w:p>
    <w:p>
      <w:pPr>
        <w:spacing w:after="160" w:line="360"/>
        <w:jc w:val="both"/>
      </w:pPr>
      <w:r>
        <w:t xml:space="preserve">Three configurations were evaluated on this same split. The first is a persistence baseline — the canonical naive forecast in time-series analysis (Box et al., 2015) — that predicts the previous hour’s PM2.5 directly. The second is the Random Forest excluding pred_Iws, which serves as a control. The third is the full Random Forest including pred_Iws. Comparing configurations two and three isolates the marginal contribution of the LSTM forecast as a feature, and comparison against the persistence baseline establishes whether the Random Forest is doing anything useful in the first place. We also fitted a Linear Regression and a Decision Tree on the same features for breadth.</w:t>
      </w:r>
    </w:p>
    <w:p>
      <w:pPr>
        <w:pStyle w:val="Heading2"/>
        <w:spacing w:after="140" w:before="240"/>
      </w:pPr>
      <w:r>
        <w:rPr>
          <w:b/>
          <w:bCs/>
          <w:sz w:val="24"/>
          <w:szCs w:val="24"/>
        </w:rPr>
        <w:t xml:space="preserve">3.4 ESG classification</w:t>
      </w:r>
    </w:p>
    <w:p>
      <w:pPr>
        <w:spacing w:after="160" w:line="360"/>
        <w:jc w:val="both"/>
      </w:pPr>
      <w:r>
        <w:t xml:space="preserve">The pre-trained transformer facebook/bart-large-mnli (Lewis et al., 2020) was applied without task-specific fine-tuning via the Hugging Face Transformers zero-shot-classification pipeline. The model revision was pinned for reproducibility. Internally, the pipeline reframes classification as a natural-language inference task: the candidate sentence becomes the premise, and a hypothesis of the form “this text is about [LABEL]” is constructed for each candidate label. The probability assigned to the entailment relation under each hypothesis serves as the label score, and the scores are normalised across labels via softmax to produce a probability distribution.</w:t>
      </w:r>
    </w:p>
    <w:p>
      <w:pPr>
        <w:spacing w:after="160" w:line="360"/>
        <w:jc w:val="both"/>
      </w:pPr>
      <w:r>
        <w:t xml:space="preserve">Two evaluation protocols were used. The first is a five-sentence demonstration covering one canonical example per ESG category, one multi-topic example, and one off-topic control. The second is an annotated dataset of 80 sentences constructed for this study (20 Environmental, 20 Social, 20 Governance, 10 Mixed, 10 Off-topic) drafted to mimic corporate sustainability disclosures without copying any specific source text. Candidate labels were initially assigned by an AI assistant under the institution’s amber AI-usage policy and were reviewed and confirmed by the project group (data/esg_sentences.csv). We report accuracy and per-class F1 on the in-distribution E / S / G subset and analyse confidence on the Mixed and Off-topic subsets, where any single ESG label is misleading by construction.</w:t>
      </w:r>
    </w:p>
    <w:p>
      <w:pPr>
        <w:pStyle w:val="Heading1"/>
        <w:spacing w:after="200" w:before="360"/>
      </w:pPr>
      <w:r>
        <w:rPr>
          <w:b/>
          <w:bCs/>
          <w:sz w:val="28"/>
          <w:szCs w:val="28"/>
        </w:rPr>
        <w:t xml:space="preserve">4. Results</w:t>
      </w:r>
    </w:p>
    <w:p>
      <w:pPr>
        <w:spacing w:after="160" w:line="360"/>
        <w:jc w:val="both"/>
      </w:pPr>
      <w:r>
        <w:t xml:space="preserve">The LSTM converged within fifteen epochs with no overfitting (Figure 2). On the test segment it achieved RMSE 14.40 m/s, MAE 5.95 m/s, R² 0.908. The model captures the trajectory of cumulative wind speed but lags abrupt resets at wind-direction changes (Figure 3).</w:t>
      </w:r>
    </w:p>
    <w:p>
      <w:pPr>
        <w:spacing w:after="80" w:before="200"/>
        <w:jc w:val="center"/>
      </w:pPr>
      <w:r>
        <w:drawing>
          <wp:inline distT="0" distB="0" distL="0" distR="0">
            <wp:extent cx="4572000" cy="2286000"/>
            <wp:effectExtent t="0" r="0" b="0" l="0"/>
            <wp:docPr id="1" name="cell09.png" descr="Figure 2. LSTM training/validation loss." title="Figure 2. LSTM training/validation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286000"/>
                    </a:xfrm>
                    <a:prstGeom prst="rect">
                      <a:avLst/>
                    </a:prstGeom>
                  </pic:spPr>
                </pic:pic>
              </a:graphicData>
            </a:graphic>
          </wp:inline>
        </w:drawing>
      </w:r>
    </w:p>
    <w:p>
      <w:pPr>
        <w:spacing w:after="240"/>
        <w:jc w:val="center"/>
      </w:pPr>
      <w:r>
        <w:rPr>
          <w:i/>
          <w:iCs/>
          <w:sz w:val="20"/>
          <w:szCs w:val="20"/>
        </w:rPr>
        <w:t xml:space="preserve">Figure 2. LSTM training/validation loss.</w:t>
      </w:r>
    </w:p>
    <w:p>
      <w:pPr>
        <w:spacing w:after="80" w:before="200"/>
        <w:jc w:val="center"/>
      </w:pPr>
      <w:r>
        <w:drawing>
          <wp:inline distT="0" distB="0" distL="0" distR="0">
            <wp:extent cx="5715000" cy="1971675"/>
            <wp:effectExtent t="0" r="0" b="0" l="0"/>
            <wp:docPr id="1" name="cell11.png" descr="Figure 3. LSTM wind forecast vs observation, first 300 test hours." title="Figure 3. LSTM wind forecast vs observation, first 300 test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71675"/>
                    </a:xfrm>
                    <a:prstGeom prst="rect">
                      <a:avLst/>
                    </a:prstGeom>
                  </pic:spPr>
                </pic:pic>
              </a:graphicData>
            </a:graphic>
          </wp:inline>
        </w:drawing>
      </w:r>
    </w:p>
    <w:p>
      <w:pPr>
        <w:spacing w:after="240"/>
        <w:jc w:val="center"/>
      </w:pPr>
      <w:r>
        <w:rPr>
          <w:i/>
          <w:iCs/>
          <w:sz w:val="20"/>
          <w:szCs w:val="20"/>
        </w:rPr>
        <w:t xml:space="preserve">Figure 3. LSTM wind forecast vs observation, first 300 test hours.</w:t>
      </w:r>
    </w:p>
    <w:p>
      <w:pPr>
        <w:spacing w:after="160" w:line="360"/>
        <w:jc w:val="both"/>
      </w:pPr>
      <w:r>
        <w:t xml:space="preserve">For PM2.5, the persistence baseline achieved RMSE 22.08 µg/m³, R² 0.945 (Table 1). The Random Forest excluding pred_Iws improved this to RMSE 21.30, R² 0.949; adding pred_Iws further reduced RMSE by 0.11 µg/m³ to 21.19. The marginal contribution of the wind forecast at t+1 is measurable but modest — about half of one per cent in RMSE.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2000"/>
        <w:gridCol w:w="2000"/>
        <w:gridCol w:w="2000"/>
      </w:tblGrid>
      <w:tr>
        <w:tc>
          <w:tcPr>
            <w:tcW w:type="dxa" w:w="3026"/>
            <w:tcBorders>
              <w:top w:val="single" w:color="999999" w:sz="4"/>
              <w:left w:val="single" w:color="999999" w:sz="4"/>
              <w:bottom w:val="single" w:color="999999" w:sz="4"/>
              <w:right w:val="single" w:color="999999" w:sz="4"/>
            </w:tcBorders>
            <w:shd w:fill="EAEAEA" w:val="clear"/>
            <w:tcMar>
              <w:top w:type="dxa" w:w="80"/>
              <w:left w:type="dxa" w:w="120"/>
              <w:bottom w:type="dxa" w:w="80"/>
              <w:right w:type="dxa" w:w="120"/>
            </w:tcMar>
          </w:tcPr>
          <w:p>
            <w:r>
              <w:rPr>
                <w:b/>
                <w:bCs/>
              </w:rPr>
              <w:t xml:space="preserve">Configuration</w:t>
            </w:r>
          </w:p>
        </w:tc>
        <w:tc>
          <w:tcPr>
            <w:tcW w:type="dxa" w:w="2000"/>
            <w:tcBorders>
              <w:top w:val="single" w:color="999999" w:sz="4"/>
              <w:left w:val="single" w:color="999999" w:sz="4"/>
              <w:bottom w:val="single" w:color="999999" w:sz="4"/>
              <w:right w:val="single" w:color="999999" w:sz="4"/>
            </w:tcBorders>
            <w:shd w:fill="EAEAEA" w:val="clear"/>
            <w:tcMar>
              <w:top w:type="dxa" w:w="80"/>
              <w:left w:type="dxa" w:w="120"/>
              <w:bottom w:type="dxa" w:w="80"/>
              <w:right w:type="dxa" w:w="120"/>
            </w:tcMar>
          </w:tcPr>
          <w:p>
            <w:r>
              <w:rPr>
                <w:b/>
                <w:bCs/>
              </w:rPr>
              <w:t xml:space="preserve">RMSE (µg/m³)</w:t>
            </w:r>
          </w:p>
        </w:tc>
        <w:tc>
          <w:tcPr>
            <w:tcW w:type="dxa" w:w="2000"/>
            <w:tcBorders>
              <w:top w:val="single" w:color="999999" w:sz="4"/>
              <w:left w:val="single" w:color="999999" w:sz="4"/>
              <w:bottom w:val="single" w:color="999999" w:sz="4"/>
              <w:right w:val="single" w:color="999999" w:sz="4"/>
            </w:tcBorders>
            <w:shd w:fill="EAEAEA" w:val="clear"/>
            <w:tcMar>
              <w:top w:type="dxa" w:w="80"/>
              <w:left w:type="dxa" w:w="120"/>
              <w:bottom w:type="dxa" w:w="80"/>
              <w:right w:type="dxa" w:w="120"/>
            </w:tcMar>
          </w:tcPr>
          <w:p>
            <w:r>
              <w:rPr>
                <w:b/>
                <w:bCs/>
              </w:rPr>
              <w:t xml:space="preserve">MAE (µg/m³)</w:t>
            </w:r>
          </w:p>
        </w:tc>
        <w:tc>
          <w:tcPr>
            <w:tcW w:type="dxa" w:w="2000"/>
            <w:tcBorders>
              <w:top w:val="single" w:color="999999" w:sz="4"/>
              <w:left w:val="single" w:color="999999" w:sz="4"/>
              <w:bottom w:val="single" w:color="999999" w:sz="4"/>
              <w:right w:val="single" w:color="999999" w:sz="4"/>
            </w:tcBorders>
            <w:shd w:fill="EAEAEA" w:val="clear"/>
            <w:tcMar>
              <w:top w:type="dxa" w:w="80"/>
              <w:left w:type="dxa" w:w="120"/>
              <w:bottom w:type="dxa" w:w="80"/>
              <w:right w:type="dxa" w:w="120"/>
            </w:tcMar>
          </w:tcPr>
          <w:p>
            <w:r>
              <w:rPr>
                <w:b/>
                <w:bCs/>
              </w:rPr>
              <w:t xml:space="preserve">R²</w:t>
            </w:r>
          </w:p>
        </w:tc>
      </w:tr>
      <w:tr>
        <w:tc>
          <w:tcPr>
            <w:tcW w:type="dxa" w:w="3026"/>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Persistence (pm_lag1)</w:t>
            </w:r>
          </w:p>
        </w:tc>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22.083</w:t>
            </w:r>
          </w:p>
        </w:tc>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11.860</w:t>
            </w:r>
          </w:p>
        </w:tc>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0.945</w:t>
            </w:r>
          </w:p>
        </w:tc>
      </w:tr>
      <w:tr>
        <w:tc>
          <w:tcPr>
            <w:tcW w:type="dxa" w:w="3026"/>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RF without pred_Iws</w:t>
            </w:r>
          </w:p>
        </w:tc>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21.303</w:t>
            </w:r>
          </w:p>
        </w:tc>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11.959</w:t>
            </w:r>
          </w:p>
        </w:tc>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0.949</w:t>
            </w:r>
          </w:p>
        </w:tc>
      </w:tr>
      <w:tr>
        <w:tc>
          <w:tcPr>
            <w:tcW w:type="dxa" w:w="3026"/>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RF with pred_Iws (full)</w:t>
            </w:r>
          </w:p>
        </w:tc>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21.194</w:t>
            </w:r>
          </w:p>
        </w:tc>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11.860</w:t>
            </w:r>
          </w:p>
        </w:tc>
        <w:tc>
          <w:tcPr>
            <w:tcW w:type="dxa" w:w="200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0.949</w:t>
            </w:r>
          </w:p>
        </w:tc>
      </w:tr>
    </w:tbl>
    <w:p>
      <w:pPr>
        <w:spacing w:after="240" w:before="80"/>
        <w:jc w:val="center"/>
      </w:pPr>
      <w:r>
        <w:rPr>
          <w:i/>
          <w:iCs/>
          <w:sz w:val="20"/>
          <w:szCs w:val="20"/>
        </w:rPr>
        <w:t xml:space="preserve">Table 1. Test-set performance for the three air-pollution configurations.</w:t>
      </w:r>
    </w:p>
    <w:p>
      <w:pPr>
        <w:spacing w:after="160" w:line="360"/>
        <w:jc w:val="both"/>
      </w:pPr>
      <w:r>
        <w:t xml:space="preserve">Linear Regression and Random Forest were essentially tied (R² ≈ 0.949), while a Decision Tree underperformed (R² = 0.898): once lag features are present, the problem is nearly linear in those features and ensemble capacity adds little. Random Forest feature importances (Figure 4) confirm the source of predictive power: pm_lag1 dominates, observed weather contributes moderately, and pred_Iws plus wind direction contribute marginally.</w:t>
      </w:r>
    </w:p>
    <w:p>
      <w:pPr>
        <w:spacing w:after="80" w:before="200"/>
        <w:jc w:val="center"/>
      </w:pPr>
      <w:r>
        <w:drawing>
          <wp:inline distT="0" distB="0" distL="0" distR="0">
            <wp:extent cx="4381500" cy="2667000"/>
            <wp:effectExtent t="0" r="0" b="0" l="0"/>
            <wp:docPr id="1" name="cell15.png" descr="Figure 4. Random Forest feature importance." title="Figure 4. Random Forest feature 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2667000"/>
                    </a:xfrm>
                    <a:prstGeom prst="rect">
                      <a:avLst/>
                    </a:prstGeom>
                  </pic:spPr>
                </pic:pic>
              </a:graphicData>
            </a:graphic>
          </wp:inline>
        </w:drawing>
      </w:r>
    </w:p>
    <w:p>
      <w:pPr>
        <w:spacing w:after="240"/>
        <w:jc w:val="center"/>
      </w:pPr>
      <w:r>
        <w:rPr>
          <w:i/>
          <w:iCs/>
          <w:sz w:val="20"/>
          <w:szCs w:val="20"/>
        </w:rPr>
        <w:t xml:space="preserve">Figure 4. Random Forest feature importance.</w:t>
      </w:r>
    </w:p>
    <w:p>
      <w:pPr>
        <w:spacing w:after="80" w:before="200"/>
        <w:jc w:val="center"/>
      </w:pPr>
      <w:r>
        <w:drawing>
          <wp:inline distT="0" distB="0" distL="0" distR="0">
            <wp:extent cx="5715000" cy="1971675"/>
            <wp:effectExtent t="0" r="0" b="0" l="0"/>
            <wp:docPr id="1" name="cell16.png" descr="Figure 5. PM2.5 forecast vs observation, first 300 test hours." title="Figure 5. PM2.5 forecast vs observation, first 300 test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971675"/>
                    </a:xfrm>
                    <a:prstGeom prst="rect">
                      <a:avLst/>
                    </a:prstGeom>
                  </pic:spPr>
                </pic:pic>
              </a:graphicData>
            </a:graphic>
          </wp:inline>
        </w:drawing>
      </w:r>
    </w:p>
    <w:p>
      <w:pPr>
        <w:spacing w:after="240"/>
        <w:jc w:val="center"/>
      </w:pPr>
      <w:r>
        <w:rPr>
          <w:i/>
          <w:iCs/>
          <w:sz w:val="20"/>
          <w:szCs w:val="20"/>
        </w:rPr>
        <w:t xml:space="preserve">Figure 5. PM2.5 forecast vs observation, first 300 test hours.</w:t>
      </w:r>
    </w:p>
    <w:p>
      <w:pPr>
        <w:pStyle w:val="Heading2"/>
        <w:spacing w:after="140" w:before="240"/>
      </w:pPr>
      <w:r>
        <w:rPr>
          <w:b/>
          <w:bCs/>
          <w:sz w:val="24"/>
          <w:szCs w:val="24"/>
        </w:rPr>
        <w:t xml:space="preserve">4.1 Multi-horizon evaluation</w:t>
      </w:r>
    </w:p>
    <w:p>
      <w:pPr>
        <w:spacing w:after="160" w:line="360"/>
        <w:jc w:val="both"/>
      </w:pPr>
      <w:r>
        <w:t xml:space="preserve">The t+1 result conceals horizon-dependent behaviour (Table 3, Figure 7). Persistence R² falls from 0.945 at t+1 to −0.127 at t+24, where naive prediction is worse than the long-run mean. The Random Forest retains useful skill across all horizons (R² = 0.122 at t+24), and the LSTM forecast’s contribution grows from ΔRMSE = 0.054 µg/m³ at t+1 to 0.435 µg/m³ at t+24, as the current observed wind state becomes increasingly stale relative to the target.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500"/>
        <w:gridCol w:w="1500"/>
        <w:gridCol w:w="1500"/>
        <w:gridCol w:w="1100"/>
        <w:gridCol w:w="1076"/>
      </w:tblGrid>
      <w:tr>
        <w:tc>
          <w:tcPr>
            <w:tcW w:type="dxa" w:w="900"/>
            <w:tcBorders>
              <w:top w:val="single" w:color="999999" w:sz="4"/>
              <w:left w:val="single" w:color="999999" w:sz="4"/>
              <w:bottom w:val="single" w:color="999999" w:sz="4"/>
              <w:right w:val="single" w:color="999999" w:sz="4"/>
            </w:tcBorders>
            <w:shd w:fill="EAEAEA" w:val="clear"/>
            <w:tcMar>
              <w:top w:type="dxa" w:w="80"/>
              <w:left w:type="dxa" w:w="100"/>
              <w:bottom w:type="dxa" w:w="80"/>
              <w:right w:type="dxa" w:w="100"/>
            </w:tcMar>
          </w:tcPr>
          <w:p>
            <w:r>
              <w:rPr>
                <w:b/>
                <w:bCs/>
                <w:sz w:val="20"/>
                <w:szCs w:val="20"/>
              </w:rPr>
              <w:t xml:space="preserve">Horizon (h)</w:t>
            </w:r>
          </w:p>
        </w:tc>
        <w:tc>
          <w:tcPr>
            <w:tcW w:type="dxa" w:w="1450"/>
            <w:tcBorders>
              <w:top w:val="single" w:color="999999" w:sz="4"/>
              <w:left w:val="single" w:color="999999" w:sz="4"/>
              <w:bottom w:val="single" w:color="999999" w:sz="4"/>
              <w:right w:val="single" w:color="999999" w:sz="4"/>
            </w:tcBorders>
            <w:shd w:fill="EAEAEA" w:val="clear"/>
            <w:tcMar>
              <w:top w:type="dxa" w:w="80"/>
              <w:left w:type="dxa" w:w="100"/>
              <w:bottom w:type="dxa" w:w="80"/>
              <w:right w:type="dxa" w:w="100"/>
            </w:tcMar>
          </w:tcPr>
          <w:p>
            <w:r>
              <w:rPr>
                <w:b/>
                <w:bCs/>
                <w:sz w:val="20"/>
                <w:szCs w:val="20"/>
              </w:rPr>
              <w:t xml:space="preserve">Persistence</w:t>
            </w:r>
          </w:p>
        </w:tc>
        <w:tc>
          <w:tcPr>
            <w:tcW w:type="dxa" w:w="1500"/>
            <w:tcBorders>
              <w:top w:val="single" w:color="999999" w:sz="4"/>
              <w:left w:val="single" w:color="999999" w:sz="4"/>
              <w:bottom w:val="single" w:color="999999" w:sz="4"/>
              <w:right w:val="single" w:color="999999" w:sz="4"/>
            </w:tcBorders>
            <w:shd w:fill="EAEAEA" w:val="clear"/>
            <w:tcMar>
              <w:top w:type="dxa" w:w="80"/>
              <w:left w:type="dxa" w:w="100"/>
              <w:bottom w:type="dxa" w:w="80"/>
              <w:right w:type="dxa" w:w="100"/>
            </w:tcMar>
          </w:tcPr>
          <w:p>
            <w:r>
              <w:rPr>
                <w:b/>
                <w:bCs/>
                <w:sz w:val="20"/>
                <w:szCs w:val="20"/>
              </w:rPr>
              <w:t xml:space="preserve">RF (no pred_Iws)</w:t>
            </w:r>
          </w:p>
        </w:tc>
        <w:tc>
          <w:tcPr>
            <w:tcW w:type="dxa" w:w="1500"/>
            <w:tcBorders>
              <w:top w:val="single" w:color="999999" w:sz="4"/>
              <w:left w:val="single" w:color="999999" w:sz="4"/>
              <w:bottom w:val="single" w:color="999999" w:sz="4"/>
              <w:right w:val="single" w:color="999999" w:sz="4"/>
            </w:tcBorders>
            <w:shd w:fill="EAEAEA" w:val="clear"/>
            <w:tcMar>
              <w:top w:type="dxa" w:w="80"/>
              <w:left w:type="dxa" w:w="100"/>
              <w:bottom w:type="dxa" w:w="80"/>
              <w:right w:type="dxa" w:w="100"/>
            </w:tcMar>
          </w:tcPr>
          <w:p>
            <w:r>
              <w:rPr>
                <w:b/>
                <w:bCs/>
                <w:sz w:val="20"/>
                <w:szCs w:val="20"/>
              </w:rPr>
              <w:t xml:space="preserve">RF (with pred_Iws)</w:t>
            </w:r>
          </w:p>
        </w:tc>
        <w:tc>
          <w:tcPr>
            <w:tcW w:type="dxa" w:w="1500"/>
            <w:tcBorders>
              <w:top w:val="single" w:color="999999" w:sz="4"/>
              <w:left w:val="single" w:color="999999" w:sz="4"/>
              <w:bottom w:val="single" w:color="999999" w:sz="4"/>
              <w:right w:val="single" w:color="999999" w:sz="4"/>
            </w:tcBorders>
            <w:shd w:fill="EAEAEA" w:val="clear"/>
            <w:tcMar>
              <w:top w:type="dxa" w:w="80"/>
              <w:left w:type="dxa" w:w="100"/>
              <w:bottom w:type="dxa" w:w="80"/>
              <w:right w:type="dxa" w:w="100"/>
            </w:tcMar>
          </w:tcPr>
          <w:p>
            <w:r>
              <w:rPr>
                <w:b/>
                <w:bCs/>
                <w:sz w:val="20"/>
                <w:szCs w:val="20"/>
              </w:rPr>
              <w:t xml:space="preserve">ΔRMSE</w:t>
            </w:r>
          </w:p>
        </w:tc>
        <w:tc>
          <w:tcPr>
            <w:tcW w:type="dxa" w:w="1100"/>
            <w:tcBorders>
              <w:top w:val="single" w:color="999999" w:sz="4"/>
              <w:left w:val="single" w:color="999999" w:sz="4"/>
              <w:bottom w:val="single" w:color="999999" w:sz="4"/>
              <w:right w:val="single" w:color="999999" w:sz="4"/>
            </w:tcBorders>
            <w:shd w:fill="EAEAEA" w:val="clear"/>
            <w:tcMar>
              <w:top w:type="dxa" w:w="80"/>
              <w:left w:type="dxa" w:w="100"/>
              <w:bottom w:type="dxa" w:w="80"/>
              <w:right w:type="dxa" w:w="100"/>
            </w:tcMar>
          </w:tcPr>
          <w:p>
            <w:r>
              <w:rPr>
                <w:b/>
                <w:bCs/>
                <w:sz w:val="20"/>
                <w:szCs w:val="20"/>
              </w:rPr>
              <w:t xml:space="preserve">Persist R²</w:t>
            </w:r>
          </w:p>
        </w:tc>
        <w:tc>
          <w:tcPr>
            <w:tcW w:type="dxa" w:w="1076"/>
            <w:tcBorders>
              <w:top w:val="single" w:color="999999" w:sz="4"/>
              <w:left w:val="single" w:color="999999" w:sz="4"/>
              <w:bottom w:val="single" w:color="999999" w:sz="4"/>
              <w:right w:val="single" w:color="999999" w:sz="4"/>
            </w:tcBorders>
            <w:shd w:fill="EAEAEA" w:val="clear"/>
            <w:tcMar>
              <w:top w:type="dxa" w:w="80"/>
              <w:left w:type="dxa" w:w="100"/>
              <w:bottom w:type="dxa" w:w="80"/>
              <w:right w:type="dxa" w:w="100"/>
            </w:tcMar>
          </w:tcPr>
          <w:p>
            <w:r>
              <w:rPr>
                <w:b/>
                <w:bCs/>
                <w:sz w:val="20"/>
                <w:szCs w:val="20"/>
              </w:rPr>
              <w:t xml:space="preserve">Full R²</w:t>
            </w:r>
          </w:p>
        </w:tc>
      </w:tr>
      <w:tr>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1</w:t>
            </w:r>
          </w:p>
        </w:tc>
        <w:tc>
          <w:tcPr>
            <w:tcW w:type="dxa" w:w="145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22.08 µg/m³</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21.65 µg/m³</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21.60 µg/m³</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+0.054</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0.945</w:t>
            </w:r>
          </w:p>
        </w:tc>
        <w:tc>
          <w:tcPr>
            <w:tcW w:type="dxa" w:w="1076"/>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0.948</w:t>
            </w:r>
          </w:p>
        </w:tc>
      </w:tr>
      <w:tr>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6</w:t>
            </w:r>
          </w:p>
        </w:tc>
        <w:tc>
          <w:tcPr>
            <w:tcW w:type="dxa" w:w="145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61.57 µg/m³</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57.79 µg/m³</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57.76 µg/m³</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+0.032</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0.574</w:t>
            </w:r>
          </w:p>
        </w:tc>
        <w:tc>
          <w:tcPr>
            <w:tcW w:type="dxa" w:w="1076"/>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0.625</w:t>
            </w:r>
          </w:p>
        </w:tc>
      </w:tr>
      <w:tr>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12</w:t>
            </w:r>
          </w:p>
        </w:tc>
        <w:tc>
          <w:tcPr>
            <w:tcW w:type="dxa" w:w="145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82.90 µg/m³</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74.17 µg/m³</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73.98 µg/m³</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+0.193</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0.227</w:t>
            </w:r>
          </w:p>
        </w:tc>
        <w:tc>
          <w:tcPr>
            <w:tcW w:type="dxa" w:w="1076"/>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0.385</w:t>
            </w:r>
          </w:p>
        </w:tc>
      </w:tr>
      <w:tr>
        <w:tc>
          <w:tcPr>
            <w:tcW w:type="dxa" w:w="9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24</w:t>
            </w:r>
          </w:p>
        </w:tc>
        <w:tc>
          <w:tcPr>
            <w:tcW w:type="dxa" w:w="145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100.11 µg/m³</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88.82 µg/m³</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88.38 µg/m³</w:t>
            </w:r>
          </w:p>
        </w:tc>
        <w:tc>
          <w:tcPr>
            <w:tcW w:type="dxa" w:w="15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+0.435</w:t>
            </w:r>
          </w:p>
        </w:tc>
        <w:tc>
          <w:tcPr>
            <w:tcW w:type="dxa" w:w="11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−0.127</w:t>
            </w:r>
          </w:p>
        </w:tc>
        <w:tc>
          <w:tcPr>
            <w:tcW w:type="dxa" w:w="1076"/>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0.122</w:t>
            </w:r>
          </w:p>
        </w:tc>
      </w:tr>
    </w:tbl>
    <w:p>
      <w:pPr>
        <w:spacing w:after="240" w:before="80"/>
        <w:jc w:val="center"/>
      </w:pPr>
      <w:r>
        <w:rPr>
          <w:i/>
          <w:iCs/>
          <w:sz w:val="20"/>
          <w:szCs w:val="20"/>
        </w:rPr>
        <w:t xml:space="preserve">Table 3. Multi-horizon evaluation of the three air-pollution configurations on the same chronological 80/20 split.</w:t>
      </w:r>
    </w:p>
    <w:p>
      <w:pPr>
        <w:spacing w:after="80" w:before="200"/>
        <w:jc w:val="center"/>
      </w:pPr>
      <w:r>
        <w:drawing>
          <wp:inline distT="0" distB="0" distL="0" distR="0">
            <wp:extent cx="5143500" cy="2895600"/>
            <wp:effectExtent t="0" r="0" b="0" l="0"/>
            <wp:docPr id="1" name="cell20_fig7.png" descr="Figure 7. PM2.5 forecast error (RMSE) versus prediction horizon for the three configurations." title="Figure 7. PM2.5 forecast error (RMSE) versus prediction horizon for the three configu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895600"/>
                    </a:xfrm>
                    <a:prstGeom prst="rect">
                      <a:avLst/>
                    </a:prstGeom>
                  </pic:spPr>
                </pic:pic>
              </a:graphicData>
            </a:graphic>
          </wp:inline>
        </w:drawing>
      </w:r>
    </w:p>
    <w:p>
      <w:pPr>
        <w:spacing w:after="240"/>
        <w:jc w:val="center"/>
      </w:pPr>
      <w:r>
        <w:rPr>
          <w:i/>
          <w:iCs/>
          <w:sz w:val="20"/>
          <w:szCs w:val="20"/>
        </w:rPr>
        <w:t xml:space="preserve">Figure 7. PM2.5 forecast error (RMSE) versus prediction horizon for the three configurations.</w:t>
      </w:r>
    </w:p>
    <w:p>
      <w:pPr>
        <w:spacing w:after="160" w:line="360"/>
        <w:jc w:val="both"/>
      </w:pPr>
      <w:r>
        <w:t xml:space="preserve">For the ESG component, the five-sentence demonstration assigned each canonical example to its intended category, with all confidences below 0.65 (Environmental 0.481, Social 0.562, Governance 0.617). The multi-topic example was classified as Social with confidence 0.455, and the off-topic financial sentence was also classified as Social with confidence 0.598 — higher than two of the three canonical examples (Figure 6).</w:t>
      </w:r>
    </w:p>
    <w:p>
      <w:pPr>
        <w:spacing w:after="80" w:before="200"/>
        <w:jc w:val="center"/>
      </w:pPr>
      <w:r>
        <w:drawing>
          <wp:inline distT="0" distB="0" distL="0" distR="0">
            <wp:extent cx="5715000" cy="2543175"/>
            <wp:effectExtent t="0" r="0" b="0" l="0"/>
            <wp:docPr id="1" name="cell20.png" descr="Figure 6. Zero-shot ESG confidences across the five demonstration sentences." title="Figure 6. Zero-shot ESG confidences across the five demonstration sent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543175"/>
                    </a:xfrm>
                    <a:prstGeom prst="rect">
                      <a:avLst/>
                    </a:prstGeom>
                  </pic:spPr>
                </pic:pic>
              </a:graphicData>
            </a:graphic>
          </wp:inline>
        </w:drawing>
      </w:r>
    </w:p>
    <w:p>
      <w:pPr>
        <w:spacing w:after="240"/>
        <w:jc w:val="center"/>
      </w:pPr>
      <w:r>
        <w:rPr>
          <w:i/>
          <w:iCs/>
          <w:sz w:val="20"/>
          <w:szCs w:val="20"/>
        </w:rPr>
        <w:t xml:space="preserve">Figure 6. Zero-shot ESG confidences across the five demonstration sentences.</w:t>
      </w:r>
    </w:p>
    <w:p>
      <w:pPr>
        <w:spacing w:after="160" w:line="360"/>
        <w:jc w:val="both"/>
      </w:pPr>
      <w:r>
        <w:t xml:space="preserve">On the 80-sentence annotated dataset, accuracy on the in-distribution E / S / G subset (n = 60) was 68.3% with an asymmetric error structure (Table 4, Figure 8). Environmental was perfectly precise but only 50% recalled; Social was over-predicted (precision 0.548, recall 0.850), acting as the classifier’s default fallback; Governance was most balanced (F1 = 0.718).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750"/>
        <w:gridCol w:w="1750"/>
        <w:gridCol w:w="1750"/>
        <w:gridCol w:w="1276"/>
      </w:tblGrid>
      <w:tr>
        <w:tc>
          <w:tcPr>
            <w:tcW w:type="dxa" w:w="2500"/>
            <w:tcBorders>
              <w:top w:val="single" w:color="999999" w:sz="4"/>
              <w:left w:val="single" w:color="999999" w:sz="4"/>
              <w:bottom w:val="single" w:color="999999" w:sz="4"/>
              <w:right w:val="single" w:color="999999" w:sz="4"/>
            </w:tcBorders>
            <w:shd w:fill="EAEAEA" w:val="clear"/>
            <w:tcMar>
              <w:top w:type="dxa" w:w="80"/>
              <w:left w:type="dxa" w:w="100"/>
              <w:bottom w:type="dxa" w:w="80"/>
              <w:right w:type="dxa" w:w="100"/>
            </w:tcMar>
          </w:tcPr>
          <w:p>
            <w:r>
              <w:rPr>
                <w:b/>
                <w:bCs/>
                <w:sz w:val="20"/>
                <w:szCs w:val="20"/>
              </w:rPr>
              <w:t xml:space="preserve">Class</w:t>
            </w:r>
          </w:p>
        </w:tc>
        <w:tc>
          <w:tcPr>
            <w:tcW w:type="dxa" w:w="1750"/>
            <w:tcBorders>
              <w:top w:val="single" w:color="999999" w:sz="4"/>
              <w:left w:val="single" w:color="999999" w:sz="4"/>
              <w:bottom w:val="single" w:color="999999" w:sz="4"/>
              <w:right w:val="single" w:color="999999" w:sz="4"/>
            </w:tcBorders>
            <w:shd w:fill="EAEAEA" w:val="clear"/>
            <w:tcMar>
              <w:top w:type="dxa" w:w="80"/>
              <w:left w:type="dxa" w:w="100"/>
              <w:bottom w:type="dxa" w:w="80"/>
              <w:right w:type="dxa" w:w="100"/>
            </w:tcMar>
          </w:tcPr>
          <w:p>
            <w:r>
              <w:rPr>
                <w:b/>
                <w:bCs/>
                <w:sz w:val="20"/>
                <w:szCs w:val="20"/>
              </w:rPr>
              <w:t xml:space="preserve">Precision</w:t>
            </w:r>
          </w:p>
        </w:tc>
        <w:tc>
          <w:tcPr>
            <w:tcW w:type="dxa" w:w="1750"/>
            <w:tcBorders>
              <w:top w:val="single" w:color="999999" w:sz="4"/>
              <w:left w:val="single" w:color="999999" w:sz="4"/>
              <w:bottom w:val="single" w:color="999999" w:sz="4"/>
              <w:right w:val="single" w:color="999999" w:sz="4"/>
            </w:tcBorders>
            <w:shd w:fill="EAEAEA" w:val="clear"/>
            <w:tcMar>
              <w:top w:type="dxa" w:w="80"/>
              <w:left w:type="dxa" w:w="100"/>
              <w:bottom w:type="dxa" w:w="80"/>
              <w:right w:type="dxa" w:w="100"/>
            </w:tcMar>
          </w:tcPr>
          <w:p>
            <w:r>
              <w:rPr>
                <w:b/>
                <w:bCs/>
                <w:sz w:val="20"/>
                <w:szCs w:val="20"/>
              </w:rPr>
              <w:t xml:space="preserve">Recall</w:t>
            </w:r>
          </w:p>
        </w:tc>
        <w:tc>
          <w:tcPr>
            <w:tcW w:type="dxa" w:w="1750"/>
            <w:tcBorders>
              <w:top w:val="single" w:color="999999" w:sz="4"/>
              <w:left w:val="single" w:color="999999" w:sz="4"/>
              <w:bottom w:val="single" w:color="999999" w:sz="4"/>
              <w:right w:val="single" w:color="999999" w:sz="4"/>
            </w:tcBorders>
            <w:shd w:fill="EAEAEA" w:val="clear"/>
            <w:tcMar>
              <w:top w:type="dxa" w:w="80"/>
              <w:left w:type="dxa" w:w="100"/>
              <w:bottom w:type="dxa" w:w="80"/>
              <w:right w:type="dxa" w:w="100"/>
            </w:tcMar>
          </w:tcPr>
          <w:p>
            <w:r>
              <w:rPr>
                <w:b/>
                <w:bCs/>
                <w:sz w:val="20"/>
                <w:szCs w:val="20"/>
              </w:rPr>
              <w:t xml:space="preserve">F1</w:t>
            </w:r>
          </w:p>
        </w:tc>
        <w:tc>
          <w:tcPr>
            <w:tcW w:type="dxa" w:w="1276"/>
            <w:tcBorders>
              <w:top w:val="single" w:color="999999" w:sz="4"/>
              <w:left w:val="single" w:color="999999" w:sz="4"/>
              <w:bottom w:val="single" w:color="999999" w:sz="4"/>
              <w:right w:val="single" w:color="999999" w:sz="4"/>
            </w:tcBorders>
            <w:shd w:fill="EAEAEA" w:val="clear"/>
            <w:tcMar>
              <w:top w:type="dxa" w:w="80"/>
              <w:left w:type="dxa" w:w="100"/>
              <w:bottom w:type="dxa" w:w="80"/>
              <w:right w:type="dxa" w:w="100"/>
            </w:tcMar>
          </w:tcPr>
          <w:p>
            <w:r>
              <w:rPr>
                <w:b/>
                <w:bCs/>
                <w:sz w:val="20"/>
                <w:szCs w:val="20"/>
              </w:rPr>
              <w:t xml:space="preserve">Support</w:t>
            </w:r>
          </w:p>
        </w:tc>
      </w:tr>
      <w:tr>
        <w:tc>
          <w:tcPr>
            <w:tcW w:type="dxa" w:w="25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Environmental</w:t>
            </w:r>
          </w:p>
        </w:tc>
        <w:tc>
          <w:tcPr>
            <w:tcW w:type="dxa" w:w="175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1.000</w:t>
            </w:r>
          </w:p>
        </w:tc>
        <w:tc>
          <w:tcPr>
            <w:tcW w:type="dxa" w:w="175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0.500</w:t>
            </w:r>
          </w:p>
        </w:tc>
        <w:tc>
          <w:tcPr>
            <w:tcW w:type="dxa" w:w="175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0.667</w:t>
            </w:r>
          </w:p>
        </w:tc>
        <w:tc>
          <w:tcPr>
            <w:tcW w:type="dxa" w:w="1276"/>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20</w:t>
            </w:r>
          </w:p>
        </w:tc>
      </w:tr>
      <w:tr>
        <w:tc>
          <w:tcPr>
            <w:tcW w:type="dxa" w:w="25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Social</w:t>
            </w:r>
          </w:p>
        </w:tc>
        <w:tc>
          <w:tcPr>
            <w:tcW w:type="dxa" w:w="175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0.548</w:t>
            </w:r>
          </w:p>
        </w:tc>
        <w:tc>
          <w:tcPr>
            <w:tcW w:type="dxa" w:w="175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0.850</w:t>
            </w:r>
          </w:p>
        </w:tc>
        <w:tc>
          <w:tcPr>
            <w:tcW w:type="dxa" w:w="175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0.667</w:t>
            </w:r>
          </w:p>
        </w:tc>
        <w:tc>
          <w:tcPr>
            <w:tcW w:type="dxa" w:w="1276"/>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20</w:t>
            </w:r>
          </w:p>
        </w:tc>
      </w:tr>
      <w:tr>
        <w:tc>
          <w:tcPr>
            <w:tcW w:type="dxa" w:w="25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Governance</w:t>
            </w:r>
          </w:p>
        </w:tc>
        <w:tc>
          <w:tcPr>
            <w:tcW w:type="dxa" w:w="175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0.737</w:t>
            </w:r>
          </w:p>
        </w:tc>
        <w:tc>
          <w:tcPr>
            <w:tcW w:type="dxa" w:w="175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0.700</w:t>
            </w:r>
          </w:p>
        </w:tc>
        <w:tc>
          <w:tcPr>
            <w:tcW w:type="dxa" w:w="175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0.718</w:t>
            </w:r>
          </w:p>
        </w:tc>
        <w:tc>
          <w:tcPr>
            <w:tcW w:type="dxa" w:w="1276"/>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20</w:t>
            </w:r>
          </w:p>
        </w:tc>
      </w:tr>
      <w:tr>
        <w:tc>
          <w:tcPr>
            <w:tcW w:type="dxa" w:w="250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Macro average</w:t>
            </w:r>
          </w:p>
        </w:tc>
        <w:tc>
          <w:tcPr>
            <w:tcW w:type="dxa" w:w="175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0.762</w:t>
            </w:r>
          </w:p>
        </w:tc>
        <w:tc>
          <w:tcPr>
            <w:tcW w:type="dxa" w:w="175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0.683</w:t>
            </w:r>
          </w:p>
        </w:tc>
        <w:tc>
          <w:tcPr>
            <w:tcW w:type="dxa" w:w="1750"/>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0.684</w:t>
            </w:r>
          </w:p>
        </w:tc>
        <w:tc>
          <w:tcPr>
            <w:tcW w:type="dxa" w:w="1276"/>
            <w:tcBorders>
              <w:top w:val="single" w:color="999999" w:sz="4"/>
              <w:left w:val="single" w:color="999999" w:sz="4"/>
              <w:bottom w:val="single" w:color="999999" w:sz="4"/>
              <w:right w:val="single" w:color="999999" w:sz="4"/>
            </w:tcBorders>
            <w:tcMar>
              <w:top w:type="dxa" w:w="80"/>
              <w:left w:type="dxa" w:w="100"/>
              <w:bottom w:type="dxa" w:w="80"/>
              <w:right w:type="dxa" w:w="100"/>
            </w:tcMar>
          </w:tcPr>
          <w:p>
            <w:r>
              <w:rPr>
                <w:sz w:val="20"/>
                <w:szCs w:val="20"/>
              </w:rPr>
              <w:t xml:space="preserve">60</w:t>
            </w:r>
          </w:p>
        </w:tc>
      </w:tr>
    </w:tbl>
    <w:p>
      <w:pPr>
        <w:spacing w:after="240" w:before="80"/>
        <w:jc w:val="center"/>
      </w:pPr>
      <w:r>
        <w:rPr>
          <w:i/>
          <w:iCs/>
          <w:sz w:val="20"/>
          <w:szCs w:val="20"/>
        </w:rPr>
        <w:t xml:space="preserve">Table 4. Zero-shot ESG classification metrics on the in-distribution E / S / G subset (overall accuracy 0.683).</w:t>
      </w:r>
    </w:p>
    <w:p>
      <w:pPr>
        <w:spacing w:after="80" w:before="200"/>
        <w:jc w:val="center"/>
      </w:pPr>
      <w:r>
        <w:drawing>
          <wp:inline distT="0" distB="0" distL="0" distR="0">
            <wp:extent cx="4572000" cy="3733800"/>
            <wp:effectExtent t="0" r="0" b="0" l="0"/>
            <wp:docPr id="1" name="cell26_fig8.png" descr="Figure 8. Confusion matrix on the 60 in-distribution ESG sentences." title="Figure 8. Confusion matrix on the 60 in-distribution ESG sent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733800"/>
                    </a:xfrm>
                    <a:prstGeom prst="rect">
                      <a:avLst/>
                    </a:prstGeom>
                  </pic:spPr>
                </pic:pic>
              </a:graphicData>
            </a:graphic>
          </wp:inline>
        </w:drawing>
      </w:r>
    </w:p>
    <w:p>
      <w:pPr>
        <w:spacing w:after="240"/>
        <w:jc w:val="center"/>
      </w:pPr>
      <w:r>
        <w:rPr>
          <w:i/>
          <w:iCs/>
          <w:sz w:val="20"/>
          <w:szCs w:val="20"/>
        </w:rPr>
        <w:t xml:space="preserve">Figure 8. Confusion matrix on the 60 in-distribution ESG sentences.</w:t>
      </w:r>
    </w:p>
    <w:p>
      <w:pPr>
        <w:spacing w:after="160" w:line="360"/>
        <w:jc w:val="both"/>
      </w:pPr>
      <w:r>
        <w:t xml:space="preserve">Off-topic sentences received mean confidence 0.595 — higher than the mean on true Environmental sentences (0.495) — and 80% were classified with confidence above 0.5. Confidence cannot reliably detect distribution shift in this configuration.</w:t>
      </w:r>
    </w:p>
    <w:p>
      <w:pPr>
        <w:pStyle w:val="Heading1"/>
        <w:spacing w:after="200" w:before="360"/>
      </w:pPr>
      <w:r>
        <w:rPr>
          <w:b/>
          <w:bCs/>
          <w:sz w:val="28"/>
          <w:szCs w:val="28"/>
        </w:rPr>
        <w:t xml:space="preserve">5. Discussion of Results</w:t>
      </w:r>
    </w:p>
    <w:p>
      <w:pPr>
        <w:spacing w:after="160" w:line="360"/>
        <w:jc w:val="both"/>
      </w:pPr>
      <w:r>
        <w:t xml:space="preserve">Three findings warrant comment against the existing literature.</w:t>
      </w:r>
    </w:p>
    <w:p>
      <w:pPr>
        <w:spacing w:after="160" w:line="360"/>
        <w:jc w:val="both"/>
      </w:pPr>
      <w:r>
        <w:t xml:space="preserve">First, the LSTM forecast’s contribution to the air-pollution model is horizon-dependent. At t+1 it is small (ΔRMSE = 0.054 µg/m³) because the current observed Iws is already a feature; at t+24 the current observation is stale and the forecast contributes eight times more (ΔRMSE = 0.435 µg/m³). Persistence is competitive at t+1 (R² = 0.945) but worse than the long-run mean at t+24 (R² = −0.127). Liang et al. (2015) showed that PM2.5 can be reconstructed largely from preceding values once weather is conditioned on; our ablation quantifies how the value of meteorological forecasting grows once the prediction window outruns the autocorrelation timescale.</w:t>
      </w:r>
    </w:p>
    <w:p>
      <w:pPr>
        <w:spacing w:after="160" w:line="360"/>
        <w:jc w:val="both"/>
      </w:pPr>
      <w:r>
        <w:t xml:space="preserve">Second, t+1 R² figures in this dataset should be read with caution: persistence reaches 0.945 simply because the next value is almost identical to the current one. Multi-step recurrent architectures (Liu et al., 2019) and richer covariates such as upwind chemistry transport (Geng et al., 2017) would extend the analysis.</w:t>
      </w:r>
    </w:p>
    <w:p>
      <w:pPr>
        <w:spacing w:after="160" w:line="360"/>
        <w:jc w:val="both"/>
      </w:pPr>
      <w:r>
        <w:t xml:space="preserve">Third, the 80-sentence ESG evaluation matches the calibration concerns raised by Yin, Hay and Roth (2019): zero-shot classifiers cannot decline to classify, and their confidence scores do not reliably indicate distribution membership. A confidence threshold calibrated to filter Off-topic inputs in our results would also reject a substantial fraction of genuine Environmental sentences, since mean Off-topic confidence (0.595) exceeded mean Environmental confidence (0.495). Production use in regulatory or investment contexts therefore requires either a supervised calibration step or an explicit out-of-distribution detector trained on representative non-ESG text.</w:t>
      </w:r>
    </w:p>
    <w:p>
      <w:pPr>
        <w:spacing w:after="160" w:line="360"/>
        <w:jc w:val="both"/>
      </w:pPr>
      <w:r>
        <w:t xml:space="preserve">Ethical implications extend beyond technical performance. Air-quality forecasts feed advisories that influence vulnerable populations — children, the elderly, outdoor workers — and a confidently wrong model causes real harm. ESG classification raises distinct concerns: category boundaries are themselves contested, with rating agencies producing divergent scores for the same firm (Berg, Kölbel and Rigobon, 2022; Dimson, Marsh and Staunton, 2020), and an automated classifier may amplify the language of well-resourced firms, obscuring greenwashing or penalising smaller issuers. The carbon cost of querying a 1.6 GB transformer is itself a sustainability variable. Plausible use cases — early warning, sensor gap-filling, disclosure triage — cannot responsibly proceed without the calibration discussed above.</w:t>
      </w:r>
    </w:p>
    <w:p>
      <w:pPr>
        <w:pStyle w:val="Heading1"/>
        <w:spacing w:after="200" w:before="360"/>
      </w:pPr>
      <w:r>
        <w:rPr>
          <w:b/>
          <w:bCs/>
          <w:sz w:val="28"/>
          <w:szCs w:val="28"/>
        </w:rPr>
        <w:t xml:space="preserve">6. Conclusion and Future Work</w:t>
      </w:r>
    </w:p>
    <w:p>
      <w:pPr>
        <w:spacing w:after="160" w:line="360"/>
        <w:jc w:val="both"/>
      </w:pPr>
      <w:r>
        <w:t xml:space="preserve">This project implemented an integrated environmental-intelligence system combining a wind-speed LSTM, a PM2.5 Random Forest and a zero-shot ESG classifier on the Beijing PM2.5 benchmark. We find the integration’s value is horizon-dependent: the LSTM forecast contributes 0.054 µg/m³ in RMSE at t+1 but 0.435 µg/m³ at t+24, an eight-fold increase mirroring the rate at which persistence degrades from R² = 0.945 to R² = −0.127. The Random Forest justifies its existence at longer horizons in a way it does not at t+1. The zero-shot ESG classifier achieved 68.3% accuracy on an 80-sentence annotated dataset with an asymmetric error structure (Environmental precise but under-recalled; Social over-predicted) and a calibration failure: 80% of Off-topic controls received confidence above 0.5, with mean Off-topic confidence exceeding mean Environmental confidence.</w:t>
      </w:r>
    </w:p>
    <w:p>
      <w:pPr>
        <w:spacing w:after="160" w:line="360"/>
        <w:jc w:val="both"/>
      </w:pPr>
      <w:r>
        <w:t xml:space="preserve">Three avenues for further work follow naturally. First, calibration of the ESG classifier — for example fine-tuning a confidence threshold on a small labelled set — would convert a useful demonstration into a deployable component. Second, the architecture should be extended beyond one station in one city: the model is implicitly customised to Beijing, and PM2.5 baselines vary by an order of magnitude across world cities (Beijing ≈ 99 µg/m³, London ≈ 12, Delhi over 150 in winter). Per-city models, pooled models with city-level embeddings (Yi et al., 2018), and graph neural networks (Wang et al., 2020) are all viable extensions. Third, honest evaluation rather than headline-metric inflation is the foundation on which environmental AI systems must be built if they are to inform decisions that protect human health.</w:t>
      </w:r>
    </w:p>
    <w:p>
      <w:pPr>
        <w:pStyle w:val="Heading1"/>
        <w:spacing w:after="200" w:before="360"/>
      </w:pPr>
      <w:r>
        <w:rPr>
          <w:b/>
          <w:bCs/>
          <w:sz w:val="28"/>
          <w:szCs w:val="28"/>
        </w:rPr>
        <w:t xml:space="preserve">References</w:t>
      </w:r>
    </w:p>
    <w:p>
      <w:pPr>
        <w:spacing w:after="100" w:line="300"/>
        <w:ind w:left="360" w:hanging="360"/>
        <w:jc w:val="left"/>
      </w:pPr>
      <w:r>
        <w:rPr>
          <w:sz w:val="22"/>
          <w:szCs w:val="22"/>
        </w:rPr>
        <w:t xml:space="preserve">Berg, F., Kölbel, J. F. and Rigobon, R. (2022) ‘Aggregate confusion: the divergence of ESG ratings’, Review of Finance, 26(6), pp. 1315–1344.</w:t>
      </w:r>
    </w:p>
    <w:p>
      <w:pPr>
        <w:spacing w:after="100" w:line="300"/>
        <w:ind w:left="360" w:hanging="360"/>
        <w:jc w:val="left"/>
      </w:pPr>
      <w:r>
        <w:rPr>
          <w:sz w:val="22"/>
          <w:szCs w:val="22"/>
        </w:rPr>
        <w:t xml:space="preserve">Box, G. E. P., Jenkins, G. M., Reinsel, G. C. and Ljung, G. M. (2015) Time Series Analysis: Forecasting and Control. 5th edn. Hoboken, NJ: Wiley.</w:t>
      </w:r>
    </w:p>
    <w:p>
      <w:pPr>
        <w:spacing w:after="100" w:line="300"/>
        <w:ind w:left="360" w:hanging="360"/>
        <w:jc w:val="left"/>
      </w:pPr>
      <w:r>
        <w:rPr>
          <w:sz w:val="22"/>
          <w:szCs w:val="22"/>
        </w:rPr>
        <w:t xml:space="preserve">Breiman, L. (2001) ‘Random forests’, Machine Learning, 45(1), pp. 5–32.</w:t>
      </w:r>
    </w:p>
    <w:p>
      <w:pPr>
        <w:spacing w:after="100" w:line="300"/>
        <w:ind w:left="360" w:hanging="360"/>
        <w:jc w:val="left"/>
      </w:pPr>
      <w:r>
        <w:rPr>
          <w:sz w:val="22"/>
          <w:szCs w:val="22"/>
        </w:rPr>
        <w:t xml:space="preserve">Cerqueira, V., Torgo, L. and Mozetič, I. (2020) ‘Evaluating time series forecasting models: an empirical study on performance estimation methods’, Machine Learning, 109(11), pp. 1997–2028.</w:t>
      </w:r>
    </w:p>
    <w:p>
      <w:pPr>
        <w:spacing w:after="100" w:line="300"/>
        <w:ind w:left="360" w:hanging="360"/>
        <w:jc w:val="left"/>
      </w:pPr>
      <w:r>
        <w:rPr>
          <w:sz w:val="22"/>
          <w:szCs w:val="22"/>
        </w:rPr>
        <w:t xml:space="preserve">Dimson, E., Marsh, P. and Staunton, M. (2020) ‘Divergent ESG ratings’, The Journal of Portfolio Management, 47(1), pp. 75–87.</w:t>
      </w:r>
    </w:p>
    <w:p>
      <w:pPr>
        <w:spacing w:after="100" w:line="300"/>
        <w:ind w:left="360" w:hanging="360"/>
        <w:jc w:val="left"/>
      </w:pPr>
      <w:r>
        <w:rPr>
          <w:sz w:val="22"/>
          <w:szCs w:val="22"/>
        </w:rPr>
        <w:t xml:space="preserve">Geng, G., Zhang, Q., Tong, D., Li, M., Zheng, Y., Wang, S. and He, K. (2017) ‘Tracking air pollution in China: near real-time PM2.5 retrievals from multisource data fusion’, Environmental Science &amp; Technology, 51(21), pp. 12283–12291.</w:t>
      </w:r>
    </w:p>
    <w:p>
      <w:pPr>
        <w:spacing w:after="100" w:line="300"/>
        <w:ind w:left="360" w:hanging="360"/>
        <w:jc w:val="left"/>
      </w:pPr>
      <w:r>
        <w:rPr>
          <w:sz w:val="22"/>
          <w:szCs w:val="22"/>
        </w:rPr>
        <w:t xml:space="preserve">Hochreiter, S. and Schmidhuber, J. (1997) ‘Long short-term memory’, Neural Computation, 9(8), pp. 1735–1780.</w:t>
      </w:r>
    </w:p>
    <w:p>
      <w:pPr>
        <w:spacing w:after="100" w:line="300"/>
        <w:ind w:left="360" w:hanging="360"/>
        <w:jc w:val="left"/>
      </w:pPr>
      <w:r>
        <w:rPr>
          <w:sz w:val="22"/>
          <w:szCs w:val="22"/>
        </w:rPr>
        <w:t xml:space="preserve">Lewis, M., Liu, Y., Goyal, N., Ghazvininejad, M., Mohamed, A., Levy, O., Stoyanov, V. and Zettlemoyer, L. (2020) ‘BART: denoising sequence-to-sequence pre-training for natural language generation, translation, and comprehension’, Proceedings of the 58th Annual Meeting of the Association for Computational Linguistics, pp. 7871–7880.</w:t>
      </w:r>
    </w:p>
    <w:p>
      <w:pPr>
        <w:spacing w:after="100" w:line="300"/>
        <w:ind w:left="360" w:hanging="360"/>
        <w:jc w:val="left"/>
      </w:pPr>
      <w:r>
        <w:rPr>
          <w:sz w:val="22"/>
          <w:szCs w:val="22"/>
        </w:rPr>
        <w:t xml:space="preserve">Li, X., Peng, L., Yao, X., Cui, S., Hu, Y., You, C. and Chi, T. (2017) ‘Long short-term memory neural network for air pollutant concentration predictions: method development and evaluation’, Environmental Pollution, 231, pp. 997–1004.</w:t>
      </w:r>
    </w:p>
    <w:p>
      <w:pPr>
        <w:spacing w:after="100" w:line="300"/>
        <w:ind w:left="360" w:hanging="360"/>
        <w:jc w:val="left"/>
      </w:pPr>
      <w:r>
        <w:rPr>
          <w:sz w:val="22"/>
          <w:szCs w:val="22"/>
        </w:rPr>
        <w:t xml:space="preserve">Liang, X., Zou, T., Guo, B., Li, S., Zhang, H., Zhang, S., Huang, H. and Chen, S. X. (2015) ‘Assessing Beijing’s PM2.5 pollution: severity, weather impact, APEC and winter heating’, Proceedings of the Royal Society A, 471(2182), 20150257.</w:t>
      </w:r>
    </w:p>
    <w:p>
      <w:pPr>
        <w:spacing w:after="100" w:line="300"/>
        <w:ind w:left="360" w:hanging="360"/>
        <w:jc w:val="left"/>
      </w:pPr>
      <w:r>
        <w:rPr>
          <w:sz w:val="22"/>
          <w:szCs w:val="22"/>
        </w:rPr>
        <w:t xml:space="preserve">Lim, B. and Zohren, S. (2021) ‘Time-series forecasting with deep learning: a survey’, Philosophical Transactions of the Royal Society A, 379(2194), 20200209.</w:t>
      </w:r>
    </w:p>
    <w:p>
      <w:pPr>
        <w:spacing w:after="100" w:line="300"/>
        <w:ind w:left="360" w:hanging="360"/>
        <w:jc w:val="left"/>
      </w:pPr>
      <w:r>
        <w:rPr>
          <w:sz w:val="22"/>
          <w:szCs w:val="22"/>
        </w:rPr>
        <w:t xml:space="preserve">Liu, B., Yan, S., Li, J., Qu, G., Li, Y., Lang, J. and Gu, R. (2019) ‘A sequence-to-sequence air-quality predictor based on the n-step recurrent prediction’, IEEE Access, 7, pp. 43331–43345.</w:t>
      </w:r>
    </w:p>
    <w:p>
      <w:pPr>
        <w:spacing w:after="100" w:line="300"/>
        <w:ind w:left="360" w:hanging="360"/>
        <w:jc w:val="left"/>
      </w:pPr>
      <w:r>
        <w:rPr>
          <w:sz w:val="22"/>
          <w:szCs w:val="22"/>
        </w:rPr>
        <w:t xml:space="preserve">Reid, C. E., Jerrett, M., Petersen, M. L., Pfister, G. G., Morefield, P. E., Tager, I. B., Raffuse, S. M. and Balmes, J. R. (2015) ‘Spatiotemporal prediction of fine particulate matter during the 2008 northern California wildfires using machine learning’, Environmental Science &amp; Technology, 49(6), pp. 3887–3896.</w:t>
      </w:r>
    </w:p>
    <w:p>
      <w:pPr>
        <w:spacing w:after="100" w:line="300"/>
        <w:ind w:left="360" w:hanging="360"/>
        <w:jc w:val="left"/>
      </w:pPr>
      <w:r>
        <w:rPr>
          <w:sz w:val="22"/>
          <w:szCs w:val="22"/>
        </w:rPr>
        <w:t xml:space="preserve">Wang, J. and Ogawa, S. (2017) ‘Effects of meteorological conditions on PM2.5 concentrations in Nagasaki, Japan’, International Journal of Environmental Research and Public Health, 12(8), pp. 9089–9101.</w:t>
      </w:r>
    </w:p>
    <w:p>
      <w:pPr>
        <w:spacing w:after="100" w:line="300"/>
        <w:ind w:left="360" w:hanging="360"/>
        <w:jc w:val="left"/>
      </w:pPr>
      <w:r>
        <w:rPr>
          <w:sz w:val="22"/>
          <w:szCs w:val="22"/>
        </w:rPr>
        <w:t xml:space="preserve">Wang, S., Li, Y., Zhang, J., Meng, Q., Meng, L. and Gao, F. (2020) ‘PM2.5-GNN: a domain-knowledge-enhanced graph neural network for PM2.5 forecasting’, Proceedings of the 28th International Conference on Advances in Geographic Information Systems (SIGSPATIAL), pp. 163–166.</w:t>
      </w:r>
    </w:p>
    <w:p>
      <w:pPr>
        <w:spacing w:after="100" w:line="300"/>
        <w:ind w:left="360" w:hanging="360"/>
        <w:jc w:val="left"/>
      </w:pPr>
      <w:r>
        <w:rPr>
          <w:sz w:val="22"/>
          <w:szCs w:val="22"/>
        </w:rPr>
        <w:t xml:space="preserve">World Health Organization (2021) WHO global air quality guidelines: particulate matter (PM2.5 and PM10), ozone, nitrogen dioxide, sulfur dioxide and carbon monoxide. Geneva: World Health Organization.</w:t>
      </w:r>
    </w:p>
    <w:p>
      <w:pPr>
        <w:spacing w:after="100" w:line="300"/>
        <w:ind w:left="360" w:hanging="360"/>
        <w:jc w:val="left"/>
      </w:pPr>
      <w:r>
        <w:rPr>
          <w:sz w:val="22"/>
          <w:szCs w:val="22"/>
        </w:rPr>
        <w:t xml:space="preserve">Yi, X., Zhang, J., Wang, Z., Li, T. and Zheng, Y. (2018) ‘Deep distributed fusion network for air quality prediction’, Proceedings of the 24th ACM SIGKDD International Conference on Knowledge Discovery and Data Mining, pp. 965–973.</w:t>
      </w:r>
    </w:p>
    <w:p>
      <w:pPr>
        <w:spacing w:after="100" w:line="300"/>
        <w:ind w:left="360" w:hanging="360"/>
        <w:jc w:val="left"/>
      </w:pPr>
      <w:r>
        <w:rPr>
          <w:sz w:val="22"/>
          <w:szCs w:val="22"/>
        </w:rPr>
        <w:t xml:space="preserve">Yin, W., Hay, J. and Roth, D. (2019) ‘Benchmarking zero-shot text classification: datasets, evaluation and entailment approach’, Proceedings of the 2019 Conference on Empirical Methods in Natural Language Processing, pp. 3914–3923.</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Page </w:t>
    </w: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40" w:before="24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999f50bffc7699892e57becbfa502d6bb69f9b5.png"/><Relationship Id="rId9" Type="http://schemas.openxmlformats.org/officeDocument/2006/relationships/image" Target="media/2240a757954597dec01f8a54c682d79281ba71fa.png"/><Relationship Id="rId10" Type="http://schemas.openxmlformats.org/officeDocument/2006/relationships/image" Target="media/12e26c88e284e93189032f0e430cab71faafb03e.png"/><Relationship Id="rId11" Type="http://schemas.openxmlformats.org/officeDocument/2006/relationships/image" Target="media/23b70b53898e56fc623e9a376636932fea71ff49.png"/><Relationship Id="rId12" Type="http://schemas.openxmlformats.org/officeDocument/2006/relationships/image" Target="media/e7abf83ef981e9d6467a1f434e1cb23baf9c9a9e.png"/><Relationship Id="rId13" Type="http://schemas.openxmlformats.org/officeDocument/2006/relationships/image" Target="media/5fa4077b8c7a1df1ed47b770a0c77600e6d74d88.png"/><Relationship Id="rId14" Type="http://schemas.openxmlformats.org/officeDocument/2006/relationships/image" Target="media/5b51dc28163b41bffd15976c8776f8c880af1f0c.png"/><Relationship Id="rId15" Type="http://schemas.openxmlformats.org/officeDocument/2006/relationships/image" Target="media/9140b19d748203bdf58610028b2af98924d016f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2026-05-03T21:24:24.595Z</dcterms:created>
  <dcterms:modified xsi:type="dcterms:W3CDTF">2026-05-03T21:24:24.596Z</dcterms:modified>
</cp:coreProperties>
</file>

<file path=docProps/custom.xml><?xml version="1.0" encoding="utf-8"?>
<Properties xmlns="http://schemas.openxmlformats.org/officeDocument/2006/custom-properties" xmlns:vt="http://schemas.openxmlformats.org/officeDocument/2006/docPropsVTypes"/>
</file>