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 to first correct myself. I was wrong to say that covariance does not tell you the direction of the relationship. It does. A negative sign implies a negative relationship (like -ve correlation).</w:t>
        <w:br w:type="textWrapping"/>
        <w:br w:type="textWrapping"/>
        <w:t xml:space="preserve">The primary reason for using correlation(which is derived from the covariance) instead of covariance itself is because correlation is bounded between -1 and 1 and hence is more interpretable.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terms of an 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use case in the session was a good exhibition of this in practice. When plotting the covariance on the heat map provided us with numbers - as was called by one of you in the session “weird?”.</w:t>
        <w:br w:type="textWrapping"/>
        <w:br w:type="textWrapping"/>
        <w:t xml:space="preserve">The same relationship visualized and interpreted as correlation was more intuitive and understandable.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not to say that covariance is not useful. In fact we need to calculate the covariance in order to calculate correlation. </w:t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