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60"/>
      </w:pPr>
      <w:r>
        <w:rPr>
          <w:b/>
          <w:sz w:val="32"/>
        </w:rPr>
        <w:t xml:space="preserve">Evidence of Property Insurance for the Mortgagee</w:t>
      </w:r>
    </w:p>
    <w:p>
      <w:pPr>
        <w:spacing w:after="120"/>
      </w:pPr>
      <w:r>
        <w:rPr>
          <w:color w:val="555555"/>
          <w:sz w:val="18"/>
        </w:rPr>
        <w:t xml:space="preserve">Illustrative LatticePolicy template. Replace the wording with your approved, filed text before use.</w:t>
      </w:r>
    </w:p>
    <w:tbl>
      <w:tblPr>
        <w:tblW w:w="9400" w:type="dxa"/>
        <w:tblBorders>
          <w:top w:val="single" w:sz="4" w:color="BFC8D6"/>
          <w:bottom w:val="single" w:sz="4" w:color="BFC8D6"/>
          <w:insideH w:val="single" w:sz="4" w:color="BFC8D6"/>
        </w:tblBorders>
      </w:tblPr>
      <w:tblGrid>
        <w:gridCol w:w="3200"/>
        <w:gridCol w:w="6200"/>
      </w:tblGrid>
      <w:tr>
        <w:tc>
          <w:tcPr>
            <w:tcW w:w="3200" w:type="dxa"/>
            <w:shd w:val="clear" w:fill="E8EEF7"/>
          </w:tcPr>
          <w:p>
            <w:pPr>
              <w:spacing w:after="40"/>
            </w:pPr>
            <w:r>
              <w:rPr>
                <w:b/>
              </w:rPr>
              <w:t xml:space="preserve">Item</w:t>
            </w:r>
          </w:p>
        </w:tc>
        <w:tc>
          <w:tcPr>
            <w:tcW w:w="6200" w:type="dxa"/>
            <w:shd w:val="clear" w:fill="E8EEF7"/>
          </w:tcPr>
          <w:p>
            <w:pPr>
              <w:spacing w:after="40"/>
            </w:pPr>
            <w:r>
              <w:rPr>
                <w:b/>
              </w:rPr>
              <w:t xml:space="preserve">Details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Mortgagee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{{mortgageeName}}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Mortgagee address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{{mortgageeAddress}}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Loan number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{{mortgageeLoanNumber}}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Borrower (named insured)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{{insuredName}}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Property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{{premisesAddress}}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Insurer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{{underwritingCompany}}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Policy number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{{policyNumber}}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Policy period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{{effectiveDate}} to {{expirationDate}}</w:t>
            </w:r>
          </w:p>
        </w:tc>
      </w:tr>
    </w:tbl>
    <w:p>
      <w:pPr>
        <w:spacing w:after="60"/>
      </w:pPr>
    </w:p>
    <w:tbl>
      <w:tblPr>
        <w:tblW w:w="9400" w:type="dxa"/>
        <w:tblBorders>
          <w:top w:val="single" w:sz="4" w:color="BFC8D6"/>
          <w:bottom w:val="single" w:sz="4" w:color="BFC8D6"/>
          <w:insideH w:val="single" w:sz="4" w:color="BFC8D6"/>
        </w:tblBorders>
      </w:tblPr>
      <w:tblGrid>
        <w:gridCol w:w="3200"/>
        <w:gridCol w:w="6200"/>
      </w:tblGrid>
      <w:tr>
        <w:tc>
          <w:tcPr>
            <w:tcW w:w="3200" w:type="dxa"/>
            <w:shd w:val="clear" w:fill="E8EEF7"/>
          </w:tcPr>
          <w:p>
            <w:pPr>
              <w:spacing w:after="40"/>
            </w:pPr>
            <w:r>
              <w:rPr>
                <w:b/>
              </w:rPr>
              <w:t xml:space="preserve">Item</w:t>
            </w:r>
          </w:p>
        </w:tc>
        <w:tc>
          <w:tcPr>
            <w:tcW w:w="6200" w:type="dxa"/>
            <w:shd w:val="clear" w:fill="E8EEF7"/>
          </w:tcPr>
          <w:p>
            <w:pPr>
              <w:spacing w:after="40"/>
            </w:pPr>
            <w:r>
              <w:rPr>
                <w:b/>
              </w:rPr>
              <w:t xml:space="preserve">Details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Dwelling (Coverage A)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{{coverageALimit}}, settled at replacement cost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All peril deductible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{{allPerilDeductible}}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Windstorm or hail deductible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{{windHailDeductible}}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Endorsements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{{endorsementsList}}</w:t>
            </w:r>
          </w:p>
        </w:tc>
      </w:tr>
    </w:tbl>
    <w:p>
      <w:pPr>
        <w:spacing w:after="60"/>
      </w:pPr>
    </w:p>
    <w:p>
      <w:pPr>
        <w:spacing w:after="120"/>
      </w:pPr>
      <w:r>
        <w:rPr/>
        <w:t xml:space="preserve">The mortgagee named above is included in the policy as its interest may appear and will be notified as the policy provides if it is cancelled or not renewed.</w:t>
      </w:r>
    </w:p>
    <w:sectPr>
      <w:pgSz w:w="12240" w:h="15840"/>
      <w:pgMar w:top="1080" w:right="1080" w:bottom="1080" w:left="1080" w:header="720" w:footer="720" w:gutter="0"/>
    </w:sectPr>
  </w:body>
</w:document>
</file>