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b41611d5bd86b077348568eeecbbbd8da8af79a"/>
      <w:r>
        <w:t xml:space="preserve">Krytyka Kantowskiej koncepcji czasu i przestrzeni obecnej w estetyce transcendentalnej</w:t>
      </w:r>
      <w:bookmarkEnd w:id="20"/>
    </w:p>
    <w:p>
      <w:pPr>
        <w:pStyle w:val="Heading3"/>
      </w:pPr>
      <w:bookmarkStart w:id="21" w:name="miłosz-dudek"/>
      <w:r>
        <w:t xml:space="preserve">Miłosz Dudek</w:t>
      </w:r>
      <w:bookmarkEnd w:id="21"/>
    </w:p>
    <w:p>
      <w:pPr>
        <w:pStyle w:val="Heading2"/>
      </w:pPr>
      <w:bookmarkStart w:id="22" w:name="wstęp"/>
      <w:r>
        <w:t xml:space="preserve">Wstęp</w:t>
      </w:r>
      <w:bookmarkEnd w:id="22"/>
    </w:p>
    <w:p>
      <w:pPr>
        <w:pStyle w:val="Heading2"/>
      </w:pPr>
      <w:bookmarkStart w:id="23" w:name="krytyczny-zwrot-immanuela-kanta"/>
      <w:r>
        <w:t xml:space="preserve">Krytyczny zwrot Immanuela Kanta</w:t>
      </w:r>
      <w:bookmarkEnd w:id="23"/>
    </w:p>
    <w:p>
      <w:pPr>
        <w:pStyle w:val="FirstParagraph"/>
      </w:pPr>
      <w:r>
        <w:t xml:space="preserve">Immanuel Kant był bez wątpienia jednym z najważniejszych filozofów nowożytnych.</w:t>
      </w:r>
      <w:r>
        <w:t xml:space="preserve"> </w:t>
      </w:r>
      <w:r>
        <w:t xml:space="preserve">Do historii przeszły przede wszystkim jego wysiłki naukowe, których celem miało</w:t>
      </w:r>
      <w:r>
        <w:t xml:space="preserve"> </w:t>
      </w:r>
      <w:r>
        <w:t xml:space="preserve">być stworzenie koncepcji krytycznej, która zajmowała postawę minimalistyczną.</w:t>
      </w:r>
      <w:r>
        <w:t xml:space="preserve"> </w:t>
      </w:r>
      <w:r>
        <w:t xml:space="preserve">Miała ona dokonać rewizji metodologii filozoficznej jasno i ostatecznie</w:t>
      </w:r>
      <w:r>
        <w:t xml:space="preserve"> </w:t>
      </w:r>
      <w:r>
        <w:t xml:space="preserve">określając jej granice tak, aby filozofia stała się rzeczywiście naukowa. Kant</w:t>
      </w:r>
      <w:r>
        <w:t xml:space="preserve"> </w:t>
      </w:r>
      <w:r>
        <w:t xml:space="preserve">pisze tu o samej</w:t>
      </w:r>
      <w:r>
        <w:t xml:space="preserve"> </w:t>
      </w:r>
      <w:r>
        <w:t xml:space="preserve">“</w:t>
      </w:r>
      <w:r>
        <w:t xml:space="preserve">metodzie (…), która wykreśla cały zakres nauki</w:t>
      </w:r>
      <w:r>
        <w:t xml:space="preserve">”</w:t>
      </w:r>
      <w:r>
        <w:t xml:space="preserve"> </w:t>
      </w:r>
      <w:r>
        <w:t xml:space="preserve">(Kant, 2010,</w:t>
      </w:r>
      <w:r>
        <w:t xml:space="preserve"> </w:t>
      </w:r>
      <w:r>
        <w:t xml:space="preserve">B XXII), aby nie było w niej miejsca na snucie hipotez, których nie da się</w:t>
      </w:r>
      <w:r>
        <w:t xml:space="preserve"> </w:t>
      </w:r>
      <w:r>
        <w:t xml:space="preserve">w żaden sposób udowodnić, które nie są uprawnione na gruncie ludzkiego poznania.</w:t>
      </w:r>
      <w:r>
        <w:t xml:space="preserve"> </w:t>
      </w:r>
      <w:r>
        <w:t xml:space="preserve">Do tego ostatniego sam Kant we wczesnych pracach wykazywał pewne skłonności, na</w:t>
      </w:r>
      <w:r>
        <w:t xml:space="preserve"> </w:t>
      </w:r>
      <w:r>
        <w:t xml:space="preserve">przykład w</w:t>
      </w:r>
      <w:r>
        <w:t xml:space="preserve"> </w:t>
      </w:r>
      <w:r>
        <w:t xml:space="preserve">“</w:t>
      </w:r>
      <w:r>
        <w:t xml:space="preserve">Powszechnej historii naturalnej i teorii nieba</w:t>
      </w:r>
      <w:r>
        <w:t xml:space="preserve">”</w:t>
      </w:r>
      <w:r>
        <w:t xml:space="preserve">, gdzie prowadzi</w:t>
      </w:r>
      <w:r>
        <w:t xml:space="preserve"> </w:t>
      </w:r>
      <w:r>
        <w:t xml:space="preserve">niczym niepoparte rozważania na temat powstawania galaktyk (Russel, 2012, s.</w:t>
      </w:r>
      <w:r>
        <w:t xml:space="preserve"> </w:t>
      </w:r>
      <w:r>
        <w:t xml:space="preserve">803).</w:t>
      </w:r>
    </w:p>
    <w:p>
      <w:pPr>
        <w:pStyle w:val="BodyText"/>
      </w:pPr>
      <w:r>
        <w:t xml:space="preserve">Zerwanie z klasyczną metodą uprawiania metafizyki, którą Kant znał ze studiów</w:t>
      </w:r>
      <w:r>
        <w:t xml:space="preserve"> </w:t>
      </w:r>
      <w:r>
        <w:t xml:space="preserve">poświęconych myśli przede wszystkim Leibniza, odbyło się poprzez całkowite</w:t>
      </w:r>
      <w:r>
        <w:t xml:space="preserve"> </w:t>
      </w:r>
      <w:r>
        <w:t xml:space="preserve">odwrócenie trybu myślenia o rzeczywistości. Sam filozof z Królewca porównywał</w:t>
      </w:r>
      <w:r>
        <w:t xml:space="preserve"> </w:t>
      </w:r>
      <w:r>
        <w:t xml:space="preserve">swój pomysł do przewrotu, jakiego Kopernik dokonał w astronomii – polegał on na</w:t>
      </w:r>
      <w:r>
        <w:t xml:space="preserve"> </w:t>
      </w:r>
      <w:r>
        <w:t xml:space="preserve">tym, że</w:t>
      </w:r>
      <w:r>
        <w:t xml:space="preserve"> </w:t>
      </w:r>
      <w:r>
        <w:t xml:space="preserve">“</w:t>
      </w:r>
      <w:r>
        <w:t xml:space="preserve">nie myśl kształtuje się zależnie od przedmiotów, lecz, odwrotnie,</w:t>
      </w:r>
      <w:r>
        <w:t xml:space="preserve"> </w:t>
      </w:r>
      <w:r>
        <w:t xml:space="preserve">przedmioty są zależne od myśli</w:t>
      </w:r>
      <w:r>
        <w:t xml:space="preserve">”</w:t>
      </w:r>
      <w:r>
        <w:t xml:space="preserve"> </w:t>
      </w:r>
      <w:r>
        <w:t xml:space="preserve">(Tatarkiewicz, 1970, s. 160).</w:t>
      </w:r>
    </w:p>
    <w:p>
      <w:pPr>
        <w:pStyle w:val="BodyText"/>
      </w:pPr>
      <w:r>
        <w:t xml:space="preserve">Swoją teorię Kant w pełni wyłożył w Krytyce Czystego Rozumu. Kluczowe jest</w:t>
      </w:r>
      <w:r>
        <w:t xml:space="preserve"> </w:t>
      </w:r>
      <w:r>
        <w:t xml:space="preserve">wprowadzone przez niego rozróżnienie na zjawisko (fenomen), oraz rzecz samą</w:t>
      </w:r>
      <w:r>
        <w:t xml:space="preserve"> </w:t>
      </w:r>
      <w:r>
        <w:t xml:space="preserve">w sobie (noumen), jako dwa składniki rzeczywistości. Ludzkie poznanie odnosi się</w:t>
      </w:r>
      <w:r>
        <w:t xml:space="preserve"> </w:t>
      </w:r>
      <w:r>
        <w:t xml:space="preserve">“</w:t>
      </w:r>
      <w:r>
        <w:t xml:space="preserve">(…) jedynie do zjawisk, natomiast rzecz sama w sobie jest dla siebie wprawdzie</w:t>
      </w:r>
      <w:r>
        <w:t xml:space="preserve"> </w:t>
      </w:r>
      <w:r>
        <w:t xml:space="preserve">rzeczywista, ale dla nas niepoznawalna</w:t>
      </w:r>
      <w:r>
        <w:t xml:space="preserve">”</w:t>
      </w:r>
      <w:r>
        <w:t xml:space="preserve"> </w:t>
      </w:r>
      <w:r>
        <w:t xml:space="preserve">(Kant, 2010, B XX). Mimo to, możemy być</w:t>
      </w:r>
      <w:r>
        <w:t xml:space="preserve"> </w:t>
      </w:r>
      <w:r>
        <w:t xml:space="preserve">przekonani o istnieniu rzeczy samych w sobie, ponieważ przedmiot pobudza nas do</w:t>
      </w:r>
      <w:r>
        <w:t xml:space="preserve"> </w:t>
      </w:r>
      <w:r>
        <w:t xml:space="preserve">postrzegania – to świat zewnętrzny jest przyczyną wrażeń, jednak to, jak te</w:t>
      </w:r>
      <w:r>
        <w:t xml:space="preserve"> </w:t>
      </w:r>
      <w:r>
        <w:t xml:space="preserve">wrażenia są przez nas odbierane, jest zależne już od naszego umysłu, od jego</w:t>
      </w:r>
      <w:r>
        <w:t xml:space="preserve"> </w:t>
      </w:r>
      <w:r>
        <w:t xml:space="preserve">form, które narzucamy na dane, które docierają od nas (Russell, 2012, s. 805).</w:t>
      </w:r>
      <w:r>
        <w:t xml:space="preserve"> </w:t>
      </w:r>
      <w:r>
        <w:t xml:space="preserve">W pewien sposób to rzeczy same w sobie wywołują nasze wrażenia.</w:t>
      </w:r>
      <w:r>
        <w:t xml:space="preserve"> </w:t>
      </w:r>
      <w:r>
        <w:t xml:space="preserve">“</w:t>
      </w:r>
      <w:r>
        <w:t xml:space="preserve">Rzeczy, które</w:t>
      </w:r>
      <w:r>
        <w:t xml:space="preserve"> </w:t>
      </w:r>
      <w:r>
        <w:t xml:space="preserve">postrzegamy, nie są same w sobie tym, czym je postrzegamy, ani też ich relacje</w:t>
      </w:r>
      <w:r>
        <w:t xml:space="preserve"> </w:t>
      </w:r>
      <w:r>
        <w:t xml:space="preserve">nie są tak ukonstytuowane same w sobie, jak nam się wydają</w:t>
      </w:r>
      <w:r>
        <w:t xml:space="preserve">”</w:t>
      </w:r>
      <w:r>
        <w:t xml:space="preserve"> </w:t>
      </w:r>
      <w:r>
        <w:t xml:space="preserve">(Rohlf, 2020, tłum.</w:t>
      </w:r>
      <w:r>
        <w:t xml:space="preserve"> </w:t>
      </w:r>
      <w:r>
        <w:t xml:space="preserve">własne).</w:t>
      </w:r>
    </w:p>
    <w:p>
      <w:pPr>
        <w:pStyle w:val="BodyText"/>
      </w:pPr>
      <w:r>
        <w:t xml:space="preserve">Wychodząc od tych tez Kant rozpoczyna budowanie estetyki transcendentalnej. Ma</w:t>
      </w:r>
      <w:r>
        <w:t xml:space="preserve"> </w:t>
      </w:r>
      <w:r>
        <w:t xml:space="preserve">ona opisywać wszelkie zasady a priori zmysłowości. Przez oddzielenie od</w:t>
      </w:r>
      <w:r>
        <w:t xml:space="preserve"> </w:t>
      </w:r>
      <w:r>
        <w:t xml:space="preserve">dostępnych podmiotowi przedstawień wszystkiego, co jest wyciągnięte</w:t>
      </w:r>
      <w:r>
        <w:t xml:space="preserve"> </w:t>
      </w:r>
      <w:r>
        <w:t xml:space="preserve">z doświadczenia, co jest pewnym wrażeniem, oraz co dodaje intelekt w swoich</w:t>
      </w:r>
      <w:r>
        <w:t xml:space="preserve"> </w:t>
      </w:r>
      <w:r>
        <w:t xml:space="preserve">pojęciach, podmiot ma uzyskać czystą naoczność i nagą formę zjawisk. Kant</w:t>
      </w:r>
      <w:r>
        <w:t xml:space="preserve"> </w:t>
      </w:r>
      <w:r>
        <w:t xml:space="preserve">otrzymuje dwie formy zmysłowej naoczności: przestrzeń i czas.</w:t>
      </w:r>
    </w:p>
    <w:p>
      <w:pPr>
        <w:pStyle w:val="Heading2"/>
      </w:pPr>
      <w:bookmarkStart w:id="24" w:name="przestrzeń"/>
      <w:r>
        <w:t xml:space="preserve">Przestrzeń</w:t>
      </w:r>
      <w:bookmarkEnd w:id="24"/>
    </w:p>
    <w:p>
      <w:pPr>
        <w:pStyle w:val="Heading3"/>
      </w:pPr>
      <w:bookmarkStart w:id="25" w:name="krytyka-czystego-rozumu"/>
      <w:r>
        <w:t xml:space="preserve">Krytyka czystego rozumu</w:t>
      </w:r>
      <w:bookmarkEnd w:id="25"/>
    </w:p>
    <w:p>
      <w:pPr>
        <w:pStyle w:val="FirstParagraph"/>
      </w:pPr>
      <w:r>
        <w:t xml:space="preserve">Przestrzeń charakteryzowana jest w</w:t>
      </w:r>
      <w:r>
        <w:t xml:space="preserve"> </w:t>
      </w:r>
      <w:r>
        <w:rPr>
          <w:i/>
        </w:rPr>
        <w:t xml:space="preserve">Krytyce Czystego Rozumu</w:t>
      </w:r>
      <w:r>
        <w:t xml:space="preserve"> </w:t>
      </w:r>
      <w:r>
        <w:t xml:space="preserve">za pomocą czterech</w:t>
      </w:r>
      <w:r>
        <w:t xml:space="preserve"> </w:t>
      </w:r>
      <w:r>
        <w:t xml:space="preserve">stwierdzeń. (1) Nie jest ona dla Kanta pojęciem empirycznym, nie została</w:t>
      </w:r>
      <w:r>
        <w:t xml:space="preserve"> </w:t>
      </w:r>
      <w:r>
        <w:t xml:space="preserve">wyprowadzona z doświadczenia ani z niego abstrahowana, jak chciałby Hume.</w:t>
      </w:r>
      <w:r>
        <w:t xml:space="preserve"> </w:t>
      </w:r>
      <w:r>
        <w:t xml:space="preserve">Ponadto (2) jest</w:t>
      </w:r>
      <w:r>
        <w:t xml:space="preserve"> </w:t>
      </w:r>
      <w:r>
        <w:t xml:space="preserve">“</w:t>
      </w:r>
      <w:r>
        <w:t xml:space="preserve">koniecznym wyobrażeniem a priori leżącym u podłoża wszelkich</w:t>
      </w:r>
      <w:r>
        <w:t xml:space="preserve"> </w:t>
      </w:r>
      <w:r>
        <w:t xml:space="preserve">zewnętrznych danych naocznych</w:t>
      </w:r>
      <w:r>
        <w:t xml:space="preserve">”</w:t>
      </w:r>
      <w:r>
        <w:t xml:space="preserve">, a więc nie jest niezależna od podmiotu</w:t>
      </w:r>
      <w:r>
        <w:t xml:space="preserve"> </w:t>
      </w:r>
      <w:r>
        <w:t xml:space="preserve">poznającego, oraz jest dopiero warunkiem możliwości wystąpienia w jego percepcji</w:t>
      </w:r>
      <w:r>
        <w:t xml:space="preserve"> </w:t>
      </w:r>
      <w:r>
        <w:t xml:space="preserve">wszelkich zjawisk. Co więcej ma ona (3) nie być ogólnym pojęciem stosunków</w:t>
      </w:r>
      <w:r>
        <w:t xml:space="preserve"> </w:t>
      </w:r>
      <w:r>
        <w:t xml:space="preserve">między rzeczami, lecz czystą naocznością, co jest wyrazem sprzeciwu Kanta wobec</w:t>
      </w:r>
      <w:r>
        <w:t xml:space="preserve"> </w:t>
      </w:r>
      <w:r>
        <w:t xml:space="preserve">relacyjnej koncepcji przestrzeni, którą zaprezentował Leibniz między innymi</w:t>
      </w:r>
      <w:r>
        <w:t xml:space="preserve"> </w:t>
      </w:r>
      <w:r>
        <w:t xml:space="preserve">w swojej polemice z Clarkiem. Przestrzeń należy również (4)</w:t>
      </w:r>
      <w:r>
        <w:t xml:space="preserve"> </w:t>
      </w:r>
      <w:r>
        <w:t xml:space="preserve">“</w:t>
      </w:r>
      <w:r>
        <w:t xml:space="preserve">(…) wyobrażać sobie</w:t>
      </w:r>
      <w:r>
        <w:t xml:space="preserve"> </w:t>
      </w:r>
      <w:r>
        <w:t xml:space="preserve">jako nieskończoną daną nam wielkość</w:t>
      </w:r>
      <w:r>
        <w:t xml:space="preserve">”</w:t>
      </w:r>
      <w:r>
        <w:t xml:space="preserve"> </w:t>
      </w:r>
      <w:r>
        <w:t xml:space="preserve">(Kant, 2010, B 38 – B 40).</w:t>
      </w:r>
    </w:p>
    <w:p>
      <w:pPr>
        <w:pStyle w:val="BodyText"/>
      </w:pPr>
      <w:r>
        <w:t xml:space="preserve">Z tych tez wynika, że przestrzeń jest realna jedynie dla podmiotu w odniesieniu</w:t>
      </w:r>
      <w:r>
        <w:t xml:space="preserve"> </w:t>
      </w:r>
      <w:r>
        <w:t xml:space="preserve">do tego, co może się mu jawić z zewnątrz jako przedmiot. Przestrzeń nie jest</w:t>
      </w:r>
      <w:r>
        <w:t xml:space="preserve"> </w:t>
      </w:r>
      <w:r>
        <w:t xml:space="preserve">realna w odniesieniu do rzeczy samych w sobie (Kant, 2010, B 44).</w:t>
      </w:r>
    </w:p>
    <w:p>
      <w:pPr>
        <w:pStyle w:val="BodyText"/>
      </w:pPr>
      <w:r>
        <w:t xml:space="preserve">Z tezy drugiej wywnioskować można ponadto, że skoro przestrzeń jest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wyobrażeniem a priori, które leży koniecznie u podłoża zjawisk zewnętrznych</w:t>
      </w:r>
      <w:r>
        <w:t xml:space="preserve">”</w:t>
      </w:r>
      <w:r>
        <w:t xml:space="preserve">, to</w:t>
      </w:r>
      <w:r>
        <w:t xml:space="preserve"> </w:t>
      </w:r>
      <w:r>
        <w:t xml:space="preserve">będzie ona określała formę wszystkich wrażeń dochodzących do podmiotu. Ma to</w:t>
      </w:r>
      <w:r>
        <w:t xml:space="preserve"> </w:t>
      </w:r>
      <w:r>
        <w:t xml:space="preserve">bardzo mocne ontologicznie konsekwencje: geometria, która również zdaniem Kanta</w:t>
      </w:r>
      <w:r>
        <w:t xml:space="preserve"> </w:t>
      </w:r>
      <w:r>
        <w:t xml:space="preserve">jest dana a priori, ma wynikać wprost z formy naoczności, jaką jest przestrzeń.</w:t>
      </w:r>
      <w:r>
        <w:t xml:space="preserve"> </w:t>
      </w:r>
      <w:r>
        <w:t xml:space="preserve">Powinna ona opisywać niezawodnie wszystkie zjawiska, których doświadczamy jako</w:t>
      </w:r>
      <w:r>
        <w:t xml:space="preserve"> </w:t>
      </w:r>
      <w:r>
        <w:t xml:space="preserve">pochodzące z zewnątrz.</w:t>
      </w:r>
    </w:p>
    <w:p>
      <w:pPr>
        <w:pStyle w:val="BodyText"/>
      </w:pPr>
      <w:r>
        <w:t xml:space="preserve">Zdaje się, że to stwierdzenie daje szerokie możliwości atakowania koncepcji</w:t>
      </w:r>
      <w:r>
        <w:t xml:space="preserve"> </w:t>
      </w:r>
      <w:r>
        <w:t xml:space="preserve">Kanta. Geometria, którą autor</w:t>
      </w:r>
      <w:r>
        <w:t xml:space="preserve"> </w:t>
      </w:r>
      <w:r>
        <w:rPr>
          <w:i/>
        </w:rPr>
        <w:t xml:space="preserve">Krytyki czystego rozumu</w:t>
      </w:r>
      <w:r>
        <w:t xml:space="preserve"> </w:t>
      </w:r>
      <w:r>
        <w:t xml:space="preserve">uznaje za obowiązującą</w:t>
      </w:r>
      <w:r>
        <w:t xml:space="preserve"> </w:t>
      </w:r>
      <w:r>
        <w:t xml:space="preserve">i konstytuującą wszelkie zjawiska, jest geometria euklidesowa (Janiak, 2022).</w:t>
      </w:r>
      <w:r>
        <w:t xml:space="preserve"> </w:t>
      </w:r>
      <w:r>
        <w:t xml:space="preserve">Mogłoby się wydawać, że odkrycie geometrii nieeuklidesowych niemal w tym samym</w:t>
      </w:r>
      <w:r>
        <w:t xml:space="preserve"> </w:t>
      </w:r>
      <w:r>
        <w:t xml:space="preserve">czasie przez Gaussa, Schweikarta, Bolyaia i Łobaczewskiego jest czymś, po czym</w:t>
      </w:r>
      <w:r>
        <w:t xml:space="preserve"> </w:t>
      </w:r>
      <w:r>
        <w:t xml:space="preserve">koncepcja Kanta nie może być uznana za słuszną. Przykładowo w koncepcji</w:t>
      </w:r>
      <w:r>
        <w:t xml:space="preserve"> </w:t>
      </w:r>
      <w:r>
        <w:t xml:space="preserve">Łobaczewskiego przez punkt położony poza daną prostą można poprowadzić</w:t>
      </w:r>
      <w:r>
        <w:t xml:space="preserve"> </w:t>
      </w:r>
      <w:r>
        <w:t xml:space="preserve">nieskończoną liczbę prostych nieprzecinających ją, suma kątów w trójkącie jest</w:t>
      </w:r>
      <w:r>
        <w:t xml:space="preserve"> </w:t>
      </w:r>
      <w:r>
        <w:t xml:space="preserve">mniejsza niż 180 stopni a stosunek okręgu do jego średnicy jest większy niż 2 pi</w:t>
      </w:r>
      <w:r>
        <w:t xml:space="preserve"> </w:t>
      </w:r>
      <w:r>
        <w:t xml:space="preserve">(Sklar, 1974, s. 18-19). Wszystkie te twierdzenia są sprzeczne z aksjomatami</w:t>
      </w:r>
      <w:r>
        <w:t xml:space="preserve"> </w:t>
      </w:r>
      <w:r>
        <w:t xml:space="preserve">geometrii euklidesowej, Kant uznałby je więc za apriorycznie nieprawdziwe.</w:t>
      </w:r>
    </w:p>
    <w:p>
      <w:pPr>
        <w:pStyle w:val="BodyText"/>
      </w:pPr>
      <w:r>
        <w:t xml:space="preserve">Jednak, wbrew pozorom, samo powstanie geometrii nieeuklidesowych nie stanowi</w:t>
      </w:r>
      <w:r>
        <w:t xml:space="preserve"> </w:t>
      </w:r>
      <w:r>
        <w:t xml:space="preserve">zarzutu nie do odparcia w ramach koncepcji Kanta. Sam niemiecki filozof nie</w:t>
      </w:r>
      <w:r>
        <w:t xml:space="preserve"> </w:t>
      </w:r>
      <w:r>
        <w:t xml:space="preserve">uznawał przecież tej dziedziny matematyki za naukę o charakterze analitycznym –</w:t>
      </w:r>
      <w:r>
        <w:t xml:space="preserve"> </w:t>
      </w:r>
      <w:r>
        <w:t xml:space="preserve">przeciwnie, postulował, by jej stwierdzenia pozostały syntetyczne. Można uznać</w:t>
      </w:r>
      <w:r>
        <w:t xml:space="preserve"> </w:t>
      </w:r>
      <w:r>
        <w:t xml:space="preserve">za Maudlinem (2005, s. 157), że dzięki temu można w duchu</w:t>
      </w:r>
      <w:r>
        <w:t xml:space="preserve"> </w:t>
      </w:r>
      <w:r>
        <w:rPr>
          <w:i/>
        </w:rPr>
        <w:t xml:space="preserve">Krytyki czystego</w:t>
      </w:r>
      <w:r>
        <w:rPr>
          <w:i/>
        </w:rPr>
        <w:t xml:space="preserve"> </w:t>
      </w:r>
      <w:r>
        <w:rPr>
          <w:i/>
        </w:rPr>
        <w:t xml:space="preserve">rozumu</w:t>
      </w:r>
      <w:r>
        <w:t xml:space="preserve"> </w:t>
      </w:r>
      <w:r>
        <w:t xml:space="preserve">przewidzieć powstanie czysto formalnej nauki w ramach matematyki,</w:t>
      </w:r>
      <w:r>
        <w:t xml:space="preserve"> </w:t>
      </w:r>
      <w:r>
        <w:t xml:space="preserve">“</w:t>
      </w:r>
      <w:r>
        <w:t xml:space="preserve">(…)</w:t>
      </w:r>
      <w:r>
        <w:t xml:space="preserve"> </w:t>
      </w:r>
      <w:r>
        <w:t xml:space="preserve">której wytworem byłby zbiór aksjomatów które byłyby różne od tych proponowanych</w:t>
      </w:r>
      <w:r>
        <w:t xml:space="preserve"> </w:t>
      </w:r>
      <w:r>
        <w:t xml:space="preserve">przez Euklidesa, jednak nadal nie popadłaby ona w sprzeczność</w:t>
      </w:r>
      <w:r>
        <w:t xml:space="preserve">”</w:t>
      </w:r>
      <w:r>
        <w:t xml:space="preserve">. Oczywiście do</w:t>
      </w:r>
      <w:r>
        <w:t xml:space="preserve"> </w:t>
      </w:r>
      <w:r>
        <w:t xml:space="preserve">momentu, gdy nie zaczniemy twierdzić, że ta geometria jest nie tylko wnioskiem</w:t>
      </w:r>
      <w:r>
        <w:t xml:space="preserve"> </w:t>
      </w:r>
      <w:r>
        <w:t xml:space="preserve">z pewnych aksjomatów, nie ma charakteru czysto formalnego, ale także możemy ją</w:t>
      </w:r>
      <w:r>
        <w:t xml:space="preserve"> </w:t>
      </w:r>
      <w:r>
        <w:t xml:space="preserve">sobie wyobrazić.</w:t>
      </w:r>
    </w:p>
    <w:p>
      <w:pPr>
        <w:pStyle w:val="BodyText"/>
      </w:pPr>
      <w:r>
        <w:t xml:space="preserve">Okazuje się jednak, że dysponujemy argumentem znacznie silniejszym, niż tylko</w:t>
      </w:r>
      <w:r>
        <w:t xml:space="preserve"> </w:t>
      </w:r>
      <w:r>
        <w:t xml:space="preserve">wyobrażenie. Tym jednak, co zdaniem Maudlina pogrąża ostatecznie kantowską</w:t>
      </w:r>
      <w:r>
        <w:t xml:space="preserve"> </w:t>
      </w:r>
      <w:r>
        <w:t xml:space="preserve">teorię, jest włączanie geometrii nieeuklidesowych do teorii naukowych, które</w:t>
      </w:r>
      <w:r>
        <w:t xml:space="preserve"> </w:t>
      </w:r>
      <w:r>
        <w:t xml:space="preserve">opisują świat, a zwłaszcza przestrzeń. Jest to ta sama przestrzeń, która miała</w:t>
      </w:r>
      <w:r>
        <w:t xml:space="preserve"> </w:t>
      </w:r>
      <w:r>
        <w:t xml:space="preserve">być, wedle Kanta, formą naszego umysłu. Żadne zjawisko, które się w niej</w:t>
      </w:r>
      <w:r>
        <w:t xml:space="preserve"> </w:t>
      </w:r>
      <w:r>
        <w:t xml:space="preserve">pojawiało, nie mogło zaprzeczać postulatom Euklidesa. Wedle fizyki istnieją</w:t>
      </w:r>
      <w:r>
        <w:t xml:space="preserve"> </w:t>
      </w:r>
      <w:r>
        <w:t xml:space="preserve">natomiast zjawiska, które jawią się nam jako dane w zmysłach, do których opisu</w:t>
      </w:r>
      <w:r>
        <w:t xml:space="preserve"> </w:t>
      </w:r>
      <w:r>
        <w:t xml:space="preserve">nie możemy stosować geometrii euklidesowej nie wikłając się w dostarczane</w:t>
      </w:r>
      <w:r>
        <w:t xml:space="preserve"> </w:t>
      </w:r>
      <w:r>
        <w:t xml:space="preserve">“</w:t>
      </w:r>
      <w:r>
        <w:t xml:space="preserve">ad</w:t>
      </w:r>
      <w:r>
        <w:t xml:space="preserve"> </w:t>
      </w:r>
      <w:r>
        <w:t xml:space="preserve">hoc</w:t>
      </w:r>
      <w:r>
        <w:t xml:space="preserve">”</w:t>
      </w:r>
      <w:r>
        <w:t xml:space="preserve"> </w:t>
      </w:r>
      <w:r>
        <w:t xml:space="preserve">dodatkowe siły. Najsłynniejszym z takich przykładów jest obserwacja</w:t>
      </w:r>
      <w:r>
        <w:t xml:space="preserve"> </w:t>
      </w:r>
      <w:r>
        <w:t xml:space="preserve">dokonana w 1915 roku, która potwierdziła przewidywania wyprowadzone z ogólnej</w:t>
      </w:r>
      <w:r>
        <w:t xml:space="preserve"> </w:t>
      </w:r>
      <w:r>
        <w:t xml:space="preserve">teorii względności Einsteina. Okazało się, że pewne obserwacje dają się opisać</w:t>
      </w:r>
      <w:r>
        <w:t xml:space="preserve"> </w:t>
      </w:r>
      <w:r>
        <w:t xml:space="preserve">przez specyficzne zakrzywienie przestrzeni, które jest spowodowane efektami</w:t>
      </w:r>
      <w:r>
        <w:t xml:space="preserve"> </w:t>
      </w:r>
      <w:r>
        <w:t xml:space="preserve">grawitacyjnymi. Ich opisowi odpowiada model geometrii nieeuklidesowej (Maudlin,</w:t>
      </w:r>
      <w:r>
        <w:t xml:space="preserve"> </w:t>
      </w:r>
      <w:r>
        <w:t xml:space="preserve">2005, s. 157). Dobitnie pokazuje to, że zjawiska w przestrzeni nie dają się</w:t>
      </w:r>
      <w:r>
        <w:t xml:space="preserve"> </w:t>
      </w:r>
      <w:r>
        <w:t xml:space="preserve">opisać za pomocą geometrii euklidesowej, co wykazuje niezgodność koncepcji Kanta</w:t>
      </w:r>
      <w:r>
        <w:t xml:space="preserve"> </w:t>
      </w:r>
      <w:r>
        <w:t xml:space="preserve">z danymi empirycznymi.</w:t>
      </w:r>
    </w:p>
    <w:p>
      <w:pPr>
        <w:pStyle w:val="BodyText"/>
      </w:pPr>
      <w:r>
        <w:t xml:space="preserve">Neokantyści próbowali radzić sobie z powyższym argumentem przez znaczne</w:t>
      </w:r>
      <w:r>
        <w:t xml:space="preserve"> </w:t>
      </w:r>
      <w:r>
        <w:t xml:space="preserve">osłabienie koncepcji Kanta. Jedną ze strategii jest przejście na poziom pewnej</w:t>
      </w:r>
      <w:r>
        <w:t xml:space="preserve"> </w:t>
      </w:r>
      <w:r>
        <w:t xml:space="preserve">“</w:t>
      </w:r>
      <w:r>
        <w:t xml:space="preserve">przestrzeni wizualnej</w:t>
      </w:r>
      <w:r>
        <w:t xml:space="preserve">”</w:t>
      </w:r>
      <w:r>
        <w:t xml:space="preserve">, jak ją nazywa Hatfield, czy</w:t>
      </w:r>
      <w:r>
        <w:t xml:space="preserve"> </w:t>
      </w:r>
      <w:r>
        <w:t xml:space="preserve">“</w:t>
      </w:r>
      <w:r>
        <w:t xml:space="preserve">przestrzeni fenomenalnej</w:t>
      </w:r>
      <w:r>
        <w:t xml:space="preserve">”</w:t>
      </w:r>
      <w:r>
        <w:t xml:space="preserve"> </w:t>
      </w:r>
      <w:r>
        <w:t xml:space="preserve">w nomenklaturze Strawsona (Hatfield, 2006, s. 89). Zgodnie z tym podejściem</w:t>
      </w:r>
      <w:r>
        <w:t xml:space="preserve"> </w:t>
      </w:r>
      <w:r>
        <w:t xml:space="preserve">przestrzeń miałaby być pojęciem stosowanym jedynie do bezpośredniej sfery</w:t>
      </w:r>
      <w:r>
        <w:t xml:space="preserve"> </w:t>
      </w:r>
      <w:r>
        <w:t xml:space="preserve">naszych zjawisk, jest czymś, co nie ma zastosowania dla przestrzeni fizycznej.</w:t>
      </w:r>
      <w:r>
        <w:t xml:space="preserve"> </w:t>
      </w:r>
      <w:r>
        <w:t xml:space="preserve">Odnosząc się do przykładu pomiaru ugięcia się wiązki światła w pobliżu znacznego</w:t>
      </w:r>
      <w:r>
        <w:t xml:space="preserve"> </w:t>
      </w:r>
      <w:r>
        <w:t xml:space="preserve">pola grawitacyjnego, zgodnie z tym podejściem tłumaczyć to zjawisko można tak,</w:t>
      </w:r>
      <w:r>
        <w:t xml:space="preserve"> </w:t>
      </w:r>
      <w:r>
        <w:t xml:space="preserve">że w umyśle podmiotu obserwującego wiązka światła, która w geometrii</w:t>
      </w:r>
      <w:r>
        <w:t xml:space="preserve"> </w:t>
      </w:r>
      <w:r>
        <w:t xml:space="preserve">nieeuklidesowej biegnie po prostej – po najkrótszej drodze między dwoma</w:t>
      </w:r>
      <w:r>
        <w:t xml:space="preserve"> </w:t>
      </w:r>
      <w:r>
        <w:t xml:space="preserve">punktami – jest obserwowana jako zakrzywiona. Oznacza to, że przy teoretycznym</w:t>
      </w:r>
      <w:r>
        <w:t xml:space="preserve"> </w:t>
      </w:r>
      <w:r>
        <w:t xml:space="preserve">opisie jej ruchu nie są spełnione aksjomaty Euklidesa, jednak w bezpośrednim</w:t>
      </w:r>
      <w:r>
        <w:t xml:space="preserve"> </w:t>
      </w:r>
      <w:r>
        <w:t xml:space="preserve">postrzeganiu wiązkę tę widzimy tak, jakby przestrzeń, w której się ona porusza,</w:t>
      </w:r>
      <w:r>
        <w:t xml:space="preserve"> </w:t>
      </w:r>
      <w:r>
        <w:t xml:space="preserve">była przestrzenią euklidesową. Zakłada to wyróżnienie dodatkowej struktury</w:t>
      </w:r>
      <w:r>
        <w:t xml:space="preserve"> </w:t>
      </w:r>
      <w:r>
        <w:t xml:space="preserve">koniecznej do opisu świata – sam Strawson wyróżnia także</w:t>
      </w:r>
      <w:r>
        <w:t xml:space="preserve"> </w:t>
      </w:r>
      <w:r>
        <w:t xml:space="preserve">“</w:t>
      </w:r>
      <w:r>
        <w:t xml:space="preserve">przestrzeń widocznych</w:t>
      </w:r>
      <w:r>
        <w:t xml:space="preserve"> </w:t>
      </w:r>
      <w:r>
        <w:t xml:space="preserve">percepcji</w:t>
      </w:r>
      <w:r>
        <w:t xml:space="preserve">”</w:t>
      </w:r>
      <w:r>
        <w:t xml:space="preserve">, która może być nieeuklidesowa.</w:t>
      </w:r>
    </w:p>
    <w:p>
      <w:pPr>
        <w:pStyle w:val="BodyText"/>
      </w:pPr>
      <w:r>
        <w:t xml:space="preserve">Przyjmując taką próbę obrony tego, co przetrwało z oryginalnej koncepcji Kanta,</w:t>
      </w:r>
      <w:r>
        <w:t xml:space="preserve"> </w:t>
      </w:r>
      <w:r>
        <w:t xml:space="preserve">zgadzamy się na wizję człowieka istniejącego na podobieństwo urojonych istot</w:t>
      </w:r>
      <w:r>
        <w:t xml:space="preserve"> </w:t>
      </w:r>
      <w:r>
        <w:t xml:space="preserve">z eksperymentu myślowego Poincare’go (1908, s. 202). Świat opisywany przez</w:t>
      </w:r>
      <w:r>
        <w:t xml:space="preserve"> </w:t>
      </w:r>
      <w:r>
        <w:t xml:space="preserve">francuskiego filozofa zamknięty jest w kuli wewnątrz której panują specyficzne</w:t>
      </w:r>
      <w:r>
        <w:t xml:space="preserve"> </w:t>
      </w:r>
      <w:r>
        <w:t xml:space="preserve">warunki – temperatura zmniejsza się wraz ze zbliżaniem do krawędzi świata, wraz</w:t>
      </w:r>
      <w:r>
        <w:t xml:space="preserve"> </w:t>
      </w:r>
      <w:r>
        <w:t xml:space="preserve">z nią ciała stają się coraz mniejsze. Pokazuje on, że jeśli hipotetyczni</w:t>
      </w:r>
      <w:r>
        <w:t xml:space="preserve"> </w:t>
      </w:r>
      <w:r>
        <w:t xml:space="preserve">mieszkańcy tej kuli stworzyliby geometrię, byłaby to geometria nieeuklidesowa.</w:t>
      </w:r>
      <w:r>
        <w:t xml:space="preserve"> </w:t>
      </w:r>
      <w:r>
        <w:t xml:space="preserve">Mielibyśmy więc do czynienia z dwoma geometriami świata – stworzoną przez</w:t>
      </w:r>
      <w:r>
        <w:t xml:space="preserve"> </w:t>
      </w:r>
      <w:r>
        <w:t xml:space="preserve">istoty zamieszkujące kulę oraz z drugą – realną, do której nie mają one</w:t>
      </w:r>
      <w:r>
        <w:t xml:space="preserve"> </w:t>
      </w:r>
      <w:r>
        <w:t xml:space="preserve">dostępu.</w:t>
      </w:r>
    </w:p>
    <w:p>
      <w:pPr>
        <w:pStyle w:val="BodyText"/>
      </w:pPr>
      <w:r>
        <w:t xml:space="preserve">Moglibyśmy przyjąć, że człowiek żyje w świecie, który nie jest nam bezpośrednio</w:t>
      </w:r>
      <w:r>
        <w:t xml:space="preserve"> </w:t>
      </w:r>
      <w:r>
        <w:t xml:space="preserve">dany, a do opisu zjawisk najbliższych najlepiej nadaje się geometria</w:t>
      </w:r>
      <w:r>
        <w:t xml:space="preserve"> </w:t>
      </w:r>
      <w:r>
        <w:t xml:space="preserve">euklidesowa. Jednak w tej wizji widać, że przyjęcie dwóch geometrii: obiektywnej</w:t>
      </w:r>
      <w:r>
        <w:t xml:space="preserve"> </w:t>
      </w:r>
      <w:r>
        <w:t xml:space="preserve">oraz dostępnej naszemu poznaniu, prowadzi do tego, iż stosowaną geometrię</w:t>
      </w:r>
      <w:r>
        <w:t xml:space="preserve"> </w:t>
      </w:r>
      <w:r>
        <w:t xml:space="preserve">miałyby wyznaczać względy praktyczne. Mogłoby dochodzić do jej rewizji wraz</w:t>
      </w:r>
      <w:r>
        <w:t xml:space="preserve"> </w:t>
      </w:r>
      <w:r>
        <w:t xml:space="preserve">z rozwojem nauki. Takie ujęcie problemu prowadzi nas więc dokładnie do tego,</w:t>
      </w:r>
      <w:r>
        <w:t xml:space="preserve"> </w:t>
      </w:r>
      <w:r>
        <w:t xml:space="preserve">czego Kant chciał uniknąć – do geometrii wywiedzionej z empirii. Choć</w:t>
      </w:r>
      <w:r>
        <w:t xml:space="preserve"> </w:t>
      </w:r>
      <w:r>
        <w:t xml:space="preserve">oczywiście wciąż można utrzymywać, że geometria dostępna ludzkiej naoczności</w:t>
      </w:r>
      <w:r>
        <w:t xml:space="preserve"> </w:t>
      </w:r>
      <w:r>
        <w:t xml:space="preserve">w tej sytuacji byłaby euklidesowa, są argumenty przemawiające przeciwko nawet</w:t>
      </w:r>
      <w:r>
        <w:t xml:space="preserve"> </w:t>
      </w:r>
      <w:r>
        <w:t xml:space="preserve">tak okrojonej koncepcji przestrzeni.</w:t>
      </w:r>
    </w:p>
    <w:p>
      <w:pPr>
        <w:pStyle w:val="BodyText"/>
      </w:pPr>
      <w:r>
        <w:t xml:space="preserve">W wizji, która została, przedstawiona, przestrzeni wizualnej którą poznajemy</w:t>
      </w:r>
      <w:r>
        <w:t xml:space="preserve"> </w:t>
      </w:r>
      <w:r>
        <w:t xml:space="preserve">odpowiada pewnej przestrzeni niedostępnej, a przynajmniej niedostępnej od razu.</w:t>
      </w:r>
      <w:r>
        <w:t xml:space="preserve"> </w:t>
      </w:r>
      <w:r>
        <w:t xml:space="preserve">Możemy się do jej rozumienia zbliżać przez próbę opisu zjawisk w świecie. Takim</w:t>
      </w:r>
      <w:r>
        <w:t xml:space="preserve"> </w:t>
      </w:r>
      <w:r>
        <w:t xml:space="preserve">opisem zajmowałaby się fizyka teoretyczna, która utraciłaby zakładaną przez</w:t>
      </w:r>
      <w:r>
        <w:t xml:space="preserve"> </w:t>
      </w:r>
      <w:r>
        <w:t xml:space="preserve">Kanta możliwość wydawania sądów syntetycznych a priori – jej twierdzenia</w:t>
      </w:r>
      <w:r>
        <w:t xml:space="preserve"> </w:t>
      </w:r>
      <w:r>
        <w:t xml:space="preserve">musiałyby dostosować się do danych empirycznych. Natomiast poza tą</w:t>
      </w:r>
      <w:r>
        <w:t xml:space="preserve"> </w:t>
      </w:r>
      <w:r>
        <w:t xml:space="preserve">“</w:t>
      </w:r>
      <w:r>
        <w:t xml:space="preserve">przestrzenią</w:t>
      </w:r>
      <w:r>
        <w:t xml:space="preserve"> </w:t>
      </w:r>
      <w:r>
        <w:t xml:space="preserve">wyższego rzędu</w:t>
      </w:r>
      <w:r>
        <w:t xml:space="preserve">”</w:t>
      </w:r>
      <w:r>
        <w:t xml:space="preserve"> </w:t>
      </w:r>
      <w:r>
        <w:t xml:space="preserve">istniałaby jeszcze sfera zjawisk samych w sobie, które nie</w:t>
      </w:r>
      <w:r>
        <w:t xml:space="preserve"> </w:t>
      </w:r>
      <w:r>
        <w:t xml:space="preserve">podlegałyby żadnemu możliwemu poznaniu, ponieważ nie mają przełożenia na żadne</w:t>
      </w:r>
      <w:r>
        <w:t xml:space="preserve"> </w:t>
      </w:r>
      <w:r>
        <w:t xml:space="preserve">formy naoczności. Tak jak zakłada Kant, rzeczy same w sobie byłyby przyczynami</w:t>
      </w:r>
      <w:r>
        <w:t xml:space="preserve"> </w:t>
      </w:r>
      <w:r>
        <w:t xml:space="preserve">wszystkich wrażeń zmysłowych, które dochodzą do świadomości podmiotu i musiałyby</w:t>
      </w:r>
      <w:r>
        <w:t xml:space="preserve"> </w:t>
      </w:r>
      <w:r>
        <w:t xml:space="preserve">być przez nią ujmowane w formie przestrzeni wizualnej za pośrednictwem</w:t>
      </w:r>
      <w:r>
        <w:t xml:space="preserve"> </w:t>
      </w:r>
      <w:r>
        <w:t xml:space="preserve">przestrzeni niedostępnej.</w:t>
      </w:r>
    </w:p>
    <w:p>
      <w:pPr>
        <w:pStyle w:val="BodyText"/>
      </w:pPr>
      <w:r>
        <w:t xml:space="preserve">Takie ujęcie krytykuje Bertrand Russell (2012, s. 814-5). Założeniem kantowskim</w:t>
      </w:r>
      <w:r>
        <w:t xml:space="preserve"> </w:t>
      </w:r>
      <w:r>
        <w:t xml:space="preserve">jest, że postrzeżenia ludzkiej zmysłowości mają przyczyny zewnętrzne. Te</w:t>
      </w:r>
      <w:r>
        <w:t xml:space="preserve"> </w:t>
      </w:r>
      <w:r>
        <w:t xml:space="preserve">przyczyny rzecz jasna są jakościowo różne od postrzeżeń danych nam przez</w:t>
      </w:r>
      <w:r>
        <w:t xml:space="preserve"> </w:t>
      </w:r>
      <w:r>
        <w:t xml:space="preserve">naoczność. Jednak musi istnieć pewne podobieństwo strukturalne między</w:t>
      </w:r>
      <w:r>
        <w:t xml:space="preserve"> </w:t>
      </w:r>
      <w:r>
        <w:t xml:space="preserve">postrzeżeniami a systemem ich przyczyn. Podobnie musi istnieć pewna korelacja</w:t>
      </w:r>
      <w:r>
        <w:t xml:space="preserve"> </w:t>
      </w:r>
      <w:r>
        <w:t xml:space="preserve">między przestrzenią daną nam w postrzeżeniu a przyczynami postrzeżeń, choćby</w:t>
      </w:r>
      <w:r>
        <w:t xml:space="preserve"> </w:t>
      </w:r>
      <w:r>
        <w:t xml:space="preserve">nawet same przyczyny nie dawały się opisać w terminach przestrzennych. Okazuje</w:t>
      </w:r>
      <w:r>
        <w:t xml:space="preserve"> </w:t>
      </w:r>
      <w:r>
        <w:t xml:space="preserve">się więc, że zgodnie z tym stanowiskiem istnieją dwie przestrzenie – jedna</w:t>
      </w:r>
      <w:r>
        <w:t xml:space="preserve"> </w:t>
      </w:r>
      <w:r>
        <w:t xml:space="preserve">subiektywna i druga obiektywna. Russell tym samym dochodzi inną drogą do tego</w:t>
      </w:r>
      <w:r>
        <w:t xml:space="preserve"> </w:t>
      </w:r>
      <w:r>
        <w:t xml:space="preserve">samego wniosku, który poprzednio wyprowadzony był przy pomocy rozumowania</w:t>
      </w:r>
      <w:r>
        <w:t xml:space="preserve"> </w:t>
      </w:r>
      <w:r>
        <w:t xml:space="preserve">Hatfielda, Strawsona a następnie Poincare’go.</w:t>
      </w:r>
    </w:p>
    <w:p>
      <w:pPr>
        <w:pStyle w:val="BodyText"/>
      </w:pPr>
      <w:r>
        <w:t xml:space="preserve">Russell argumentuje następnie (Ibid.), że w takim razie</w:t>
      </w:r>
      <w:r>
        <w:t xml:space="preserve"> </w:t>
      </w:r>
      <w:r>
        <w:t xml:space="preserve">“</w:t>
      </w:r>
      <w:r>
        <w:t xml:space="preserve">nie ma żadnej różnicy</w:t>
      </w:r>
      <w:r>
        <w:t xml:space="preserve"> </w:t>
      </w:r>
      <w:r>
        <w:t xml:space="preserve">między przestrzenią a pozostałymi aspektami percepcji, takimi jak barwy czy</w:t>
      </w:r>
      <w:r>
        <w:t xml:space="preserve"> </w:t>
      </w:r>
      <w:r>
        <w:t xml:space="preserve">dźwięki. Wszystkie tak samo, w ich formach subiektywnych, znane są empirycznie;</w:t>
      </w:r>
      <w:r>
        <w:t xml:space="preserve"> </w:t>
      </w:r>
      <w:r>
        <w:t xml:space="preserve">wszystkie tak samo, w ich formach obiektywnych, są wywnioskowane (…). Nie ma</w:t>
      </w:r>
      <w:r>
        <w:t xml:space="preserve"> </w:t>
      </w:r>
      <w:r>
        <w:t xml:space="preserve">w ogóle powodu uważać nasze poznanie przestrzeni za w jakikolwiek sposób</w:t>
      </w:r>
      <w:r>
        <w:t xml:space="preserve"> </w:t>
      </w:r>
      <w:r>
        <w:t xml:space="preserve">odbiegające od naszego poznania barwy, dźwięku i zapachu</w:t>
      </w:r>
      <w:r>
        <w:t xml:space="preserve">”</w:t>
      </w:r>
      <w:r>
        <w:t xml:space="preserve">. Nie ma więc żadnej</w:t>
      </w:r>
      <w:r>
        <w:t xml:space="preserve"> </w:t>
      </w:r>
      <w:r>
        <w:t xml:space="preserve">podstawy, aby przestrzeń uznać za wyróżnioną. Nawet, jeśli ją za taką uznamy, to</w:t>
      </w:r>
      <w:r>
        <w:t xml:space="preserve"> </w:t>
      </w:r>
      <w:r>
        <w:t xml:space="preserve">nasz opis świata wymaga przestrzeni obiektywnej, która jest czymś, co nie jest</w:t>
      </w:r>
      <w:r>
        <w:t xml:space="preserve"> </w:t>
      </w:r>
      <w:r>
        <w:t xml:space="preserve">zgodne z postulatami Kanta. Na dodatek utrzymywanie, że istnieje</w:t>
      </w:r>
      <w:r>
        <w:t xml:space="preserve"> </w:t>
      </w:r>
      <w:r>
        <w:t xml:space="preserve">“</w:t>
      </w:r>
      <w:r>
        <w:t xml:space="preserve">przestrzeń</w:t>
      </w:r>
      <w:r>
        <w:t xml:space="preserve"> </w:t>
      </w:r>
      <w:r>
        <w:t xml:space="preserve">fenomenalna</w:t>
      </w:r>
      <w:r>
        <w:t xml:space="preserve">”</w:t>
      </w:r>
      <w:r>
        <w:t xml:space="preserve"> </w:t>
      </w:r>
      <w:r>
        <w:t xml:space="preserve">jest jedynie obciążeniem metafizycznym – postuluje się coś, co nie</w:t>
      </w:r>
      <w:r>
        <w:t xml:space="preserve"> </w:t>
      </w:r>
      <w:r>
        <w:t xml:space="preserve">ma żadnej mocy eksplanacyjnej, a jest kosztowne ontologiczne, ponieważ wprowadza</w:t>
      </w:r>
      <w:r>
        <w:t xml:space="preserve"> </w:t>
      </w:r>
      <w:r>
        <w:t xml:space="preserve">byt szczególnego rodzaju. Powołując się na minimalizm, który ma przyświecać</w:t>
      </w:r>
      <w:r>
        <w:t xml:space="preserve"> </w:t>
      </w:r>
      <w:r>
        <w:t xml:space="preserve">metodzie krytycznej Kanta, należałoby więc utożsamić przestrzeń subiektywną</w:t>
      </w:r>
      <w:r>
        <w:t xml:space="preserve"> </w:t>
      </w:r>
      <w:r>
        <w:t xml:space="preserve">i obiektywną odbierając jej tym samy status formy naoczności, a uzależniając od</w:t>
      </w:r>
      <w:r>
        <w:t xml:space="preserve"> </w:t>
      </w:r>
      <w:r>
        <w:t xml:space="preserve">warunków empirycznych odrzucając tym samym całkowicie kantowską koncepcję</w:t>
      </w:r>
      <w:r>
        <w:t xml:space="preserve"> </w:t>
      </w:r>
      <w:r>
        <w:t xml:space="preserve">przestrzeni.</w:t>
      </w:r>
    </w:p>
    <w:p>
      <w:pPr>
        <w:pStyle w:val="Heading3"/>
      </w:pPr>
      <w:bookmarkStart w:id="26" w:name="niezgodne-odpowiedniki"/>
      <w:r>
        <w:t xml:space="preserve">Niezgodne odpowiedniki</w:t>
      </w:r>
      <w:bookmarkEnd w:id="26"/>
    </w:p>
    <w:p>
      <w:pPr>
        <w:pStyle w:val="FirstParagraph"/>
      </w:pPr>
      <w:r>
        <w:t xml:space="preserve">Kant dochodzi do sformułowania poglądu przedstawionego w estetyce</w:t>
      </w:r>
      <w:r>
        <w:t xml:space="preserve"> </w:t>
      </w:r>
      <w:r>
        <w:t xml:space="preserve">transcendentalnej również inną drogą. Posługuje się rozumowaniem, które było mu</w:t>
      </w:r>
      <w:r>
        <w:t xml:space="preserve"> </w:t>
      </w:r>
      <w:r>
        <w:t xml:space="preserve">bliskie już w okresie przedkrytycznym. Wtedy służyło mu ono do innego celu,</w:t>
      </w:r>
      <w:r>
        <w:t xml:space="preserve"> </w:t>
      </w:r>
      <w:r>
        <w:t xml:space="preserve">jednak finalnie zostało zastosowane również do ugruntowania poglądu, iż</w:t>
      </w:r>
      <w:r>
        <w:t xml:space="preserve"> </w:t>
      </w:r>
      <w:r>
        <w:t xml:space="preserve">przestrzeń jest formą naoczności nakładaną na postrzeżenia przez podmiot i nie</w:t>
      </w:r>
      <w:r>
        <w:t xml:space="preserve"> </w:t>
      </w:r>
      <w:r>
        <w:t xml:space="preserve">przysługuje przedmiotom percepcji.</w:t>
      </w:r>
    </w:p>
    <w:p>
      <w:pPr>
        <w:pStyle w:val="BodyText"/>
      </w:pPr>
      <w:r>
        <w:t xml:space="preserve">Pierwotnie argument, który został nazwany argumentem z</w:t>
      </w:r>
      <w:r>
        <w:t xml:space="preserve"> </w:t>
      </w:r>
      <w:r>
        <w:t xml:space="preserve">“</w:t>
      </w:r>
      <w:r>
        <w:t xml:space="preserve">niezgodnych</w:t>
      </w:r>
      <w:r>
        <w:t xml:space="preserve"> </w:t>
      </w:r>
      <w:r>
        <w:t xml:space="preserve">odpowiedników</w:t>
      </w:r>
      <w:r>
        <w:t xml:space="preserve">”</w:t>
      </w:r>
      <w:r>
        <w:t xml:space="preserve"> </w:t>
      </w:r>
      <w:r>
        <w:t xml:space="preserve">został przedstawiony przez Kanta w roku 1768 w pracy</w:t>
      </w:r>
      <w:r>
        <w:t xml:space="preserve"> </w:t>
      </w:r>
      <w:r>
        <w:t xml:space="preserve">“</w:t>
      </w:r>
      <w:r>
        <w:t xml:space="preserve">Von dem</w:t>
      </w:r>
      <w:r>
        <w:t xml:space="preserve"> </w:t>
      </w:r>
      <w:r>
        <w:t xml:space="preserve">ersten Grunde des Unterschides der Gegenden im Raume</w:t>
      </w:r>
      <w:r>
        <w:t xml:space="preserve">”</w:t>
      </w:r>
      <w:r>
        <w:t xml:space="preserve">. Przytaczam go za pracą</w:t>
      </w:r>
      <w:r>
        <w:t xml:space="preserve"> </w:t>
      </w:r>
      <w:r>
        <w:t xml:space="preserve">Gołosza (2001, s. 49-51). Kant występuje w tym dziele jeszcze jako obrońca</w:t>
      </w:r>
      <w:r>
        <w:t xml:space="preserve"> </w:t>
      </w:r>
      <w:r>
        <w:t xml:space="preserve">substancjalnej teorii przestrzeni przeciwstawiając się koncepcji</w:t>
      </w:r>
      <w:r>
        <w:t xml:space="preserve"> </w:t>
      </w:r>
      <w:r>
        <w:t xml:space="preserve">leibnizjańskiej, w której przestrzeń ma być jedynie zestawem relacji</w:t>
      </w:r>
      <w:r>
        <w:t xml:space="preserve"> </w:t>
      </w:r>
      <w:r>
        <w:t xml:space="preserve">zachodzących między poszczególnymi ciałami. Kant przeprowadza eksperyment</w:t>
      </w:r>
      <w:r>
        <w:t xml:space="preserve"> </w:t>
      </w:r>
      <w:r>
        <w:t xml:space="preserve">myślowy, w którym należy sobie wyobrazić, że</w:t>
      </w:r>
      <w:r>
        <w:t xml:space="preserve"> </w:t>
      </w:r>
      <w:r>
        <w:t xml:space="preserve">“</w:t>
      </w:r>
      <w:r>
        <w:t xml:space="preserve">pierwszą stworzoną rzeczą jest</w:t>
      </w:r>
      <w:r>
        <w:t xml:space="preserve"> </w:t>
      </w:r>
      <w:r>
        <w:t xml:space="preserve">ludzka ręka – niewątpliwie mamy do czynienia z ręką lewą albo prawą. Jednak</w:t>
      </w:r>
      <w:r>
        <w:t xml:space="preserve"> </w:t>
      </w:r>
      <w:r>
        <w:t xml:space="preserve">według relacjonistycznej teorii pierwszą stworzoną rzeczą nie mogłaby być ani</w:t>
      </w:r>
      <w:r>
        <w:t xml:space="preserve"> </w:t>
      </w:r>
      <w:r>
        <w:t xml:space="preserve">prawa, ani lewa ręka, ponieważ relacje wzajemne i położenie części ręki względem</w:t>
      </w:r>
      <w:r>
        <w:t xml:space="preserve"> </w:t>
      </w:r>
      <w:r>
        <w:t xml:space="preserve">siebie są dokładnie takie same w przypadku prawej i lewej ręki, które są swoimi</w:t>
      </w:r>
      <w:r>
        <w:t xml:space="preserve"> </w:t>
      </w:r>
      <w:r>
        <w:t xml:space="preserve">dokładnymi zwierciadlanymi odbiciami</w:t>
      </w:r>
      <w:r>
        <w:t xml:space="preserve">”</w:t>
      </w:r>
      <w:r>
        <w:t xml:space="preserve"> </w:t>
      </w:r>
      <w:r>
        <w:t xml:space="preserve">(Ibid.).</w:t>
      </w:r>
    </w:p>
    <w:p>
      <w:pPr>
        <w:pStyle w:val="BodyText"/>
      </w:pPr>
      <w:r>
        <w:t xml:space="preserve">Niezgodne odpowiedniki zostaną później przez Kanta przywołane w</w:t>
      </w:r>
      <w:r>
        <w:t xml:space="preserve"> </w:t>
      </w:r>
      <w:r>
        <w:t xml:space="preserve">“</w:t>
      </w:r>
      <w:r>
        <w:t xml:space="preserve">Prolegomenie</w:t>
      </w:r>
      <w:r>
        <w:t xml:space="preserve">”</w:t>
      </w:r>
      <w:r>
        <w:t xml:space="preserve"> </w:t>
      </w:r>
      <w:r>
        <w:t xml:space="preserve">do obrony przestrzeni jako formy naoczności. Jeśli dane są</w:t>
      </w:r>
      <w:r>
        <w:t xml:space="preserve"> </w:t>
      </w:r>
      <w:r>
        <w:t xml:space="preserve">“</w:t>
      </w:r>
      <w:r>
        <w:t xml:space="preserve">dwie rzeczy</w:t>
      </w:r>
      <w:r>
        <w:t xml:space="preserve"> </w:t>
      </w:r>
      <w:r>
        <w:t xml:space="preserve">całkowicie jednakowe pod każdym względem, jaki tylko w każdej z nich z osobna</w:t>
      </w:r>
      <w:r>
        <w:t xml:space="preserve"> </w:t>
      </w:r>
      <w:r>
        <w:t xml:space="preserve">można poznać (we wszystkich własnościach należących do wielkości i jakości), to</w:t>
      </w:r>
      <w:r>
        <w:t xml:space="preserve"> </w:t>
      </w:r>
      <w:r>
        <w:t xml:space="preserve">musi (…) z tego wynikać, że jedną z nich we wszystkich przypadkach i stosunkach</w:t>
      </w:r>
      <w:r>
        <w:t xml:space="preserve"> </w:t>
      </w:r>
      <w:r>
        <w:t xml:space="preserve">można postawić na miejscu drugiej, przy czym zamiana ta nie spowoduje</w:t>
      </w:r>
      <w:r>
        <w:t xml:space="preserve"> </w:t>
      </w:r>
      <w:r>
        <w:t xml:space="preserve">najmniejszej nawet dostrzegalnej różnicy.</w:t>
      </w:r>
      <w:r>
        <w:t xml:space="preserve">”</w:t>
      </w:r>
      <w:r>
        <w:t xml:space="preserve"> </w:t>
      </w:r>
      <w:r>
        <w:t xml:space="preserve">(Kant, 1993, §13). Jednak okazuje</w:t>
      </w:r>
      <w:r>
        <w:t xml:space="preserve"> </w:t>
      </w:r>
      <w:r>
        <w:t xml:space="preserve">się, że w przypadku</w:t>
      </w:r>
      <w:r>
        <w:t xml:space="preserve"> </w:t>
      </w:r>
      <w:r>
        <w:t xml:space="preserve">“</w:t>
      </w:r>
      <w:r>
        <w:t xml:space="preserve">niezgodnych odpowiedników</w:t>
      </w:r>
      <w:r>
        <w:t xml:space="preserve">”</w:t>
      </w:r>
      <w:r>
        <w:t xml:space="preserve">, które są bryłami powstałymi za</w:t>
      </w:r>
      <w:r>
        <w:t xml:space="preserve"> </w:t>
      </w:r>
      <w:r>
        <w:t xml:space="preserve">pomocą</w:t>
      </w:r>
      <w:r>
        <w:t xml:space="preserve"> </w:t>
      </w:r>
      <w:r>
        <w:t xml:space="preserve">“</w:t>
      </w:r>
      <w:r>
        <w:t xml:space="preserve">lustrzanego odbicia</w:t>
      </w:r>
      <w:r>
        <w:t xml:space="preserve">”</w:t>
      </w:r>
      <w:r>
        <w:t xml:space="preserve"> </w:t>
      </w:r>
      <w:r>
        <w:t xml:space="preserve">niektórych przedmiotów, nie da się ich na siebie</w:t>
      </w:r>
      <w:r>
        <w:t xml:space="preserve"> </w:t>
      </w:r>
      <w:r>
        <w:t xml:space="preserve">nałożyć. Bardziej precyzyjną definicję</w:t>
      </w:r>
      <w:r>
        <w:t xml:space="preserve"> </w:t>
      </w:r>
      <w:r>
        <w:t xml:space="preserve">“</w:t>
      </w:r>
      <w:r>
        <w:t xml:space="preserve">niezgodnych odpowiedników</w:t>
      </w:r>
      <w:r>
        <w:t xml:space="preserve">”</w:t>
      </w:r>
      <w:r>
        <w:t xml:space="preserve"> </w:t>
      </w:r>
      <w:r>
        <w:t xml:space="preserve">przedstawia</w:t>
      </w:r>
      <w:r>
        <w:t xml:space="preserve"> </w:t>
      </w:r>
      <w:r>
        <w:t xml:space="preserve">Earman (za: Gołosz, 2001, s. 51), mają to być takie obiekty O i O’, których</w:t>
      </w:r>
      <w:r>
        <w:t xml:space="preserve"> </w:t>
      </w:r>
      <w:r>
        <w:t xml:space="preserve">powierzchni nie można doprowadzić do pokrywania się</w:t>
      </w:r>
      <w:r>
        <w:t xml:space="preserve"> </w:t>
      </w:r>
      <w:r>
        <w:t xml:space="preserve">“</w:t>
      </w:r>
      <w:r>
        <w:t xml:space="preserve">przez żaden sztywny ruch</w:t>
      </w:r>
      <w:r>
        <w:t xml:space="preserve"> </w:t>
      </w:r>
      <w:r>
        <w:t xml:space="preserve">(składający się z translacji i obrotów), a można to zrobić poprzez kombinację</w:t>
      </w:r>
      <w:r>
        <w:t xml:space="preserve"> </w:t>
      </w:r>
      <w:r>
        <w:t xml:space="preserve">sztywnych ruchów oraz (…) odbić</w:t>
      </w:r>
      <w:r>
        <w:t xml:space="preserve">”</w:t>
      </w:r>
      <w:r>
        <w:t xml:space="preserve"> </w:t>
      </w:r>
      <w:r>
        <w:t xml:space="preserve">(Ibid.). Kant przywołuje przykład trójkątów</w:t>
      </w:r>
      <w:r>
        <w:t xml:space="preserve"> </w:t>
      </w:r>
      <w:r>
        <w:t xml:space="preserve">powstałych na przeciwległych półkulach, równie dobrze możemy użyć przykładu</w:t>
      </w:r>
      <w:r>
        <w:t xml:space="preserve"> </w:t>
      </w:r>
      <w:r>
        <w:t xml:space="preserve">z dłońmi.</w:t>
      </w:r>
    </w:p>
    <w:p>
      <w:pPr>
        <w:pStyle w:val="BodyText"/>
      </w:pPr>
      <w:r>
        <w:t xml:space="preserve">Kant argumentuje, że nie ma w tym przypadku</w:t>
      </w:r>
      <w:r>
        <w:t xml:space="preserve"> </w:t>
      </w:r>
      <w:r>
        <w:t xml:space="preserve">“</w:t>
      </w:r>
      <w:r>
        <w:t xml:space="preserve">żadnych różnic wewnętrznych, które</w:t>
      </w:r>
      <w:r>
        <w:t xml:space="preserve"> </w:t>
      </w:r>
      <w:r>
        <w:t xml:space="preserve">by (…) intelekt mógł pomyśleć, a przecież różnice te są wewnętrzne</w:t>
      </w:r>
      <w:r>
        <w:t xml:space="preserve">”</w:t>
      </w:r>
      <w:r>
        <w:t xml:space="preserve"> </w:t>
      </w:r>
      <w:r>
        <w:t xml:space="preserve">(Kant, 1993,</w:t>
      </w:r>
      <w:r>
        <w:t xml:space="preserve"> </w:t>
      </w:r>
      <w:r>
        <w:t xml:space="preserve">§13). Jako że przedmioty te mają nie być przedstawieniami rzeczy, jakimi one są</w:t>
      </w:r>
      <w:r>
        <w:t xml:space="preserve"> </w:t>
      </w:r>
      <w:r>
        <w:t xml:space="preserve">same w sobie, tylko naocznymi danymi zmysłowymi, Kant twierdzi, iż tej różnicy</w:t>
      </w:r>
      <w:r>
        <w:t xml:space="preserve"> </w:t>
      </w:r>
      <w:r>
        <w:t xml:space="preserve">“</w:t>
      </w:r>
      <w:r>
        <w:t xml:space="preserve">nie możemy uczynić zrozumiałą za pomocą żadnego pojęcia, lecz tylko przez</w:t>
      </w:r>
      <w:r>
        <w:t xml:space="preserve"> </w:t>
      </w:r>
      <w:r>
        <w:t xml:space="preserve">stosunek do prawej i lewej ręki, który dotyczy bezpośrednio naoczności</w:t>
      </w:r>
      <w:r>
        <w:t xml:space="preserve">”</w:t>
      </w:r>
      <w:r>
        <w:t xml:space="preserve"> </w:t>
      </w:r>
      <w:r>
        <w:t xml:space="preserve">(Ibid.).</w:t>
      </w:r>
    </w:p>
    <w:p>
      <w:pPr>
        <w:pStyle w:val="BodyText"/>
      </w:pPr>
      <w:r>
        <w:t xml:space="preserve">Argument ten atakuje Earman (za: Gołosz, 2001, s. 50). Twierdzi on, że jeśli</w:t>
      </w:r>
      <w:r>
        <w:t xml:space="preserve"> </w:t>
      </w:r>
      <w:r>
        <w:t xml:space="preserve">relacje wewnętrzne pomiędzy częściami ręki są ograniczone tylko do relacji</w:t>
      </w:r>
      <w:r>
        <w:t xml:space="preserve"> </w:t>
      </w:r>
      <w:r>
        <w:t xml:space="preserve">pozostawania w danej odległości, współliniowości i tworzenia kąta, to faktycznie</w:t>
      </w:r>
      <w:r>
        <w:t xml:space="preserve"> </w:t>
      </w:r>
      <w:r>
        <w:t xml:space="preserve">relacje dla obu dłoni są takie same. Jednak Earman rozważa też co się stanie po</w:t>
      </w:r>
      <w:r>
        <w:t xml:space="preserve"> </w:t>
      </w:r>
      <w:r>
        <w:t xml:space="preserve">wprowadzeniu do tego układu przestrzeni, która może być również rozumiana (choć</w:t>
      </w:r>
      <w:r>
        <w:t xml:space="preserve"> </w:t>
      </w:r>
      <w:r>
        <w:t xml:space="preserve">Earman pierwotnie argument ten formułuje w odniesieniu do koncepcji</w:t>
      </w:r>
      <w:r>
        <w:t xml:space="preserve"> </w:t>
      </w:r>
      <w:r>
        <w:t xml:space="preserve">substancjalnej) jako forma zmysłowej naoczności. Okazuje się, że rozszerzenie</w:t>
      </w:r>
      <w:r>
        <w:t xml:space="preserve"> </w:t>
      </w:r>
      <w:r>
        <w:t xml:space="preserve">listy relacji zachodzących między częściami o relacje zachodzące także między</w:t>
      </w:r>
      <w:r>
        <w:t xml:space="preserve"> </w:t>
      </w:r>
      <w:r>
        <w:t xml:space="preserve">punktami w przestrzeni zajmowanej przez ciało, nic nie zmienia. To pozostaną te</w:t>
      </w:r>
      <w:r>
        <w:t xml:space="preserve"> </w:t>
      </w:r>
      <w:r>
        <w:t xml:space="preserve">same relacje. Wprowadzenie przestrzeni w żaden sposób nie pozwala poradzić sobie</w:t>
      </w:r>
      <w:r>
        <w:t xml:space="preserve"> </w:t>
      </w:r>
      <w:r>
        <w:t xml:space="preserve">z problemem, jak chciałby Kant.</w:t>
      </w:r>
    </w:p>
    <w:p>
      <w:pPr>
        <w:pStyle w:val="BodyText"/>
      </w:pPr>
      <w:r>
        <w:t xml:space="preserve">Natomiast nieuprawnione wydaje się powołanie się Kanta na stosunek do prawej</w:t>
      </w:r>
      <w:r>
        <w:t xml:space="preserve"> </w:t>
      </w:r>
      <w:r>
        <w:t xml:space="preserve">i lewej ręki, który to stosunek ma dotyczyć bezpośrednio naoczności. Jeśli</w:t>
      </w:r>
      <w:r>
        <w:t xml:space="preserve"> </w:t>
      </w:r>
      <w:r>
        <w:t xml:space="preserve">podmiot ma się odwołać do prawej i lewej ręki, to są, jak się wydaje, trzy</w:t>
      </w:r>
      <w:r>
        <w:t xml:space="preserve"> </w:t>
      </w:r>
      <w:r>
        <w:t xml:space="preserve">opcje: albo prawa i lewa ręki są dane a priori tak samo jak przestrzeń, albo</w:t>
      </w:r>
      <w:r>
        <w:t xml:space="preserve"> </w:t>
      </w:r>
      <w:r>
        <w:t xml:space="preserve">relacja ręki do prawej i lewej ręki jest dana a priori, albo wprowadzamy do</w:t>
      </w:r>
      <w:r>
        <w:t xml:space="preserve"> </w:t>
      </w:r>
      <w:r>
        <w:t xml:space="preserve">naoczności prawą i lewą rękę. Pierwszą opcję odrzuciłby Kant, ponieważ ręce,</w:t>
      </w:r>
      <w:r>
        <w:t xml:space="preserve"> </w:t>
      </w:r>
      <w:r>
        <w:t xml:space="preserve">jako pewna naoczność, znajdować się mają w przestrzeni, nie mogą więc same być</w:t>
      </w:r>
      <w:r>
        <w:t xml:space="preserve"> </w:t>
      </w:r>
      <w:r>
        <w:t xml:space="preserve">formą naoczności. Druga opcja nie może być przyjęta jako uzasadnienie, ponieważ</w:t>
      </w:r>
      <w:r>
        <w:t xml:space="preserve"> </w:t>
      </w:r>
      <w:r>
        <w:t xml:space="preserve">jeśli nawet dana by była taka relacja, to na mocy założenia eksperymentu</w:t>
      </w:r>
      <w:r>
        <w:t xml:space="preserve"> </w:t>
      </w:r>
      <w:r>
        <w:t xml:space="preserve">w czystej naoczności bez odniesienia nie bylibyśmy w stanie odróżnić ręki prawej</w:t>
      </w:r>
      <w:r>
        <w:t xml:space="preserve"> </w:t>
      </w:r>
      <w:r>
        <w:t xml:space="preserve">od lewej, nie wiedzielibyśmy więc do czego odnosimy daną rękę. Natomiast</w:t>
      </w:r>
      <w:r>
        <w:t xml:space="preserve"> </w:t>
      </w:r>
      <w:r>
        <w:t xml:space="preserve">wprowadzenie pewnej danej empirycznej do naoczności przeczy założeniu</w:t>
      </w:r>
      <w:r>
        <w:t xml:space="preserve"> </w:t>
      </w:r>
      <w:r>
        <w:t xml:space="preserve">eksperymentu myślowego, w którym nie mamy żadnego zewnętrznego punktu</w:t>
      </w:r>
      <w:r>
        <w:t xml:space="preserve"> </w:t>
      </w:r>
      <w:r>
        <w:t xml:space="preserve">odniesienia, poza relacjami poszczególych części ręki. Okazuje się więc, że bez</w:t>
      </w:r>
      <w:r>
        <w:t xml:space="preserve"> </w:t>
      </w:r>
      <w:r>
        <w:t xml:space="preserve">innego odniesienia nie da się w tej sytuacji, na podstawie przedstawionych przez</w:t>
      </w:r>
      <w:r>
        <w:t xml:space="preserve"> </w:t>
      </w:r>
      <w:r>
        <w:t xml:space="preserve">Kanta założeń, odróżnić ręki prawej od lewej, wprowadzenie przestrzeni jako</w:t>
      </w:r>
      <w:r>
        <w:t xml:space="preserve"> </w:t>
      </w:r>
      <w:r>
        <w:t xml:space="preserve">formy naoczności niczego tu nie zmieni.</w:t>
      </w:r>
    </w:p>
    <w:p>
      <w:pPr>
        <w:pStyle w:val="Heading2"/>
      </w:pPr>
      <w:bookmarkStart w:id="27" w:name="czas"/>
      <w:r>
        <w:t xml:space="preserve">Czas</w:t>
      </w:r>
      <w:bookmarkEnd w:id="27"/>
    </w:p>
    <w:p>
      <w:pPr>
        <w:pStyle w:val="Heading2"/>
      </w:pPr>
      <w:bookmarkStart w:id="28" w:name="zakończenie"/>
      <w:r>
        <w:t xml:space="preserve">Zakończenie</w:t>
      </w:r>
      <w:bookmarkEnd w:id="28"/>
    </w:p>
    <w:p>
      <w:pPr>
        <w:pStyle w:val="Heading2"/>
      </w:pPr>
      <w:bookmarkStart w:id="29" w:name="bibliografia"/>
      <w:r>
        <w:t xml:space="preserve">Bibliografia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2022-06-13T22:28:19Z</dcterms:created>
  <dcterms:modified xsi:type="dcterms:W3CDTF">2022-06-13T22:28:19Z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