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df" ContentType="application/pdf"/>
  <Override PartName="/word/media/rId13.pdf" ContentType="application/pdf"/>
  <Override PartName="/word/media/rId9.pdf" ContentType="application/pdf"/>
  <Override PartName="/word/media/rId33.pdf" ContentType="application/pdf"/>
  <Override PartName="/word/media/rId17.pdf" ContentType="application/pdf"/>
  <Override PartName="/word/media/rId25.pdf" ContentType="application/pdf"/>
  <Override PartName="/word/media/rId29.pdf" ContentType="application/pdf"/>
  <Override PartName="/word/media/rId21.pdf" ContentType="application/pdf"/>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Supplementary Materials</w:t>
      </w:r>
      <w:r>
        <w:br/>
      </w:r>
      <w:r>
        <w:t xml:space="preserve">When Algorithms Mirror Inequality: Structural Encoding of Fairness Disparities in Early Childhood Risk Prediction</w:t>
      </w:r>
    </w:p>
    <w:p>
      <w:pPr>
        <w:pStyle w:val="FirstParagraph"/>
      </w:pPr>
      <w:r>
        <w:t xml:space="preserve">This document contains supplementary materials for the main manuscript. Section S1 presents supplementary figures not included in the main text. Section S2 provides supplementary tables with detailed results. Section S3 presents the full math outcome comparison referenced in the main paper.</w:t>
      </w:r>
    </w:p>
    <w:bookmarkStart w:id="45" w:name="s1.-supplementary-figures"/>
    <w:p>
      <w:pPr>
        <w:pStyle w:val="Heading1"/>
      </w:pPr>
      <w:r>
        <w:t xml:space="preserve">S1. Supplementary Figures</w:t>
      </w:r>
    </w:p>
    <w:bookmarkStart w:id="12" w:name="fig:ppv_ci"/>
    <w:p>
      <w:pPr>
        <w:pStyle w:val="CaptionedFigure"/>
      </w:pPr>
      <w:r>
        <w:drawing>
          <wp:inline>
            <wp:extent cx="3035300" cy="2413000"/>
            <wp:effectExtent b="0" l="0" r="0" t="0"/>
            <wp:docPr descr="" title="" id="10" name="Picture"/>
            <a:graphic>
              <a:graphicData uri="http://schemas.openxmlformats.org/drawingml/2006/picture">
                <pic:pic>
                  <pic:nvPicPr>
                    <pic:cNvPr descr="../results/figures/fairness_ppv_with_ci.pdf" id="11" name="Picture"/>
                    <pic:cNvPicPr>
                      <a:picLocks noChangeArrowheads="1" noChangeAspect="1"/>
                    </pic:cNvPicPr>
                  </pic:nvPicPr>
                  <pic:blipFill>
                    <a:blip r:embed="rId9"/>
                    <a:stretch>
                      <a:fillRect/>
                    </a:stretch>
                  </pic:blipFill>
                  <pic:spPr bwMode="auto">
                    <a:xfrm>
                      <a:off x="0" y="0"/>
                      <a:ext cx="3035300" cy="2413000"/>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Positive Predictive Value (PPV) by Racial/Ethnic Group with 95% Bootstrap Confidence Intervals. PPV represents the proportion of students flagged as at-risk who are truly at-risk. The Other group shows the highest PPV (0.758) but with wide confidence intervals reflecting small sample size, while the Black group has the lowest PPV (0.487), indicating that nearly half of Black students flagged as at-risk are false positives.</w:t>
      </w:r>
    </w:p>
    <w:bookmarkEnd w:id="12"/>
    <w:bookmarkStart w:id="16" w:name="fig:explanation_comparison"/>
    <w:p>
      <w:pPr>
        <w:pStyle w:val="CaptionedFigure"/>
      </w:pPr>
      <w:r>
        <w:drawing>
          <wp:inline>
            <wp:extent cx="4152900" cy="3022600"/>
            <wp:effectExtent b="0" l="0" r="0" t="0"/>
            <wp:docPr descr="" title="" id="14" name="Picture"/>
            <a:graphic>
              <a:graphicData uri="http://schemas.openxmlformats.org/drawingml/2006/picture">
                <pic:pic>
                  <pic:nvPicPr>
                    <pic:cNvPr descr="../results/figures/explanation_comparison.pdf" id="15" name="Picture"/>
                    <pic:cNvPicPr>
                      <a:picLocks noChangeArrowheads="1" noChangeAspect="1"/>
                    </pic:cNvPicPr>
                  </pic:nvPicPr>
                  <pic:blipFill>
                    <a:blip r:embed="rId13"/>
                    <a:stretch>
                      <a:fillRect/>
                    </a:stretch>
                  </pic:blipFill>
                  <pic:spPr bwMode="auto">
                    <a:xfrm>
                      <a:off x="0" y="0"/>
                      <a:ext cx="4152900" cy="3022600"/>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SHAP vs. Permutation Importance Comparison. Normalized importance scores from SHAP (mean absolute SHAP values) and permutation importance are compared across all features. Both methods identify the same top-5 predictors with high agreement (mean agreement = 0.90), with spring kindergarten math (X2MTHETK) as the dominant predictor. Features with zero importance under both methods (race, sex, language, early ATL) were effectively excluded by elastic net regularization.</w:t>
      </w:r>
    </w:p>
    <w:bookmarkEnd w:id="16"/>
    <w:bookmarkStart w:id="20" w:name="fig:shap_by_group"/>
    <w:p>
      <w:pPr>
        <w:pStyle w:val="CaptionedFigure"/>
      </w:pPr>
      <w:r>
        <w:drawing>
          <wp:inline>
            <wp:extent cx="4533900" cy="2464858"/>
            <wp:effectExtent b="0" l="0" r="0" t="0"/>
            <wp:docPr descr="" title="" id="18" name="Picture"/>
            <a:graphic>
              <a:graphicData uri="http://schemas.openxmlformats.org/drawingml/2006/picture">
                <pic:pic>
                  <pic:nvPicPr>
                    <pic:cNvPr descr="../results/figures/shap_importance_by_group.pdf" id="19" name="Picture"/>
                    <pic:cNvPicPr>
                      <a:picLocks noChangeArrowheads="1" noChangeAspect="1"/>
                    </pic:cNvPicPr>
                  </pic:nvPicPr>
                  <pic:blipFill>
                    <a:blip r:embed="rId17"/>
                    <a:stretch>
                      <a:fillRect/>
                    </a:stretch>
                  </pic:blipFill>
                  <pic:spPr bwMode="auto">
                    <a:xfrm>
                      <a:off x="0" y="0"/>
                      <a:ext cx="4533900" cy="2464858"/>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SHAP Feature Importance by Racial/Ethnic Group. Mean absolute SHAP values computed separately for each demographic group reveal whether the model relies on different features for different populations. Top-5 feature rankings are identical across groups, but the magnitude of math score importance is somewhat higher for Black and Hispanic students, suggesting cognitive scores carry relatively more predictive weight for minority students.</w:t>
      </w:r>
    </w:p>
    <w:bookmarkEnd w:id="20"/>
    <w:bookmarkStart w:id="24" w:name="fig:temporal_tpr_trend"/>
    <w:p>
      <w:pPr>
        <w:pStyle w:val="CaptionedFigure"/>
      </w:pPr>
      <w:r>
        <w:drawing>
          <wp:inline>
            <wp:extent cx="4152900" cy="2578100"/>
            <wp:effectExtent b="0" l="0" r="0" t="0"/>
            <wp:docPr descr="" title="" id="22" name="Picture"/>
            <a:graphic>
              <a:graphicData uri="http://schemas.openxmlformats.org/drawingml/2006/picture">
                <pic:pic>
                  <pic:nvPicPr>
                    <pic:cNvPr descr="../results/figures/temporal_fairness_tpr_trend.pdf" id="23" name="Picture"/>
                    <pic:cNvPicPr>
                      <a:picLocks noChangeArrowheads="1" noChangeAspect="1"/>
                    </pic:cNvPicPr>
                  </pic:nvPicPr>
                  <pic:blipFill>
                    <a:blip r:embed="rId21"/>
                    <a:stretch>
                      <a:fillRect/>
                    </a:stretch>
                  </pic:blipFill>
                  <pic:spPr bwMode="auto">
                    <a:xfrm>
                      <a:off x="0" y="0"/>
                      <a:ext cx="4152900" cy="2578100"/>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True Positive Rate Trends Across Temporal Scenarios by Racial/Ethnic Group. TPR is plotted for each group across four developmental windows (K Fall Only, K Fall + Spring, K + 1st Grade, K through 3rd). Hispanic students consistently show the highest TPR across all scenarios, while White students show the lowest. The Hispanic–White TPR gap remains substantial regardless of how much longitudinal data is available.</w:t>
      </w:r>
    </w:p>
    <w:bookmarkEnd w:id="24"/>
    <w:bookmarkStart w:id="28" w:name="fig:temporal_fpr_trend"/>
    <w:p>
      <w:pPr>
        <w:pStyle w:val="CaptionedFigure"/>
      </w:pPr>
      <w:r>
        <w:drawing>
          <wp:inline>
            <wp:extent cx="4152900" cy="2578100"/>
            <wp:effectExtent b="0" l="0" r="0" t="0"/>
            <wp:docPr descr="" title="" id="26" name="Picture"/>
            <a:graphic>
              <a:graphicData uri="http://schemas.openxmlformats.org/drawingml/2006/picture">
                <pic:pic>
                  <pic:nvPicPr>
                    <pic:cNvPr descr="../results/figures/temporal_fairness_fpr_trend.pdf" id="27" name="Picture"/>
                    <pic:cNvPicPr>
                      <a:picLocks noChangeArrowheads="1" noChangeAspect="1"/>
                    </pic:cNvPicPr>
                  </pic:nvPicPr>
                  <pic:blipFill>
                    <a:blip r:embed="rId25"/>
                    <a:stretch>
                      <a:fillRect/>
                    </a:stretch>
                  </pic:blipFill>
                  <pic:spPr bwMode="auto">
                    <a:xfrm>
                      <a:off x="0" y="0"/>
                      <a:ext cx="4152900" cy="2578100"/>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False Positive Rate Trends Across Temporal Scenarios by Racial/Ethnic Group. FPR is plotted for each group across four developmental windows. Black students consistently experience the highest FPR across all scenarios, approximately 8–10 times higher than the White FPR. Additional longitudinal data does not meaningfully reduce these FPR disparities.</w:t>
      </w:r>
    </w:p>
    <w:bookmarkEnd w:id="28"/>
    <w:bookmarkStart w:id="32" w:name="fig:temporal_gap"/>
    <w:p>
      <w:pPr>
        <w:pStyle w:val="CaptionedFigure"/>
      </w:pPr>
      <w:r>
        <w:drawing>
          <wp:inline>
            <wp:extent cx="3035300" cy="2400300"/>
            <wp:effectExtent b="0" l="0" r="0" t="0"/>
            <wp:docPr descr="" title="" id="30" name="Picture"/>
            <a:graphic>
              <a:graphicData uri="http://schemas.openxmlformats.org/drawingml/2006/picture">
                <pic:pic>
                  <pic:nvPicPr>
                    <pic:cNvPr descr="../results/figures/temporal_fairness_gap.pdf" id="31" name="Picture"/>
                    <pic:cNvPicPr>
                      <a:picLocks noChangeArrowheads="1" noChangeAspect="1"/>
                    </pic:cNvPicPr>
                  </pic:nvPicPr>
                  <pic:blipFill>
                    <a:blip r:embed="rId29"/>
                    <a:stretch>
                      <a:fillRect/>
                    </a:stretch>
                  </pic:blipFill>
                  <pic:spPr bwMode="auto">
                    <a:xfrm>
                      <a:off x="0" y="0"/>
                      <a:ext cx="3035300" cy="2400300"/>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Temporal Fairness Gap. This figure summarizes how fairness disparities evolve across the four temporal prediction windows, illustrating the</w:t>
      </w:r>
      <w:r>
        <w:t xml:space="preserve"> </w:t>
      </w:r>
      <w:r>
        <w:t xml:space="preserve">“temporal paradox”</w:t>
      </w:r>
      <w:r>
        <w:t xml:space="preserve"> </w:t>
      </w:r>
      <w:r>
        <w:t xml:space="preserve">discussed in the main text: additional data improves overall accuracy but does not resolve—and may even exacerbate—fairness disparities across demographic groups.</w:t>
      </w:r>
    </w:p>
    <w:bookmarkEnd w:id="32"/>
    <w:bookmarkStart w:id="36" w:name="fig:roc_supp"/>
    <w:p>
      <w:pPr>
        <w:pStyle w:val="CaptionedFigure"/>
      </w:pPr>
      <w:r>
        <w:drawing>
          <wp:inline>
            <wp:extent cx="3035300" cy="2755900"/>
            <wp:effectExtent b="0" l="0" r="0" t="0"/>
            <wp:docPr descr="" title="" id="34" name="Picture"/>
            <a:graphic>
              <a:graphicData uri="http://schemas.openxmlformats.org/drawingml/2006/picture">
                <pic:pic>
                  <pic:nvPicPr>
                    <pic:cNvPr descr="../results/figures/roc_curves_by_group.pdf" id="35" name="Picture"/>
                    <pic:cNvPicPr>
                      <a:picLocks noChangeArrowheads="1" noChangeAspect="1"/>
                    </pic:cNvPicPr>
                  </pic:nvPicPr>
                  <pic:blipFill>
                    <a:blip r:embed="rId33"/>
                    <a:stretch>
                      <a:fillRect/>
                    </a:stretch>
                  </pic:blipFill>
                  <pic:spPr bwMode="auto">
                    <a:xfrm>
                      <a:off x="0" y="0"/>
                      <a:ext cx="3035300" cy="2755900"/>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ROC Curves by Racial/Ethnic Group. All groups show similar overall discrimination (AUC</w:t>
      </w:r>
      <w:r>
        <w:t xml:space="preserve"> </w:t>
      </w:r>
      <m:oMath>
        <m:r>
          <m:rPr>
            <m:sty m:val="p"/>
          </m:rPr>
          <m:t>≈</m:t>
        </m:r>
      </m:oMath>
      <w:r>
        <w:t xml:space="preserve"> </w:t>
      </w:r>
      <w:r>
        <w:t xml:space="preserve">0.84), but the operating point characteristics differ substantially, reflecting the TPR and FPR disparities documented in the main text.</w:t>
      </w:r>
    </w:p>
    <w:bookmarkEnd w:id="36"/>
    <w:bookmarkStart w:id="40" w:name="fig:calibration_supp"/>
    <w:p>
      <w:pPr>
        <w:pStyle w:val="CaptionedFigure"/>
      </w:pPr>
      <w:r>
        <w:drawing>
          <wp:inline>
            <wp:extent cx="3035300" cy="2755900"/>
            <wp:effectExtent b="0" l="0" r="0" t="0"/>
            <wp:docPr descr="" title="" id="38" name="Picture"/>
            <a:graphic>
              <a:graphicData uri="http://schemas.openxmlformats.org/drawingml/2006/picture">
                <pic:pic>
                  <pic:nvPicPr>
                    <pic:cNvPr descr="../results/figures/calibration_curves_by_group.pdf" id="39" name="Picture"/>
                    <pic:cNvPicPr>
                      <a:picLocks noChangeArrowheads="1" noChangeAspect="1"/>
                    </pic:cNvPicPr>
                  </pic:nvPicPr>
                  <pic:blipFill>
                    <a:blip r:embed="rId37"/>
                    <a:stretch>
                      <a:fillRect/>
                    </a:stretch>
                  </pic:blipFill>
                  <pic:spPr bwMode="auto">
                    <a:xfrm>
                      <a:off x="0" y="0"/>
                      <a:ext cx="3035300" cy="2755900"/>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Calibration Curves by Racial/Ethnic Group. Deviation from the diagonal indicates miscalibration. Black students show the largest deviation, consistent with the ECE ratio of 3.68 reported in the main text.</w:t>
      </w:r>
    </w:p>
    <w:bookmarkEnd w:id="40"/>
    <w:bookmarkStart w:id="44" w:name="fig:temporal_performance_supp"/>
    <w:p>
      <w:pPr>
        <w:pStyle w:val="CaptionedFigure"/>
      </w:pPr>
      <w:r>
        <w:drawing>
          <wp:inline>
            <wp:extent cx="4152900" cy="2387600"/>
            <wp:effectExtent b="0" l="0" r="0" t="0"/>
            <wp:docPr descr="" title="" id="42" name="Picture"/>
            <a:graphic>
              <a:graphicData uri="http://schemas.openxmlformats.org/drawingml/2006/picture">
                <pic:pic>
                  <pic:nvPicPr>
                    <pic:cNvPr descr="../results/figures/temporal_performance_trend.pdf" id="43" name="Picture"/>
                    <pic:cNvPicPr>
                      <a:picLocks noChangeArrowheads="1" noChangeAspect="1"/>
                    </pic:cNvPicPr>
                  </pic:nvPicPr>
                  <pic:blipFill>
                    <a:blip r:embed="rId41"/>
                    <a:stretch>
                      <a:fillRect/>
                    </a:stretch>
                  </pic:blipFill>
                  <pic:spPr bwMode="auto">
                    <a:xfrm>
                      <a:off x="0" y="0"/>
                      <a:ext cx="4152900" cy="2387600"/>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Model Performance Across Temporal Scenarios. AUC improves from 0.799 (K fall only) to 0.831 (K through 3rd grade), with diminishing returns after spring kindergarten. Logistic regression was the best-performing model across all scenarios.</w:t>
      </w:r>
    </w:p>
    <w:bookmarkEnd w:id="44"/>
    <w:bookmarkEnd w:id="45"/>
    <w:bookmarkStart w:id="50" w:name="s2.-supplementary-tables"/>
    <w:p>
      <w:pPr>
        <w:pStyle w:val="Heading1"/>
      </w:pPr>
      <w:r>
        <w:t xml:space="preserve">S2. Supplementary Tables</w:t>
      </w:r>
    </w:p>
    <w:bookmarkStart w:id="46" w:name="tab:explanation"/>
    <w:p>
      <w:pPr>
        <w:pStyle w:val="TableCaption"/>
      </w:pPr>
      <w:r>
        <w:rPr>
          <w:b/>
          <w:bCs/>
        </w:rPr>
        <w:t xml:space="preserve">Table S1.</w:t>
      </w:r>
      <w:r>
        <w:t xml:space="preserve"> </w:t>
      </w:r>
      <w:r>
        <w:t xml:space="preserve">SHAP vs. Permutation Importance Comparison. Normalized importance scores, agreement between methods, and rank differences. Features are ordered by SHAP importance. Agreement is computed as</w:t>
      </w:r>
      <w:r>
        <w:t xml:space="preserve"> </w:t>
      </w:r>
      <m:oMath>
        <m:r>
          <m:t>1</m:t>
        </m:r>
        <m:r>
          <m:rPr>
            <m:sty m:val="p"/>
          </m:rPr>
          <m:t>−</m:t>
        </m:r>
        <m:r>
          <m:rPr>
            <m:sty m:val="p"/>
          </m:rPr>
          <m:t>|</m:t>
        </m:r>
        <m:r>
          <m:t>S</m:t>
        </m:r>
        <m:r>
          <m:t>H</m:t>
        </m:r>
        <m:r>
          <m:t>A</m:t>
        </m:r>
        <m:sSub>
          <m:e>
            <m:r>
              <m:t>P</m:t>
            </m:r>
          </m:e>
          <m:sub>
            <m:r>
              <m:t>n</m:t>
            </m:r>
            <m:r>
              <m:t>o</m:t>
            </m:r>
            <m:r>
              <m:t>r</m:t>
            </m:r>
            <m:r>
              <m:t>m</m:t>
            </m:r>
          </m:sub>
        </m:sSub>
        <m:r>
          <m:rPr>
            <m:sty m:val="p"/>
          </m:rPr>
          <m:t>−</m:t>
        </m:r>
        <m:r>
          <m:t>P</m:t>
        </m:r>
        <m:r>
          <m:t>e</m:t>
        </m:r>
        <m:r>
          <m:t>r</m:t>
        </m:r>
        <m:sSub>
          <m:e>
            <m:r>
              <m:t>m</m:t>
            </m:r>
          </m:e>
          <m:sub>
            <m:r>
              <m:t>n</m:t>
            </m:r>
            <m:r>
              <m:t>o</m:t>
            </m:r>
            <m:r>
              <m:t>r</m:t>
            </m:r>
            <m:r>
              <m:t>m</m:t>
            </m:r>
          </m:sub>
        </m:sSub>
        <m:r>
          <m:rPr>
            <m:sty m:val="p"/>
          </m:rPr>
          <m:t>|</m:t>
        </m:r>
      </m:oMath>
      <w:r>
        <w:t xml:space="preserve">. Both methods identify X2MTHETK as the dominant predictor with perfect agreement at the top.</w:t>
      </w:r>
    </w:p>
    <w:tbl>
      <w:tblPr>
        <w:tblStyle w:val="Table"/>
        <w:tblW w:type="auto" w:w="0"/>
        <w:tblLook w:firstRow="1" w:lastRow="0" w:firstColumn="0" w:lastColumn="0" w:noHBand="0" w:noVBand="0" w:val="0020"/>
        <w:tblCaption w:val="Table S1. SHAP vs. Permutation Importance Comparison. Normalized importance scores, agreement between methods, and rank differences. Features are ordered by SHAP importance. Agreement is computed as 1 - |SHAP_{norm} - Perm_{norm}|. Both methods identify X2MTHETK as the dominant predictor with perfect agreement at the top."/>
      </w:tblPr>
      <w:tblGrid>
        <w:gridCol w:w="1320"/>
        <w:gridCol w:w="1320"/>
        <w:gridCol w:w="1320"/>
        <w:gridCol w:w="1320"/>
        <w:gridCol w:w="1320"/>
        <w:gridCol w:w="1320"/>
      </w:tblGrid>
      <w:tr>
        <w:trPr>
          <w:tblHeader w:val="on"/>
        </w:trPr>
        <w:tc>
          <w:tcPr/>
          <w:p>
            <w:pPr>
              <w:pStyle w:val="Compact"/>
              <w:jc w:val="left"/>
            </w:pPr>
            <w:r>
              <w:rPr>
                <w:b/>
                <w:bCs/>
              </w:rPr>
              <w:t xml:space="preserve">Feature</w:t>
            </w:r>
          </w:p>
        </w:tc>
        <w:tc>
          <w:tcPr/>
          <w:p>
            <w:pPr>
              <w:pStyle w:val="Compact"/>
              <w:jc w:val="center"/>
            </w:pPr>
            <w:r>
              <w:rPr>
                <w:b/>
                <w:bCs/>
              </w:rPr>
              <w:t xml:space="preserve">SHAP (norm.)</w:t>
            </w:r>
          </w:p>
        </w:tc>
        <w:tc>
          <w:tcPr/>
          <w:p>
            <w:pPr>
              <w:pStyle w:val="Compact"/>
              <w:jc w:val="center"/>
            </w:pPr>
            <w:r>
              <w:rPr>
                <w:b/>
                <w:bCs/>
              </w:rPr>
              <w:t xml:space="preserve">Perm. (norm.)</w:t>
            </w:r>
          </w:p>
        </w:tc>
        <w:tc>
          <w:tcPr/>
          <w:p>
            <w:pPr>
              <w:pStyle w:val="Compact"/>
              <w:jc w:val="center"/>
            </w:pPr>
            <w:r>
              <w:rPr>
                <w:b/>
                <w:bCs/>
              </w:rPr>
              <w:t xml:space="preserve">Agree.</w:t>
            </w:r>
          </w:p>
        </w:tc>
        <w:tc>
          <w:tcPr/>
          <w:p>
            <w:pPr>
              <w:pStyle w:val="Compact"/>
              <w:jc w:val="center"/>
            </w:pPr>
            <w:r>
              <w:rPr>
                <w:b/>
                <w:bCs/>
              </w:rPr>
              <w:t xml:space="preserve">SHAP Rk.</w:t>
            </w:r>
          </w:p>
        </w:tc>
        <w:tc>
          <w:tcPr/>
          <w:p>
            <w:pPr>
              <w:pStyle w:val="Compact"/>
              <w:jc w:val="center"/>
            </w:pPr>
            <w:r>
              <w:rPr>
                <w:b/>
                <w:bCs/>
              </w:rPr>
              <w:t xml:space="preserve">Perm. Rk.</w:t>
            </w:r>
          </w:p>
        </w:tc>
      </w:tr>
      <w:tr>
        <w:tc>
          <w:tcPr/>
          <w:p>
            <w:pPr>
              <w:pStyle w:val="Compact"/>
              <w:jc w:val="left"/>
            </w:pPr>
            <w:r>
              <w:t xml:space="preserve">X2MTHETK</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X1SESQ5</w:t>
            </w:r>
          </w:p>
        </w:tc>
        <w:tc>
          <w:tcPr/>
          <w:p>
            <w:pPr>
              <w:pStyle w:val="Compact"/>
              <w:jc w:val="center"/>
            </w:pPr>
            <w:r>
              <w:t xml:space="preserve">0.661</w:t>
            </w:r>
          </w:p>
        </w:tc>
        <w:tc>
          <w:tcPr/>
          <w:p>
            <w:pPr>
              <w:pStyle w:val="Compact"/>
              <w:jc w:val="center"/>
            </w:pPr>
            <w:r>
              <w:t xml:space="preserve">0.332</w:t>
            </w:r>
          </w:p>
        </w:tc>
        <w:tc>
          <w:tcPr/>
          <w:p>
            <w:pPr>
              <w:pStyle w:val="Compact"/>
              <w:jc w:val="center"/>
            </w:pPr>
            <w:r>
              <w:t xml:space="preserve">0.671</w:t>
            </w:r>
          </w:p>
        </w:tc>
        <w:tc>
          <w:tcPr/>
          <w:p>
            <w:pPr>
              <w:pStyle w:val="Compact"/>
              <w:jc w:val="center"/>
            </w:pPr>
            <w:r>
              <w:t xml:space="preserve">2</w:t>
            </w:r>
          </w:p>
        </w:tc>
        <w:tc>
          <w:tcPr/>
          <w:p>
            <w:pPr>
              <w:pStyle w:val="Compact"/>
              <w:jc w:val="center"/>
            </w:pPr>
            <w:r>
              <w:t xml:space="preserve">4</w:t>
            </w:r>
          </w:p>
        </w:tc>
      </w:tr>
      <w:tr>
        <w:tc>
          <w:tcPr/>
          <w:p>
            <w:pPr>
              <w:pStyle w:val="Compact"/>
              <w:jc w:val="left"/>
            </w:pPr>
            <w:r>
              <w:t xml:space="preserve">X2RTHETK</w:t>
            </w:r>
          </w:p>
        </w:tc>
        <w:tc>
          <w:tcPr/>
          <w:p>
            <w:pPr>
              <w:pStyle w:val="Compact"/>
              <w:jc w:val="center"/>
            </w:pPr>
            <w:r>
              <w:t xml:space="preserve">0.629</w:t>
            </w:r>
          </w:p>
        </w:tc>
        <w:tc>
          <w:tcPr/>
          <w:p>
            <w:pPr>
              <w:pStyle w:val="Compact"/>
              <w:jc w:val="center"/>
            </w:pPr>
            <w:r>
              <w:t xml:space="preserve">0.504</w:t>
            </w:r>
          </w:p>
        </w:tc>
        <w:tc>
          <w:tcPr/>
          <w:p>
            <w:pPr>
              <w:pStyle w:val="Compact"/>
              <w:jc w:val="center"/>
            </w:pPr>
            <w:r>
              <w:t xml:space="preserve">0.875</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X1MTHETK</w:t>
            </w:r>
          </w:p>
        </w:tc>
        <w:tc>
          <w:tcPr/>
          <w:p>
            <w:pPr>
              <w:pStyle w:val="Compact"/>
              <w:jc w:val="center"/>
            </w:pPr>
            <w:r>
              <w:t xml:space="preserve">0.567</w:t>
            </w:r>
          </w:p>
        </w:tc>
        <w:tc>
          <w:tcPr/>
          <w:p>
            <w:pPr>
              <w:pStyle w:val="Compact"/>
              <w:jc w:val="center"/>
            </w:pPr>
            <w:r>
              <w:t xml:space="preserve">0.271</w:t>
            </w:r>
          </w:p>
        </w:tc>
        <w:tc>
          <w:tcPr/>
          <w:p>
            <w:pPr>
              <w:pStyle w:val="Compact"/>
              <w:jc w:val="center"/>
            </w:pPr>
            <w:r>
              <w:t xml:space="preserve">0.705</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X4TCHAPP</w:t>
            </w:r>
          </w:p>
        </w:tc>
        <w:tc>
          <w:tcPr/>
          <w:p>
            <w:pPr>
              <w:pStyle w:val="Compact"/>
              <w:jc w:val="center"/>
            </w:pPr>
            <w:r>
              <w:t xml:space="preserve">0.557</w:t>
            </w:r>
          </w:p>
        </w:tc>
        <w:tc>
          <w:tcPr/>
          <w:p>
            <w:pPr>
              <w:pStyle w:val="Compact"/>
              <w:jc w:val="center"/>
            </w:pPr>
            <w:r>
              <w:t xml:space="preserve">0.391</w:t>
            </w:r>
          </w:p>
        </w:tc>
        <w:tc>
          <w:tcPr/>
          <w:p>
            <w:pPr>
              <w:pStyle w:val="Compact"/>
              <w:jc w:val="center"/>
            </w:pPr>
            <w:r>
              <w:t xml:space="preserve">0.833</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X6DCCSSCR</w:t>
            </w:r>
          </w:p>
        </w:tc>
        <w:tc>
          <w:tcPr/>
          <w:p>
            <w:pPr>
              <w:pStyle w:val="Compact"/>
              <w:jc w:val="center"/>
            </w:pPr>
            <w:r>
              <w:t xml:space="preserve">0.191</w:t>
            </w:r>
          </w:p>
        </w:tc>
        <w:tc>
          <w:tcPr/>
          <w:p>
            <w:pPr>
              <w:pStyle w:val="Compact"/>
              <w:jc w:val="center"/>
            </w:pPr>
            <w:r>
              <w:t xml:space="preserve">0.037</w:t>
            </w:r>
          </w:p>
        </w:tc>
        <w:tc>
          <w:tcPr/>
          <w:p>
            <w:pPr>
              <w:pStyle w:val="Compact"/>
              <w:jc w:val="center"/>
            </w:pPr>
            <w:r>
              <w:t xml:space="preserve">0.846</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X1RTHETK</w:t>
            </w:r>
          </w:p>
        </w:tc>
        <w:tc>
          <w:tcPr/>
          <w:p>
            <w:pPr>
              <w:pStyle w:val="Compact"/>
              <w:jc w:val="center"/>
            </w:pPr>
            <w:r>
              <w:t xml:space="preserve">0.076</w:t>
            </w:r>
          </w:p>
        </w:tc>
        <w:tc>
          <w:tcPr/>
          <w:p>
            <w:pPr>
              <w:pStyle w:val="Compact"/>
              <w:jc w:val="center"/>
            </w:pPr>
            <w:r>
              <w:t xml:space="preserve">0.000</w:t>
            </w:r>
          </w:p>
        </w:tc>
        <w:tc>
          <w:tcPr/>
          <w:p>
            <w:pPr>
              <w:pStyle w:val="Compact"/>
              <w:jc w:val="center"/>
            </w:pPr>
            <w:r>
              <w:t xml:space="preserve">0.924</w:t>
            </w:r>
          </w:p>
        </w:tc>
        <w:tc>
          <w:tcPr/>
          <w:p>
            <w:pPr>
              <w:pStyle w:val="Compact"/>
              <w:jc w:val="center"/>
            </w:pPr>
            <w:r>
              <w:t xml:space="preserve">7</w:t>
            </w:r>
          </w:p>
        </w:tc>
        <w:tc>
          <w:tcPr/>
          <w:p>
            <w:pPr>
              <w:pStyle w:val="Compact"/>
              <w:jc w:val="center"/>
            </w:pPr>
            <w:r>
              <w:t xml:space="preserve">7</w:t>
            </w:r>
          </w:p>
        </w:tc>
      </w:tr>
      <w:tr>
        <w:tc>
          <w:tcPr/>
          <w:p>
            <w:pPr>
              <w:pStyle w:val="Compact"/>
              <w:jc w:val="left"/>
            </w:pPr>
            <w:r>
              <w:t xml:space="preserve">X_CHSEX_R</w:t>
            </w:r>
          </w:p>
        </w:tc>
        <w:tc>
          <w:tcPr/>
          <w:p>
            <w:pPr>
              <w:pStyle w:val="Compact"/>
              <w:jc w:val="center"/>
            </w:pPr>
            <w:r>
              <w:t xml:space="preserve">0.008</w:t>
            </w:r>
          </w:p>
        </w:tc>
        <w:tc>
          <w:tcPr/>
          <w:p>
            <w:pPr>
              <w:pStyle w:val="Compact"/>
              <w:jc w:val="center"/>
            </w:pPr>
            <w:r>
              <w:t xml:space="preserve">0.000</w:t>
            </w:r>
          </w:p>
        </w:tc>
        <w:tc>
          <w:tcPr/>
          <w:p>
            <w:pPr>
              <w:pStyle w:val="Compact"/>
              <w:jc w:val="center"/>
            </w:pPr>
            <w:r>
              <w:t xml:space="preserve">0.992</w:t>
            </w:r>
          </w:p>
        </w:tc>
        <w:tc>
          <w:tcPr/>
          <w:p>
            <w:pPr>
              <w:pStyle w:val="Compact"/>
              <w:jc w:val="center"/>
            </w:pPr>
            <w:r>
              <w:t xml:space="preserve">8</w:t>
            </w:r>
          </w:p>
        </w:tc>
        <w:tc>
          <w:tcPr/>
          <w:p>
            <w:pPr>
              <w:pStyle w:val="Compact"/>
              <w:jc w:val="center"/>
            </w:pPr>
            <w:r>
              <w:t xml:space="preserve">10</w:t>
            </w:r>
          </w:p>
        </w:tc>
      </w:tr>
      <w:tr>
        <w:tc>
          <w:tcPr/>
          <w:p>
            <w:pPr>
              <w:pStyle w:val="Compact"/>
              <w:jc w:val="left"/>
            </w:pPr>
            <w:r>
              <w:t xml:space="preserve">X12LANGST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10.5</w:t>
            </w:r>
          </w:p>
        </w:tc>
        <w:tc>
          <w:tcPr/>
          <w:p>
            <w:pPr>
              <w:pStyle w:val="Compact"/>
              <w:jc w:val="center"/>
            </w:pPr>
            <w:r>
              <w:t xml:space="preserve">10</w:t>
            </w:r>
          </w:p>
        </w:tc>
      </w:tr>
      <w:tr>
        <w:tc>
          <w:tcPr/>
          <w:p>
            <w:pPr>
              <w:pStyle w:val="Compact"/>
              <w:jc w:val="left"/>
            </w:pPr>
            <w:r>
              <w:t xml:space="preserve">X1TCHAPP</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10.5</w:t>
            </w:r>
          </w:p>
        </w:tc>
        <w:tc>
          <w:tcPr/>
          <w:p>
            <w:pPr>
              <w:pStyle w:val="Compact"/>
              <w:jc w:val="center"/>
            </w:pPr>
            <w:r>
              <w:t xml:space="preserve">10</w:t>
            </w:r>
          </w:p>
        </w:tc>
      </w:tr>
      <w:tr>
        <w:tc>
          <w:tcPr/>
          <w:p>
            <w:pPr>
              <w:pStyle w:val="Compact"/>
              <w:jc w:val="left"/>
            </w:pPr>
            <w:r>
              <w:t xml:space="preserve">X2TCHAPP</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10.5</w:t>
            </w:r>
          </w:p>
        </w:tc>
        <w:tc>
          <w:tcPr/>
          <w:p>
            <w:pPr>
              <w:pStyle w:val="Compact"/>
              <w:jc w:val="center"/>
            </w:pPr>
            <w:r>
              <w:t xml:space="preserve">10</w:t>
            </w:r>
          </w:p>
        </w:tc>
      </w:tr>
      <w:tr>
        <w:tc>
          <w:tcPr/>
          <w:p>
            <w:pPr>
              <w:pStyle w:val="Compact"/>
              <w:jc w:val="left"/>
            </w:pPr>
            <w:r>
              <w:t xml:space="preserve">X_RACETH_R</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10.5</w:t>
            </w:r>
          </w:p>
        </w:tc>
        <w:tc>
          <w:tcPr/>
          <w:p>
            <w:pPr>
              <w:pStyle w:val="Compact"/>
              <w:jc w:val="center"/>
            </w:pPr>
            <w:r>
              <w:t xml:space="preserve">10</w:t>
            </w:r>
          </w:p>
        </w:tc>
      </w:tr>
    </w:tbl>
    <w:bookmarkEnd w:id="46"/>
    <w:bookmarkStart w:id="47" w:name="tab:perm_bootstrap"/>
    <w:p>
      <w:pPr>
        <w:pStyle w:val="TableCaption"/>
      </w:pPr>
      <w:r>
        <w:rPr>
          <w:b/>
          <w:bCs/>
        </w:rPr>
        <w:t xml:space="preserve">Table S2.</w:t>
      </w:r>
      <w:r>
        <w:t xml:space="preserve"> </w:t>
      </w:r>
      <w:r>
        <w:t xml:space="preserve">Permutation Importance with Bootstrap 95% Confidence Intervals. Importance was computed using 50 bootstrap iterations. Features with importance indistinguishable from zero (CI includes 0) are not significantly predictive. Only six features have non-trivial importance; elastic net regularization excluded all others.</w:t>
      </w:r>
    </w:p>
    <w:tbl>
      <w:tblPr>
        <w:tblStyle w:val="Table"/>
        <w:tblW w:type="auto" w:w="0"/>
        <w:tblLook w:firstRow="1" w:lastRow="0" w:firstColumn="0" w:lastColumn="0" w:noHBand="0" w:noVBand="0" w:val="0020"/>
        <w:tblCaption w:val="Table S2. Permutation Importance with Bootstrap 95% Confidence Intervals. Importance was computed using 50 bootstrap iterations. Features with importance indistinguishable from zero (CI includes 0) are not significantly predictive. Only six features have non-trivial importance; elastic net regularization excluded all other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center"/>
            </w:pPr>
            <w:r>
              <w:rPr>
                <w:b/>
                <w:bCs/>
              </w:rPr>
              <w:t xml:space="preserve">Mean Imp.</w:t>
            </w:r>
          </w:p>
        </w:tc>
        <w:tc>
          <w:tcPr/>
          <w:p>
            <w:pPr>
              <w:pStyle w:val="Compact"/>
              <w:jc w:val="center"/>
            </w:pPr>
            <w:r>
              <w:rPr>
                <w:b/>
                <w:bCs/>
              </w:rPr>
              <w:t xml:space="preserve">Std.</w:t>
            </w:r>
          </w:p>
        </w:tc>
        <w:tc>
          <w:tcPr/>
          <w:p>
            <w:pPr>
              <w:pStyle w:val="Compact"/>
              <w:jc w:val="center"/>
            </w:pPr>
            <w:r>
              <w:rPr>
                <w:b/>
                <w:bCs/>
              </w:rPr>
              <w:t xml:space="preserve">CI 2.5%</w:t>
            </w:r>
          </w:p>
        </w:tc>
        <w:tc>
          <w:tcPr/>
          <w:p>
            <w:pPr>
              <w:pStyle w:val="Compact"/>
              <w:jc w:val="center"/>
            </w:pPr>
            <w:r>
              <w:rPr>
                <w:b/>
                <w:bCs/>
              </w:rPr>
              <w:t xml:space="preserve">CI 97.5%</w:t>
            </w:r>
          </w:p>
        </w:tc>
      </w:tr>
      <w:tr>
        <w:tc>
          <w:tcPr/>
          <w:p>
            <w:pPr>
              <w:pStyle w:val="Compact"/>
              <w:jc w:val="left"/>
            </w:pPr>
            <w:r>
              <w:t xml:space="preserve">X2MTHETK</w:t>
            </w:r>
          </w:p>
        </w:tc>
        <w:tc>
          <w:tcPr/>
          <w:p>
            <w:pPr>
              <w:pStyle w:val="Compact"/>
              <w:jc w:val="center"/>
            </w:pPr>
            <w:r>
              <w:t xml:space="preserve">0.042</w:t>
            </w:r>
          </w:p>
        </w:tc>
        <w:tc>
          <w:tcPr/>
          <w:p>
            <w:pPr>
              <w:pStyle w:val="Compact"/>
              <w:jc w:val="center"/>
            </w:pPr>
            <w:r>
              <w:t xml:space="preserve">0.003</w:t>
            </w:r>
          </w:p>
        </w:tc>
        <w:tc>
          <w:tcPr/>
          <w:p>
            <w:pPr>
              <w:pStyle w:val="Compact"/>
              <w:jc w:val="center"/>
            </w:pPr>
            <w:r>
              <w:t xml:space="preserve">0.038</w:t>
            </w:r>
          </w:p>
        </w:tc>
        <w:tc>
          <w:tcPr/>
          <w:p>
            <w:pPr>
              <w:pStyle w:val="Compact"/>
              <w:jc w:val="center"/>
            </w:pPr>
            <w:r>
              <w:t xml:space="preserve">0.050</w:t>
            </w:r>
          </w:p>
        </w:tc>
      </w:tr>
      <w:tr>
        <w:tc>
          <w:tcPr/>
          <w:p>
            <w:pPr>
              <w:pStyle w:val="Compact"/>
              <w:jc w:val="left"/>
            </w:pPr>
            <w:r>
              <w:t xml:space="preserve">X2RTHETK</w:t>
            </w:r>
          </w:p>
        </w:tc>
        <w:tc>
          <w:tcPr/>
          <w:p>
            <w:pPr>
              <w:pStyle w:val="Compact"/>
              <w:jc w:val="center"/>
            </w:pPr>
            <w:r>
              <w:t xml:space="preserve">0.022</w:t>
            </w:r>
          </w:p>
        </w:tc>
        <w:tc>
          <w:tcPr/>
          <w:p>
            <w:pPr>
              <w:pStyle w:val="Compact"/>
              <w:jc w:val="center"/>
            </w:pPr>
            <w:r>
              <w:t xml:space="preserve">0.002</w:t>
            </w:r>
          </w:p>
        </w:tc>
        <w:tc>
          <w:tcPr/>
          <w:p>
            <w:pPr>
              <w:pStyle w:val="Compact"/>
              <w:jc w:val="center"/>
            </w:pPr>
            <w:r>
              <w:t xml:space="preserve">0.017</w:t>
            </w:r>
          </w:p>
        </w:tc>
        <w:tc>
          <w:tcPr/>
          <w:p>
            <w:pPr>
              <w:pStyle w:val="Compact"/>
              <w:jc w:val="center"/>
            </w:pPr>
            <w:r>
              <w:t xml:space="preserve">0.026</w:t>
            </w:r>
          </w:p>
        </w:tc>
      </w:tr>
      <w:tr>
        <w:tc>
          <w:tcPr/>
          <w:p>
            <w:pPr>
              <w:pStyle w:val="Compact"/>
              <w:jc w:val="left"/>
            </w:pPr>
            <w:r>
              <w:t xml:space="preserve">X4TCHAPP</w:t>
            </w:r>
          </w:p>
        </w:tc>
        <w:tc>
          <w:tcPr/>
          <w:p>
            <w:pPr>
              <w:pStyle w:val="Compact"/>
              <w:jc w:val="center"/>
            </w:pPr>
            <w:r>
              <w:t xml:space="preserve">0.016</w:t>
            </w:r>
          </w:p>
        </w:tc>
        <w:tc>
          <w:tcPr/>
          <w:p>
            <w:pPr>
              <w:pStyle w:val="Compact"/>
              <w:jc w:val="center"/>
            </w:pPr>
            <w:r>
              <w:t xml:space="preserve">0.003</w:t>
            </w:r>
          </w:p>
        </w:tc>
        <w:tc>
          <w:tcPr/>
          <w:p>
            <w:pPr>
              <w:pStyle w:val="Compact"/>
              <w:jc w:val="center"/>
            </w:pPr>
            <w:r>
              <w:t xml:space="preserve">0.012</w:t>
            </w:r>
          </w:p>
        </w:tc>
        <w:tc>
          <w:tcPr/>
          <w:p>
            <w:pPr>
              <w:pStyle w:val="Compact"/>
              <w:jc w:val="center"/>
            </w:pPr>
            <w:r>
              <w:t xml:space="preserve">0.022</w:t>
            </w:r>
          </w:p>
        </w:tc>
      </w:tr>
      <w:tr>
        <w:tc>
          <w:tcPr/>
          <w:p>
            <w:pPr>
              <w:pStyle w:val="Compact"/>
              <w:jc w:val="left"/>
            </w:pPr>
            <w:r>
              <w:t xml:space="preserve">X1SESQ5</w:t>
            </w:r>
          </w:p>
        </w:tc>
        <w:tc>
          <w:tcPr/>
          <w:p>
            <w:pPr>
              <w:pStyle w:val="Compact"/>
              <w:jc w:val="center"/>
            </w:pPr>
            <w:r>
              <w:t xml:space="preserve">0.013</w:t>
            </w:r>
          </w:p>
        </w:tc>
        <w:tc>
          <w:tcPr/>
          <w:p>
            <w:pPr>
              <w:pStyle w:val="Compact"/>
              <w:jc w:val="center"/>
            </w:pPr>
            <w:r>
              <w:t xml:space="preserve">0.003</w:t>
            </w:r>
          </w:p>
        </w:tc>
        <w:tc>
          <w:tcPr/>
          <w:p>
            <w:pPr>
              <w:pStyle w:val="Compact"/>
              <w:jc w:val="center"/>
            </w:pPr>
            <w:r>
              <w:t xml:space="preserve">0.007</w:t>
            </w:r>
          </w:p>
        </w:tc>
        <w:tc>
          <w:tcPr/>
          <w:p>
            <w:pPr>
              <w:pStyle w:val="Compact"/>
              <w:jc w:val="center"/>
            </w:pPr>
            <w:r>
              <w:t xml:space="preserve">0.019</w:t>
            </w:r>
          </w:p>
        </w:tc>
      </w:tr>
      <w:tr>
        <w:tc>
          <w:tcPr/>
          <w:p>
            <w:pPr>
              <w:pStyle w:val="Compact"/>
              <w:jc w:val="left"/>
            </w:pPr>
            <w:r>
              <w:t xml:space="preserve">X1MTHETK</w:t>
            </w:r>
          </w:p>
        </w:tc>
        <w:tc>
          <w:tcPr/>
          <w:p>
            <w:pPr>
              <w:pStyle w:val="Compact"/>
              <w:jc w:val="center"/>
            </w:pPr>
            <w:r>
              <w:t xml:space="preserve">0.011</w:t>
            </w:r>
          </w:p>
        </w:tc>
        <w:tc>
          <w:tcPr/>
          <w:p>
            <w:pPr>
              <w:pStyle w:val="Compact"/>
              <w:jc w:val="center"/>
            </w:pPr>
            <w:r>
              <w:t xml:space="preserve">0.002</w:t>
            </w:r>
          </w:p>
        </w:tc>
        <w:tc>
          <w:tcPr/>
          <w:p>
            <w:pPr>
              <w:pStyle w:val="Compact"/>
              <w:jc w:val="center"/>
            </w:pPr>
            <w:r>
              <w:t xml:space="preserve">0.007</w:t>
            </w:r>
          </w:p>
        </w:tc>
        <w:tc>
          <w:tcPr/>
          <w:p>
            <w:pPr>
              <w:pStyle w:val="Compact"/>
              <w:jc w:val="center"/>
            </w:pPr>
            <w:r>
              <w:t xml:space="preserve">0.016</w:t>
            </w:r>
          </w:p>
        </w:tc>
      </w:tr>
      <w:tr>
        <w:tc>
          <w:tcPr/>
          <w:p>
            <w:pPr>
              <w:pStyle w:val="Compact"/>
              <w:jc w:val="left"/>
            </w:pPr>
            <w:r>
              <w:t xml:space="preserve">X6DCCSSCR</w:t>
            </w:r>
          </w:p>
        </w:tc>
        <w:tc>
          <w:tcPr/>
          <w:p>
            <w:pPr>
              <w:pStyle w:val="Compact"/>
              <w:jc w:val="center"/>
            </w:pPr>
            <w:r>
              <w:t xml:space="preserve">0.002</w:t>
            </w:r>
          </w:p>
        </w:tc>
        <w:tc>
          <w:tcPr/>
          <w:p>
            <w:pPr>
              <w:pStyle w:val="Compact"/>
              <w:jc w:val="center"/>
            </w:pPr>
            <w:r>
              <w:t xml:space="preserve">0.001</w:t>
            </w:r>
          </w:p>
        </w:tc>
        <w:tc>
          <w:tcPr/>
          <w:p>
            <w:pPr>
              <w:pStyle w:val="Compact"/>
              <w:jc w:val="center"/>
            </w:pPr>
            <m:oMath>
              <m:r>
                <m:rPr>
                  <m:sty m:val="p"/>
                </m:rPr>
                <m:t>−</m:t>
              </m:r>
            </m:oMath>
            <w:r>
              <w:t xml:space="preserve">0.001</w:t>
            </w:r>
          </w:p>
        </w:tc>
        <w:tc>
          <w:tcPr/>
          <w:p>
            <w:pPr>
              <w:pStyle w:val="Compact"/>
              <w:jc w:val="center"/>
            </w:pPr>
            <w:r>
              <w:t xml:space="preserve">0.003</w:t>
            </w:r>
          </w:p>
        </w:tc>
      </w:tr>
      <w:tr>
        <w:tc>
          <w:tcPr/>
          <w:p>
            <w:pPr>
              <w:pStyle w:val="Compact"/>
              <w:jc w:val="left"/>
            </w:pPr>
            <w:r>
              <w:t xml:space="preserve">X1RTHETK</w:t>
            </w:r>
          </w:p>
        </w:tc>
        <w:tc>
          <w:tcPr/>
          <w:p>
            <w:pPr>
              <w:pStyle w:val="Compact"/>
              <w:jc w:val="center"/>
            </w:pPr>
            <w:r>
              <w:t xml:space="preserve">0.000</w:t>
            </w:r>
          </w:p>
        </w:tc>
        <w:tc>
          <w:tcPr/>
          <w:p>
            <w:pPr>
              <w:pStyle w:val="Compact"/>
              <w:jc w:val="center"/>
            </w:pPr>
            <w:r>
              <w:t xml:space="preserve">0.000</w:t>
            </w:r>
          </w:p>
        </w:tc>
        <w:tc>
          <w:tcPr/>
          <w:p>
            <w:pPr>
              <w:pStyle w:val="Compact"/>
              <w:jc w:val="center"/>
            </w:pPr>
            <m:oMath>
              <m:r>
                <m:rPr>
                  <m:sty m:val="p"/>
                </m:rPr>
                <m:t>−</m:t>
              </m:r>
            </m:oMath>
            <w:r>
              <w:t xml:space="preserve">0.001</w:t>
            </w:r>
          </w:p>
        </w:tc>
        <w:tc>
          <w:tcPr/>
          <w:p>
            <w:pPr>
              <w:pStyle w:val="Compact"/>
              <w:jc w:val="center"/>
            </w:pPr>
            <w:r>
              <w:t xml:space="preserve">0.001</w:t>
            </w:r>
          </w:p>
        </w:tc>
      </w:tr>
      <w:tr>
        <w:tc>
          <w:tcPr/>
          <w:p>
            <w:pPr>
              <w:pStyle w:val="Compact"/>
              <w:jc w:val="left"/>
            </w:pPr>
            <w:r>
              <w:t xml:space="preserve">X1TCHAPP</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X2TCHAPP</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X_RACETH_R</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X12LANGST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X_CHSEX_R</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bookmarkEnd w:id="47"/>
    <w:bookmarkStart w:id="48" w:name="tab:temporal_calibration"/>
    <w:p>
      <w:pPr>
        <w:pStyle w:val="TableCaption"/>
      </w:pPr>
      <w:r>
        <w:rPr>
          <w:b/>
          <w:bCs/>
        </w:rPr>
        <w:t xml:space="preserve">Table S3.</w:t>
      </w:r>
      <w:r>
        <w:t xml:space="preserve"> </w:t>
      </w:r>
      <w:r>
        <w:t xml:space="preserve">Calibration Error Across Temporal Scenarios. Expected Calibration Error (ECE), Maximum Calibration Error (MCE), and Brier score for each demographic group under each temporal prediction scenario. ECE Ratio is computed relative to the White reference group within each scenario. Black students consistently show the highest ECE ratios (5–7</w:t>
      </w:r>
      <m:oMath>
        <m:r>
          <m:rPr>
            <m:sty m:val="p"/>
          </m:rPr>
          <m:t>×</m:t>
        </m:r>
      </m:oMath>
      <w:r>
        <w:t xml:space="preserve"> </w:t>
      </w:r>
      <w:r>
        <w:t xml:space="preserve">White), and this disparity worsens with additional longitudinal data.</w:t>
      </w:r>
    </w:p>
    <w:tbl>
      <w:tblPr>
        <w:tblStyle w:val="Table"/>
        <w:tblW w:type="auto" w:w="0"/>
        <w:tblLook w:firstRow="1" w:lastRow="0" w:firstColumn="0" w:lastColumn="0" w:noHBand="0" w:noVBand="0" w:val="0020"/>
        <w:tblCaption w:val="Table S3. Calibration Error Across Temporal Scenarios. Expected Calibration Error (ECE), Maximum Calibration Error (MCE), and Brier score for each demographic group under each temporal prediction scenario. ECE Ratio is computed relative to the White reference group within each scenario. Black students consistently show the highest ECE ratios (5–7\times White), and this disparity worsens with additional longitudinal data."/>
      </w:tblPr>
      <w:tblGrid>
        <w:gridCol w:w="1131"/>
        <w:gridCol w:w="1131"/>
        <w:gridCol w:w="1131"/>
        <w:gridCol w:w="1131"/>
        <w:gridCol w:w="1131"/>
        <w:gridCol w:w="1131"/>
        <w:gridCol w:w="1131"/>
      </w:tblGrid>
      <w:tr>
        <w:trPr>
          <w:tblHeader w:val="on"/>
        </w:trPr>
        <w:tc>
          <w:tcPr/>
          <w:p>
            <w:pPr>
              <w:pStyle w:val="Compact"/>
              <w:jc w:val="left"/>
            </w:pPr>
            <w:r>
              <w:rPr>
                <w:b/>
                <w:bCs/>
              </w:rPr>
              <w:t xml:space="preserve">Scenario</w:t>
            </w:r>
          </w:p>
        </w:tc>
        <w:tc>
          <w:tcPr/>
          <w:p>
            <w:pPr>
              <w:pStyle w:val="Compact"/>
              <w:jc w:val="left"/>
            </w:pPr>
            <w:r>
              <w:rPr>
                <w:b/>
                <w:bCs/>
              </w:rPr>
              <w:t xml:space="preserve">Group</w:t>
            </w:r>
          </w:p>
        </w:tc>
        <w:tc>
          <w:tcPr/>
          <w:p>
            <w:pPr>
              <w:pStyle w:val="Compact"/>
              <w:jc w:val="right"/>
            </w:pPr>
            <w:r>
              <w:rPr>
                <w:b/>
                <w:bCs/>
              </w:rPr>
              <w:t xml:space="preserve">N</w:t>
            </w:r>
          </w:p>
        </w:tc>
        <w:tc>
          <w:tcPr/>
          <w:p>
            <w:pPr>
              <w:pStyle w:val="Compact"/>
              <w:jc w:val="center"/>
            </w:pPr>
            <w:r>
              <w:rPr>
                <w:b/>
                <w:bCs/>
              </w:rPr>
              <w:t xml:space="preserve">ECE</w:t>
            </w:r>
          </w:p>
        </w:tc>
        <w:tc>
          <w:tcPr/>
          <w:p>
            <w:pPr>
              <w:pStyle w:val="Compact"/>
              <w:jc w:val="center"/>
            </w:pPr>
            <w:r>
              <w:rPr>
                <w:b/>
                <w:bCs/>
              </w:rPr>
              <w:t xml:space="preserve">MCE</w:t>
            </w:r>
          </w:p>
        </w:tc>
        <w:tc>
          <w:tcPr/>
          <w:p>
            <w:pPr>
              <w:pStyle w:val="Compact"/>
              <w:jc w:val="center"/>
            </w:pPr>
            <w:r>
              <w:rPr>
                <w:b/>
                <w:bCs/>
              </w:rPr>
              <w:t xml:space="preserve">Brier</w:t>
            </w:r>
          </w:p>
        </w:tc>
        <w:tc>
          <w:tcPr/>
          <w:p>
            <w:pPr>
              <w:pStyle w:val="Compact"/>
              <w:jc w:val="right"/>
            </w:pPr>
            <w:r>
              <w:rPr>
                <w:b/>
                <w:bCs/>
              </w:rPr>
              <w:t xml:space="preserve">ECE Ratio</w:t>
            </w:r>
          </w:p>
        </w:tc>
      </w:tr>
      <w:tr>
        <w:tc>
          <w:tcPr>
            <w:vMerge w:val="restart"/>
          </w:tcPr>
          <w:p>
            <w:pPr>
              <w:pStyle w:val="Compact"/>
              <w:jc w:val="left"/>
            </w:pPr>
            <w:r>
              <w:t xml:space="preserve">K Fall Only</w:t>
            </w:r>
          </w:p>
        </w:tc>
        <w:tc>
          <w:tcPr/>
          <w:p>
            <w:pPr>
              <w:pStyle w:val="Compact"/>
              <w:jc w:val="left"/>
            </w:pPr>
            <w:r>
              <w:t xml:space="preserve">White</w:t>
            </w:r>
          </w:p>
        </w:tc>
        <w:tc>
          <w:tcPr/>
          <w:p>
            <w:pPr>
              <w:pStyle w:val="Compact"/>
              <w:jc w:val="right"/>
            </w:pPr>
            <w:r>
              <w:t xml:space="preserve">1,458</w:t>
            </w:r>
          </w:p>
        </w:tc>
        <w:tc>
          <w:tcPr/>
          <w:p>
            <w:pPr>
              <w:pStyle w:val="Compact"/>
              <w:jc w:val="center"/>
            </w:pPr>
            <w:r>
              <w:t xml:space="preserve">0.015</w:t>
            </w:r>
          </w:p>
        </w:tc>
        <w:tc>
          <w:tcPr/>
          <w:p>
            <w:pPr>
              <w:pStyle w:val="Compact"/>
              <w:jc w:val="center"/>
            </w:pPr>
            <w:r>
              <w:t xml:space="preserve">0.337</w:t>
            </w:r>
          </w:p>
        </w:tc>
        <w:tc>
          <w:tcPr/>
          <w:p>
            <w:pPr>
              <w:pStyle w:val="Compact"/>
              <w:jc w:val="center"/>
            </w:pPr>
            <w:r>
              <w:t xml:space="preserve">0.088</w:t>
            </w:r>
          </w:p>
        </w:tc>
        <w:tc>
          <w:tcPr/>
          <w:p>
            <w:pPr>
              <w:pStyle w:val="Compact"/>
              <w:jc w:val="right"/>
            </w:pPr>
            <w:r>
              <w:t xml:space="preserve">1.00</w:t>
            </w:r>
          </w:p>
        </w:tc>
      </w:tr>
      <w:tr>
        <w:tc>
          <w:tcPr>
            <w:gridSpan w:val="1"/>
            <w:vMerge w:val="continue"/>
          </w:tcPr>
          <w:p>
            <w:pPr/>
          </w:p>
        </w:tc>
        <w:tc>
          <w:tcPr/>
          <w:p>
            <w:pPr>
              <w:pStyle w:val="Compact"/>
              <w:jc w:val="left"/>
            </w:pPr>
            <w:r>
              <w:t xml:space="preserve">Hispanic</w:t>
            </w:r>
          </w:p>
        </w:tc>
        <w:tc>
          <w:tcPr/>
          <w:p>
            <w:pPr>
              <w:pStyle w:val="Compact"/>
              <w:jc w:val="right"/>
            </w:pPr>
            <w:r>
              <w:t xml:space="preserve">629</w:t>
            </w:r>
          </w:p>
        </w:tc>
        <w:tc>
          <w:tcPr/>
          <w:p>
            <w:pPr>
              <w:pStyle w:val="Compact"/>
              <w:jc w:val="center"/>
            </w:pPr>
            <w:r>
              <w:t xml:space="preserve">0.027</w:t>
            </w:r>
          </w:p>
        </w:tc>
        <w:tc>
          <w:tcPr/>
          <w:p>
            <w:pPr>
              <w:pStyle w:val="Compact"/>
              <w:jc w:val="center"/>
            </w:pPr>
            <w:r>
              <w:t xml:space="preserve">0.089</w:t>
            </w:r>
          </w:p>
        </w:tc>
        <w:tc>
          <w:tcPr/>
          <w:p>
            <w:pPr>
              <w:pStyle w:val="Compact"/>
              <w:jc w:val="center"/>
            </w:pPr>
            <w:r>
              <w:t xml:space="preserve">0.167</w:t>
            </w:r>
          </w:p>
        </w:tc>
        <w:tc>
          <w:tcPr/>
          <w:p>
            <w:pPr>
              <w:pStyle w:val="Compact"/>
              <w:jc w:val="right"/>
            </w:pPr>
            <w:r>
              <w:t xml:space="preserve">1.73</w:t>
            </w:r>
          </w:p>
        </w:tc>
      </w:tr>
      <w:tr>
        <w:tc>
          <w:tcPr>
            <w:gridSpan w:val="1"/>
            <w:vMerge w:val="continue"/>
          </w:tcPr>
          <w:p>
            <w:pPr/>
          </w:p>
        </w:tc>
        <w:tc>
          <w:tcPr/>
          <w:p>
            <w:pPr>
              <w:pStyle w:val="Compact"/>
              <w:jc w:val="left"/>
            </w:pPr>
            <w:r>
              <w:t xml:space="preserve">Other</w:t>
            </w:r>
          </w:p>
        </w:tc>
        <w:tc>
          <w:tcPr/>
          <w:p>
            <w:pPr>
              <w:pStyle w:val="Compact"/>
              <w:jc w:val="right"/>
            </w:pPr>
            <w:r>
              <w:t xml:space="preserve">213</w:t>
            </w:r>
          </w:p>
        </w:tc>
        <w:tc>
          <w:tcPr/>
          <w:p>
            <w:pPr>
              <w:pStyle w:val="Compact"/>
              <w:jc w:val="center"/>
            </w:pPr>
            <w:r>
              <w:t xml:space="preserve">0.021</w:t>
            </w:r>
          </w:p>
        </w:tc>
        <w:tc>
          <w:tcPr/>
          <w:p>
            <w:pPr>
              <w:pStyle w:val="Compact"/>
              <w:jc w:val="center"/>
            </w:pPr>
            <w:r>
              <w:t xml:space="preserve">0.301</w:t>
            </w:r>
          </w:p>
        </w:tc>
        <w:tc>
          <w:tcPr/>
          <w:p>
            <w:pPr>
              <w:pStyle w:val="Compact"/>
              <w:jc w:val="center"/>
            </w:pPr>
            <w:r>
              <w:t xml:space="preserve">0.084</w:t>
            </w:r>
          </w:p>
        </w:tc>
        <w:tc>
          <w:tcPr/>
          <w:p>
            <w:pPr>
              <w:pStyle w:val="Compact"/>
              <w:jc w:val="right"/>
            </w:pPr>
            <w:r>
              <w:t xml:space="preserve">1.37</w:t>
            </w:r>
          </w:p>
        </w:tc>
      </w:tr>
      <w:tr>
        <w:tc>
          <w:tcPr>
            <w:gridSpan w:val="1"/>
            <w:vMerge w:val="continue"/>
          </w:tcPr>
          <w:p>
            <w:pPr/>
          </w:p>
        </w:tc>
        <w:tc>
          <w:tcPr/>
          <w:p>
            <w:pPr>
              <w:pStyle w:val="Compact"/>
              <w:jc w:val="left"/>
            </w:pPr>
            <w:r>
              <w:t xml:space="preserve">Black</w:t>
            </w:r>
          </w:p>
        </w:tc>
        <w:tc>
          <w:tcPr/>
          <w:p>
            <w:pPr>
              <w:pStyle w:val="Compact"/>
              <w:jc w:val="right"/>
            </w:pPr>
            <w:r>
              <w:t xml:space="preserve">301</w:t>
            </w:r>
          </w:p>
        </w:tc>
        <w:tc>
          <w:tcPr/>
          <w:p>
            <w:pPr>
              <w:pStyle w:val="Compact"/>
              <w:jc w:val="center"/>
            </w:pPr>
            <w:r>
              <w:t xml:space="preserve">0.098</w:t>
            </w:r>
          </w:p>
        </w:tc>
        <w:tc>
          <w:tcPr/>
          <w:p>
            <w:pPr>
              <w:pStyle w:val="Compact"/>
              <w:jc w:val="center"/>
            </w:pPr>
            <w:r>
              <w:t xml:space="preserve">0.579</w:t>
            </w:r>
          </w:p>
        </w:tc>
        <w:tc>
          <w:tcPr/>
          <w:p>
            <w:pPr>
              <w:pStyle w:val="Compact"/>
              <w:jc w:val="center"/>
            </w:pPr>
            <w:r>
              <w:t xml:space="preserve">0.195</w:t>
            </w:r>
          </w:p>
        </w:tc>
        <w:tc>
          <w:tcPr/>
          <w:p>
            <w:pPr>
              <w:pStyle w:val="Compact"/>
              <w:jc w:val="right"/>
            </w:pPr>
            <w:r>
              <w:t xml:space="preserve">6.36</w:t>
            </w:r>
          </w:p>
        </w:tc>
      </w:tr>
      <w:tr>
        <w:tc>
          <w:tcPr/>
          <w:p>
            <w:pPr>
              <w:pStyle w:val="Compact"/>
            </w:pPr>
          </w:p>
        </w:tc>
        <w:tc>
          <w:tcPr/>
          <w:p>
            <w:pPr>
              <w:pStyle w:val="Compact"/>
              <w:jc w:val="left"/>
            </w:pPr>
            <w:r>
              <w:t xml:space="preserve">White</w:t>
            </w:r>
          </w:p>
        </w:tc>
        <w:tc>
          <w:tcPr/>
          <w:p>
            <w:pPr>
              <w:pStyle w:val="Compact"/>
              <w:jc w:val="right"/>
            </w:pPr>
            <w:r>
              <w:t xml:space="preserve">1,458</w:t>
            </w:r>
          </w:p>
        </w:tc>
        <w:tc>
          <w:tcPr/>
          <w:p>
            <w:pPr>
              <w:pStyle w:val="Compact"/>
              <w:jc w:val="center"/>
            </w:pPr>
            <w:r>
              <w:t xml:space="preserve">0.016</w:t>
            </w:r>
          </w:p>
        </w:tc>
        <w:tc>
          <w:tcPr/>
          <w:p>
            <w:pPr>
              <w:pStyle w:val="Compact"/>
              <w:jc w:val="center"/>
            </w:pPr>
            <w:r>
              <w:t xml:space="preserve">0.246</w:t>
            </w:r>
          </w:p>
        </w:tc>
        <w:tc>
          <w:tcPr/>
          <w:p>
            <w:pPr>
              <w:pStyle w:val="Compact"/>
              <w:jc w:val="center"/>
            </w:pPr>
            <w:r>
              <w:t xml:space="preserve">0.083</w:t>
            </w:r>
          </w:p>
        </w:tc>
        <w:tc>
          <w:tcPr/>
          <w:p>
            <w:pPr>
              <w:pStyle w:val="Compact"/>
              <w:jc w:val="right"/>
            </w:pPr>
            <w:r>
              <w:t xml:space="preserve">1.00</w:t>
            </w:r>
          </w:p>
        </w:tc>
      </w:tr>
      <w:tr>
        <w:tc>
          <w:tcPr/>
          <w:p>
            <w:pPr>
              <w:pStyle w:val="Compact"/>
            </w:pPr>
          </w:p>
        </w:tc>
        <w:tc>
          <w:tcPr/>
          <w:p>
            <w:pPr>
              <w:pStyle w:val="Compact"/>
              <w:jc w:val="left"/>
            </w:pPr>
            <w:r>
              <w:t xml:space="preserve">Hispanic</w:t>
            </w:r>
          </w:p>
        </w:tc>
        <w:tc>
          <w:tcPr/>
          <w:p>
            <w:pPr>
              <w:pStyle w:val="Compact"/>
              <w:jc w:val="right"/>
            </w:pPr>
            <w:r>
              <w:t xml:space="preserve">629</w:t>
            </w:r>
          </w:p>
        </w:tc>
        <w:tc>
          <w:tcPr/>
          <w:p>
            <w:pPr>
              <w:pStyle w:val="Compact"/>
              <w:jc w:val="center"/>
            </w:pPr>
            <w:r>
              <w:t xml:space="preserve">0.039</w:t>
            </w:r>
          </w:p>
        </w:tc>
        <w:tc>
          <w:tcPr/>
          <w:p>
            <w:pPr>
              <w:pStyle w:val="Compact"/>
              <w:jc w:val="center"/>
            </w:pPr>
            <w:r>
              <w:t xml:space="preserve">0.124</w:t>
            </w:r>
          </w:p>
        </w:tc>
        <w:tc>
          <w:tcPr/>
          <w:p>
            <w:pPr>
              <w:pStyle w:val="Compact"/>
              <w:jc w:val="center"/>
            </w:pPr>
            <w:r>
              <w:t xml:space="preserve">0.158</w:t>
            </w:r>
          </w:p>
        </w:tc>
        <w:tc>
          <w:tcPr/>
          <w:p>
            <w:pPr>
              <w:pStyle w:val="Compact"/>
              <w:jc w:val="right"/>
            </w:pPr>
            <w:r>
              <w:t xml:space="preserve">2.47</w:t>
            </w:r>
          </w:p>
        </w:tc>
      </w:tr>
      <w:tr>
        <w:tc>
          <w:tcPr/>
          <w:p>
            <w:pPr>
              <w:pStyle w:val="Compact"/>
            </w:pPr>
          </w:p>
        </w:tc>
        <w:tc>
          <w:tcPr/>
          <w:p>
            <w:pPr>
              <w:pStyle w:val="Compact"/>
              <w:jc w:val="left"/>
            </w:pPr>
            <w:r>
              <w:t xml:space="preserve">Other</w:t>
            </w:r>
          </w:p>
        </w:tc>
        <w:tc>
          <w:tcPr/>
          <w:p>
            <w:pPr>
              <w:pStyle w:val="Compact"/>
              <w:jc w:val="right"/>
            </w:pPr>
            <w:r>
              <w:t xml:space="preserve">213</w:t>
            </w:r>
          </w:p>
        </w:tc>
        <w:tc>
          <w:tcPr/>
          <w:p>
            <w:pPr>
              <w:pStyle w:val="Compact"/>
              <w:jc w:val="center"/>
            </w:pPr>
            <w:r>
              <w:t xml:space="preserve">0.035</w:t>
            </w:r>
          </w:p>
        </w:tc>
        <w:tc>
          <w:tcPr/>
          <w:p>
            <w:pPr>
              <w:pStyle w:val="Compact"/>
              <w:jc w:val="center"/>
            </w:pPr>
            <w:r>
              <w:t xml:space="preserve">0.715</w:t>
            </w:r>
          </w:p>
        </w:tc>
        <w:tc>
          <w:tcPr/>
          <w:p>
            <w:pPr>
              <w:pStyle w:val="Compact"/>
              <w:jc w:val="center"/>
            </w:pPr>
            <w:r>
              <w:t xml:space="preserve">0.084</w:t>
            </w:r>
          </w:p>
        </w:tc>
        <w:tc>
          <w:tcPr/>
          <w:p>
            <w:pPr>
              <w:pStyle w:val="Compact"/>
              <w:jc w:val="right"/>
            </w:pPr>
            <w:r>
              <w:t xml:space="preserve">2.17</w:t>
            </w:r>
          </w:p>
        </w:tc>
      </w:tr>
      <w:tr>
        <w:tc>
          <w:tcPr/>
          <w:p>
            <w:pPr>
              <w:pStyle w:val="Compact"/>
            </w:pPr>
          </w:p>
        </w:tc>
        <w:tc>
          <w:tcPr/>
          <w:p>
            <w:pPr>
              <w:pStyle w:val="Compact"/>
              <w:jc w:val="left"/>
            </w:pPr>
            <w:r>
              <w:t xml:space="preserve">Black</w:t>
            </w:r>
          </w:p>
        </w:tc>
        <w:tc>
          <w:tcPr/>
          <w:p>
            <w:pPr>
              <w:pStyle w:val="Compact"/>
              <w:jc w:val="right"/>
            </w:pPr>
            <w:r>
              <w:t xml:space="preserve">301</w:t>
            </w:r>
          </w:p>
        </w:tc>
        <w:tc>
          <w:tcPr/>
          <w:p>
            <w:pPr>
              <w:pStyle w:val="Compact"/>
              <w:jc w:val="center"/>
            </w:pPr>
            <w:r>
              <w:t xml:space="preserve">0.077</w:t>
            </w:r>
          </w:p>
        </w:tc>
        <w:tc>
          <w:tcPr/>
          <w:p>
            <w:pPr>
              <w:pStyle w:val="Compact"/>
              <w:jc w:val="center"/>
            </w:pPr>
            <w:r>
              <w:t xml:space="preserve">0.262</w:t>
            </w:r>
          </w:p>
        </w:tc>
        <w:tc>
          <w:tcPr/>
          <w:p>
            <w:pPr>
              <w:pStyle w:val="Compact"/>
              <w:jc w:val="center"/>
            </w:pPr>
            <w:r>
              <w:t xml:space="preserve">0.182</w:t>
            </w:r>
          </w:p>
        </w:tc>
        <w:tc>
          <w:tcPr/>
          <w:p>
            <w:pPr>
              <w:pStyle w:val="Compact"/>
              <w:jc w:val="right"/>
            </w:pPr>
            <w:r>
              <w:t xml:space="preserve">4.85</w:t>
            </w:r>
          </w:p>
        </w:tc>
      </w:tr>
      <w:tr>
        <w:tc>
          <w:tcPr/>
          <w:p>
            <w:pPr>
              <w:pStyle w:val="Compact"/>
            </w:pPr>
          </w:p>
        </w:tc>
        <w:tc>
          <w:tcPr/>
          <w:p>
            <w:pPr>
              <w:pStyle w:val="Compact"/>
              <w:jc w:val="left"/>
            </w:pPr>
            <w:r>
              <w:t xml:space="preserve">White</w:t>
            </w:r>
          </w:p>
        </w:tc>
        <w:tc>
          <w:tcPr/>
          <w:p>
            <w:pPr>
              <w:pStyle w:val="Compact"/>
              <w:jc w:val="right"/>
            </w:pPr>
            <w:r>
              <w:t xml:space="preserve">1,458</w:t>
            </w:r>
          </w:p>
        </w:tc>
        <w:tc>
          <w:tcPr/>
          <w:p>
            <w:pPr>
              <w:pStyle w:val="Compact"/>
              <w:jc w:val="center"/>
            </w:pPr>
            <w:r>
              <w:t xml:space="preserve">0.017</w:t>
            </w:r>
          </w:p>
        </w:tc>
        <w:tc>
          <w:tcPr/>
          <w:p>
            <w:pPr>
              <w:pStyle w:val="Compact"/>
              <w:jc w:val="center"/>
            </w:pPr>
            <w:r>
              <w:t xml:space="preserve">0.181</w:t>
            </w:r>
          </w:p>
        </w:tc>
        <w:tc>
          <w:tcPr/>
          <w:p>
            <w:pPr>
              <w:pStyle w:val="Compact"/>
              <w:jc w:val="center"/>
            </w:pPr>
            <w:r>
              <w:t xml:space="preserve">0.082</w:t>
            </w:r>
          </w:p>
        </w:tc>
        <w:tc>
          <w:tcPr/>
          <w:p>
            <w:pPr>
              <w:pStyle w:val="Compact"/>
              <w:jc w:val="right"/>
            </w:pPr>
            <w:r>
              <w:t xml:space="preserve">1.00</w:t>
            </w:r>
          </w:p>
        </w:tc>
      </w:tr>
      <w:tr>
        <w:tc>
          <w:tcPr/>
          <w:p>
            <w:pPr>
              <w:pStyle w:val="Compact"/>
            </w:pPr>
          </w:p>
        </w:tc>
        <w:tc>
          <w:tcPr/>
          <w:p>
            <w:pPr>
              <w:pStyle w:val="Compact"/>
              <w:jc w:val="left"/>
            </w:pPr>
            <w:r>
              <w:t xml:space="preserve">Hispanic</w:t>
            </w:r>
          </w:p>
        </w:tc>
        <w:tc>
          <w:tcPr/>
          <w:p>
            <w:pPr>
              <w:pStyle w:val="Compact"/>
              <w:jc w:val="right"/>
            </w:pPr>
            <w:r>
              <w:t xml:space="preserve">629</w:t>
            </w:r>
          </w:p>
        </w:tc>
        <w:tc>
          <w:tcPr/>
          <w:p>
            <w:pPr>
              <w:pStyle w:val="Compact"/>
              <w:jc w:val="center"/>
            </w:pPr>
            <w:r>
              <w:t xml:space="preserve">0.044</w:t>
            </w:r>
          </w:p>
        </w:tc>
        <w:tc>
          <w:tcPr/>
          <w:p>
            <w:pPr>
              <w:pStyle w:val="Compact"/>
              <w:jc w:val="center"/>
            </w:pPr>
            <w:r>
              <w:t xml:space="preserve">0.091</w:t>
            </w:r>
          </w:p>
        </w:tc>
        <w:tc>
          <w:tcPr/>
          <w:p>
            <w:pPr>
              <w:pStyle w:val="Compact"/>
              <w:jc w:val="center"/>
            </w:pPr>
            <w:r>
              <w:t xml:space="preserve">0.156</w:t>
            </w:r>
          </w:p>
        </w:tc>
        <w:tc>
          <w:tcPr/>
          <w:p>
            <w:pPr>
              <w:pStyle w:val="Compact"/>
              <w:jc w:val="right"/>
            </w:pPr>
            <w:r>
              <w:t xml:space="preserve">2.57</w:t>
            </w:r>
          </w:p>
        </w:tc>
      </w:tr>
      <w:tr>
        <w:tc>
          <w:tcPr/>
          <w:p>
            <w:pPr>
              <w:pStyle w:val="Compact"/>
            </w:pPr>
          </w:p>
        </w:tc>
        <w:tc>
          <w:tcPr/>
          <w:p>
            <w:pPr>
              <w:pStyle w:val="Compact"/>
              <w:jc w:val="left"/>
            </w:pPr>
            <w:r>
              <w:t xml:space="preserve">Other</w:t>
            </w:r>
          </w:p>
        </w:tc>
        <w:tc>
          <w:tcPr/>
          <w:p>
            <w:pPr>
              <w:pStyle w:val="Compact"/>
              <w:jc w:val="right"/>
            </w:pPr>
            <w:r>
              <w:t xml:space="preserve">213</w:t>
            </w:r>
          </w:p>
        </w:tc>
        <w:tc>
          <w:tcPr/>
          <w:p>
            <w:pPr>
              <w:pStyle w:val="Compact"/>
              <w:jc w:val="center"/>
            </w:pPr>
            <w:r>
              <w:t xml:space="preserve">0.035</w:t>
            </w:r>
          </w:p>
        </w:tc>
        <w:tc>
          <w:tcPr/>
          <w:p>
            <w:pPr>
              <w:pStyle w:val="Compact"/>
              <w:jc w:val="center"/>
            </w:pPr>
            <w:r>
              <w:t xml:space="preserve">0.742</w:t>
            </w:r>
          </w:p>
        </w:tc>
        <w:tc>
          <w:tcPr/>
          <w:p>
            <w:pPr>
              <w:pStyle w:val="Compact"/>
              <w:jc w:val="center"/>
            </w:pPr>
            <w:r>
              <w:t xml:space="preserve">0.088</w:t>
            </w:r>
          </w:p>
        </w:tc>
        <w:tc>
          <w:tcPr/>
          <w:p>
            <w:pPr>
              <w:pStyle w:val="Compact"/>
              <w:jc w:val="right"/>
            </w:pPr>
            <w:r>
              <w:t xml:space="preserve">2.04</w:t>
            </w:r>
          </w:p>
        </w:tc>
      </w:tr>
      <w:tr>
        <w:tc>
          <w:tcPr/>
          <w:p>
            <w:pPr>
              <w:pStyle w:val="Compact"/>
            </w:pPr>
          </w:p>
        </w:tc>
        <w:tc>
          <w:tcPr/>
          <w:p>
            <w:pPr>
              <w:pStyle w:val="Compact"/>
              <w:jc w:val="left"/>
            </w:pPr>
            <w:r>
              <w:t xml:space="preserve">Black</w:t>
            </w:r>
          </w:p>
        </w:tc>
        <w:tc>
          <w:tcPr/>
          <w:p>
            <w:pPr>
              <w:pStyle w:val="Compact"/>
              <w:jc w:val="right"/>
            </w:pPr>
            <w:r>
              <w:t xml:space="preserve">301</w:t>
            </w:r>
          </w:p>
        </w:tc>
        <w:tc>
          <w:tcPr/>
          <w:p>
            <w:pPr>
              <w:pStyle w:val="Compact"/>
              <w:jc w:val="center"/>
            </w:pPr>
            <w:r>
              <w:t xml:space="preserve">0.099</w:t>
            </w:r>
          </w:p>
        </w:tc>
        <w:tc>
          <w:tcPr/>
          <w:p>
            <w:pPr>
              <w:pStyle w:val="Compact"/>
              <w:jc w:val="center"/>
            </w:pPr>
            <w:r>
              <w:t xml:space="preserve">0.220</w:t>
            </w:r>
          </w:p>
        </w:tc>
        <w:tc>
          <w:tcPr/>
          <w:p>
            <w:pPr>
              <w:pStyle w:val="Compact"/>
              <w:jc w:val="center"/>
            </w:pPr>
            <w:r>
              <w:t xml:space="preserve">0.183</w:t>
            </w:r>
          </w:p>
        </w:tc>
        <w:tc>
          <w:tcPr/>
          <w:p>
            <w:pPr>
              <w:pStyle w:val="Compact"/>
              <w:jc w:val="right"/>
            </w:pPr>
            <w:r>
              <w:t xml:space="preserve">5.79</w:t>
            </w:r>
          </w:p>
        </w:tc>
      </w:tr>
      <w:tr>
        <w:tc>
          <w:tcPr/>
          <w:p>
            <w:pPr>
              <w:pStyle w:val="Compact"/>
            </w:pPr>
          </w:p>
        </w:tc>
        <w:tc>
          <w:tcPr/>
          <w:p>
            <w:pPr>
              <w:pStyle w:val="Compact"/>
              <w:jc w:val="left"/>
            </w:pPr>
            <w:r>
              <w:t xml:space="preserve">White</w:t>
            </w:r>
          </w:p>
        </w:tc>
        <w:tc>
          <w:tcPr/>
          <w:p>
            <w:pPr>
              <w:pStyle w:val="Compact"/>
              <w:jc w:val="right"/>
            </w:pPr>
            <w:r>
              <w:t xml:space="preserve">1,458</w:t>
            </w:r>
          </w:p>
        </w:tc>
        <w:tc>
          <w:tcPr/>
          <w:p>
            <w:pPr>
              <w:pStyle w:val="Compact"/>
              <w:jc w:val="center"/>
            </w:pPr>
            <w:r>
              <w:t xml:space="preserve">0.015</w:t>
            </w:r>
          </w:p>
        </w:tc>
        <w:tc>
          <w:tcPr/>
          <w:p>
            <w:pPr>
              <w:pStyle w:val="Compact"/>
              <w:jc w:val="center"/>
            </w:pPr>
            <w:r>
              <w:t xml:space="preserve">0.142</w:t>
            </w:r>
          </w:p>
        </w:tc>
        <w:tc>
          <w:tcPr/>
          <w:p>
            <w:pPr>
              <w:pStyle w:val="Compact"/>
              <w:jc w:val="center"/>
            </w:pPr>
            <w:r>
              <w:t xml:space="preserve">0.082</w:t>
            </w:r>
          </w:p>
        </w:tc>
        <w:tc>
          <w:tcPr/>
          <w:p>
            <w:pPr>
              <w:pStyle w:val="Compact"/>
              <w:jc w:val="right"/>
            </w:pPr>
            <w:r>
              <w:t xml:space="preserve">1.00</w:t>
            </w:r>
          </w:p>
        </w:tc>
      </w:tr>
      <w:tr>
        <w:tc>
          <w:tcPr/>
          <w:p>
            <w:pPr>
              <w:pStyle w:val="Compact"/>
            </w:pPr>
          </w:p>
        </w:tc>
        <w:tc>
          <w:tcPr/>
          <w:p>
            <w:pPr>
              <w:pStyle w:val="Compact"/>
              <w:jc w:val="left"/>
            </w:pPr>
            <w:r>
              <w:t xml:space="preserve">Hispanic</w:t>
            </w:r>
          </w:p>
        </w:tc>
        <w:tc>
          <w:tcPr/>
          <w:p>
            <w:pPr>
              <w:pStyle w:val="Compact"/>
              <w:jc w:val="right"/>
            </w:pPr>
            <w:r>
              <w:t xml:space="preserve">629</w:t>
            </w:r>
          </w:p>
        </w:tc>
        <w:tc>
          <w:tcPr/>
          <w:p>
            <w:pPr>
              <w:pStyle w:val="Compact"/>
              <w:jc w:val="center"/>
            </w:pPr>
            <w:r>
              <w:t xml:space="preserve">0.041</w:t>
            </w:r>
          </w:p>
        </w:tc>
        <w:tc>
          <w:tcPr/>
          <w:p>
            <w:pPr>
              <w:pStyle w:val="Compact"/>
              <w:jc w:val="center"/>
            </w:pPr>
            <w:r>
              <w:t xml:space="preserve">0.119</w:t>
            </w:r>
          </w:p>
        </w:tc>
        <w:tc>
          <w:tcPr/>
          <w:p>
            <w:pPr>
              <w:pStyle w:val="Compact"/>
              <w:jc w:val="center"/>
            </w:pPr>
            <w:r>
              <w:t xml:space="preserve">0.156</w:t>
            </w:r>
          </w:p>
        </w:tc>
        <w:tc>
          <w:tcPr/>
          <w:p>
            <w:pPr>
              <w:pStyle w:val="Compact"/>
              <w:jc w:val="right"/>
            </w:pPr>
            <w:r>
              <w:t xml:space="preserve">2.71</w:t>
            </w:r>
          </w:p>
        </w:tc>
      </w:tr>
      <w:tr>
        <w:tc>
          <w:tcPr/>
          <w:p>
            <w:pPr>
              <w:pStyle w:val="Compact"/>
            </w:pPr>
          </w:p>
        </w:tc>
        <w:tc>
          <w:tcPr/>
          <w:p>
            <w:pPr>
              <w:pStyle w:val="Compact"/>
              <w:jc w:val="left"/>
            </w:pPr>
            <w:r>
              <w:t xml:space="preserve">Other</w:t>
            </w:r>
          </w:p>
        </w:tc>
        <w:tc>
          <w:tcPr/>
          <w:p>
            <w:pPr>
              <w:pStyle w:val="Compact"/>
              <w:jc w:val="right"/>
            </w:pPr>
            <w:r>
              <w:t xml:space="preserve">213</w:t>
            </w:r>
          </w:p>
        </w:tc>
        <w:tc>
          <w:tcPr/>
          <w:p>
            <w:pPr>
              <w:pStyle w:val="Compact"/>
              <w:jc w:val="center"/>
            </w:pPr>
            <w:r>
              <w:t xml:space="preserve">0.033</w:t>
            </w:r>
          </w:p>
        </w:tc>
        <w:tc>
          <w:tcPr/>
          <w:p>
            <w:pPr>
              <w:pStyle w:val="Compact"/>
              <w:jc w:val="center"/>
            </w:pPr>
            <w:r>
              <w:t xml:space="preserve">0.742</w:t>
            </w:r>
          </w:p>
        </w:tc>
        <w:tc>
          <w:tcPr/>
          <w:p>
            <w:pPr>
              <w:pStyle w:val="Compact"/>
              <w:jc w:val="center"/>
            </w:pPr>
            <w:r>
              <w:t xml:space="preserve">0.086</w:t>
            </w:r>
          </w:p>
        </w:tc>
        <w:tc>
          <w:tcPr/>
          <w:p>
            <w:pPr>
              <w:pStyle w:val="Compact"/>
              <w:jc w:val="right"/>
            </w:pPr>
            <w:r>
              <w:t xml:space="preserve">2.18</w:t>
            </w:r>
          </w:p>
        </w:tc>
      </w:tr>
      <w:tr>
        <w:tc>
          <w:tcPr/>
          <w:p>
            <w:pPr>
              <w:pStyle w:val="Compact"/>
            </w:pPr>
          </w:p>
        </w:tc>
        <w:tc>
          <w:tcPr/>
          <w:p>
            <w:pPr>
              <w:pStyle w:val="Compact"/>
              <w:jc w:val="left"/>
            </w:pPr>
            <w:r>
              <w:t xml:space="preserve">Black</w:t>
            </w:r>
          </w:p>
        </w:tc>
        <w:tc>
          <w:tcPr/>
          <w:p>
            <w:pPr>
              <w:pStyle w:val="Compact"/>
              <w:jc w:val="right"/>
            </w:pPr>
            <w:r>
              <w:t xml:space="preserve">301</w:t>
            </w:r>
          </w:p>
        </w:tc>
        <w:tc>
          <w:tcPr/>
          <w:p>
            <w:pPr>
              <w:pStyle w:val="Compact"/>
              <w:jc w:val="center"/>
            </w:pPr>
            <w:r>
              <w:t xml:space="preserve">0.100</w:t>
            </w:r>
          </w:p>
        </w:tc>
        <w:tc>
          <w:tcPr/>
          <w:p>
            <w:pPr>
              <w:pStyle w:val="Compact"/>
              <w:jc w:val="center"/>
            </w:pPr>
            <w:r>
              <w:t xml:space="preserve">0.224</w:t>
            </w:r>
          </w:p>
        </w:tc>
        <w:tc>
          <w:tcPr/>
          <w:p>
            <w:pPr>
              <w:pStyle w:val="Compact"/>
              <w:jc w:val="center"/>
            </w:pPr>
            <w:r>
              <w:t xml:space="preserve">0.184</w:t>
            </w:r>
          </w:p>
        </w:tc>
        <w:tc>
          <w:tcPr/>
          <w:p>
            <w:pPr>
              <w:pStyle w:val="Compact"/>
              <w:jc w:val="right"/>
            </w:pPr>
            <w:r>
              <w:t xml:space="preserve">6.60</w:t>
            </w:r>
          </w:p>
        </w:tc>
      </w:tr>
    </w:tbl>
    <w:bookmarkEnd w:id="48"/>
    <w:bookmarkStart w:id="49" w:name="tab:sensitivity_detail"/>
    <w:p>
      <w:pPr>
        <w:pStyle w:val="TableCaption"/>
      </w:pPr>
      <w:r>
        <w:rPr>
          <w:b/>
          <w:bCs/>
        </w:rPr>
        <w:t xml:space="preserve">Table S4.</w:t>
      </w:r>
      <w:r>
        <w:t xml:space="preserve"> </w:t>
      </w:r>
      <w:r>
        <w:t xml:space="preserve">Detailed Sensitivity Analysis: Fairness Metrics by At-Risk Threshold and Demographic Group (with 95% Bootstrap Confidence Intervals). This table supplements Table 9 in the main text by providing the group-level TPR, FPR, and PPV values underlying each threshold’s fairness criteria assessment.</w:t>
      </w:r>
    </w:p>
    <w:tbl>
      <w:tblPr>
        <w:tblStyle w:val="Table"/>
        <w:tblW w:type="auto" w:w="0"/>
        <w:tblLook w:firstRow="1" w:lastRow="0" w:firstColumn="0" w:lastColumn="0" w:noHBand="0" w:noVBand="0" w:val="0020"/>
        <w:tblCaption w:val="Table S4. Detailed Sensitivity Analysis: Fairness Metrics by At-Risk Threshold and Demographic Group (with 95% Bootstrap Confidence Intervals). This table supplements Table 9 in the main text by providing the group-level TPR, FPR, and PPV values underlying each threshold’s fairness criteria assessment."/>
      </w:tblPr>
      <w:tblGrid>
        <w:gridCol w:w="1320"/>
        <w:gridCol w:w="1320"/>
        <w:gridCol w:w="1320"/>
        <w:gridCol w:w="1320"/>
        <w:gridCol w:w="1320"/>
        <w:gridCol w:w="1320"/>
      </w:tblGrid>
      <w:tr>
        <w:trPr>
          <w:tblHeader w:val="on"/>
        </w:trPr>
        <w:tc>
          <w:tcPr/>
          <w:p>
            <w:pPr>
              <w:pStyle w:val="Compact"/>
              <w:jc w:val="center"/>
            </w:pPr>
            <w:r>
              <w:rPr>
                <w:b/>
                <w:bCs/>
              </w:rPr>
              <w:t xml:space="preserve">%ile</w:t>
            </w:r>
          </w:p>
        </w:tc>
        <w:tc>
          <w:tcPr/>
          <w:p>
            <w:pPr>
              <w:pStyle w:val="Compact"/>
              <w:jc w:val="left"/>
            </w:pPr>
            <w:r>
              <w:rPr>
                <w:b/>
                <w:bCs/>
              </w:rPr>
              <w:t xml:space="preserve">Group</w:t>
            </w:r>
          </w:p>
        </w:tc>
        <w:tc>
          <w:tcPr/>
          <w:p>
            <w:pPr>
              <w:pStyle w:val="Compact"/>
              <w:jc w:val="right"/>
            </w:pPr>
            <w:r>
              <w:rPr>
                <w:b/>
                <w:bCs/>
              </w:rPr>
              <w:t xml:space="preserve">N</w:t>
            </w:r>
          </w:p>
        </w:tc>
        <w:tc>
          <w:tcPr/>
          <w:p>
            <w:pPr>
              <w:pStyle w:val="Compact"/>
              <w:jc w:val="center"/>
            </w:pPr>
            <w:r>
              <w:rPr>
                <w:b/>
                <w:bCs/>
              </w:rPr>
              <w:t xml:space="preserve">TPR [95% CI]</w:t>
            </w:r>
          </w:p>
        </w:tc>
        <w:tc>
          <w:tcPr/>
          <w:p>
            <w:pPr>
              <w:pStyle w:val="Compact"/>
              <w:jc w:val="center"/>
            </w:pPr>
            <w:r>
              <w:rPr>
                <w:b/>
                <w:bCs/>
              </w:rPr>
              <w:t xml:space="preserve">FPR [95% CI]</w:t>
            </w:r>
          </w:p>
        </w:tc>
        <w:tc>
          <w:tcPr/>
          <w:p>
            <w:pPr>
              <w:pStyle w:val="Compact"/>
              <w:jc w:val="center"/>
            </w:pPr>
            <w:r>
              <w:rPr>
                <w:b/>
                <w:bCs/>
              </w:rPr>
              <w:t xml:space="preserve">PPV [95% CI]</w:t>
            </w:r>
          </w:p>
        </w:tc>
      </w:tr>
      <w:tr>
        <w:tc>
          <w:tcPr>
            <w:vMerge w:val="restart"/>
          </w:tcPr>
          <w:p>
            <w:pPr>
              <w:pStyle w:val="Compact"/>
              <w:jc w:val="center"/>
            </w:pPr>
            <w:r>
              <w:t xml:space="preserve">10th</w:t>
            </w:r>
          </w:p>
        </w:tc>
        <w:tc>
          <w:tcPr/>
          <w:p>
            <w:pPr>
              <w:pStyle w:val="Compact"/>
              <w:jc w:val="left"/>
            </w:pPr>
            <w:r>
              <w:t xml:space="preserve">White</w:t>
            </w:r>
          </w:p>
        </w:tc>
        <w:tc>
          <w:tcPr/>
          <w:p>
            <w:pPr>
              <w:pStyle w:val="Compact"/>
              <w:jc w:val="right"/>
            </w:pPr>
            <w:r>
              <w:t xml:space="preserve">1,505</w:t>
            </w:r>
          </w:p>
        </w:tc>
        <w:tc>
          <w:tcPr/>
          <w:p>
            <w:pPr>
              <w:pStyle w:val="Compact"/>
              <w:jc w:val="center"/>
            </w:pPr>
            <w:r>
              <w:t xml:space="preserve">0.050 [0.000, 0.106]</w:t>
            </w:r>
          </w:p>
        </w:tc>
        <w:tc>
          <w:tcPr/>
          <w:p>
            <w:pPr>
              <w:pStyle w:val="Compact"/>
              <w:jc w:val="center"/>
            </w:pPr>
            <w:r>
              <w:t xml:space="preserve">0.002 [0.000, 0.005]</w:t>
            </w:r>
          </w:p>
        </w:tc>
        <w:tc>
          <w:tcPr/>
          <w:p>
            <w:pPr>
              <w:pStyle w:val="Compact"/>
              <w:jc w:val="center"/>
            </w:pPr>
            <w:r>
              <w:t xml:space="preserve">0.490 [0.000, 1.000]</w:t>
            </w:r>
          </w:p>
        </w:tc>
      </w:tr>
      <w:tr>
        <w:tc>
          <w:tcPr>
            <w:gridSpan w:val="1"/>
            <w:vMerge w:val="continue"/>
          </w:tcPr>
          <w:p>
            <w:pPr/>
          </w:p>
        </w:tc>
        <w:tc>
          <w:tcPr/>
          <w:p>
            <w:pPr>
              <w:pStyle w:val="Compact"/>
              <w:jc w:val="left"/>
            </w:pPr>
            <w:r>
              <w:t xml:space="preserve">Hispanic</w:t>
            </w:r>
          </w:p>
        </w:tc>
        <w:tc>
          <w:tcPr/>
          <w:p>
            <w:pPr>
              <w:pStyle w:val="Compact"/>
              <w:jc w:val="right"/>
            </w:pPr>
            <w:r>
              <w:t xml:space="preserve">574</w:t>
            </w:r>
          </w:p>
        </w:tc>
        <w:tc>
          <w:tcPr/>
          <w:p>
            <w:pPr>
              <w:pStyle w:val="Compact"/>
              <w:jc w:val="center"/>
            </w:pPr>
            <w:r>
              <w:t xml:space="preserve">0.261 [0.171, 0.353]</w:t>
            </w:r>
          </w:p>
        </w:tc>
        <w:tc>
          <w:tcPr/>
          <w:p>
            <w:pPr>
              <w:pStyle w:val="Compact"/>
              <w:jc w:val="center"/>
            </w:pPr>
            <w:r>
              <w:t xml:space="preserve">0.012 [0.002, 0.022]</w:t>
            </w:r>
          </w:p>
        </w:tc>
        <w:tc>
          <w:tcPr/>
          <w:p>
            <w:pPr>
              <w:pStyle w:val="Compact"/>
              <w:jc w:val="center"/>
            </w:pPr>
            <w:r>
              <w:t xml:space="preserve">0.734 [0.562, 0.947]</w:t>
            </w:r>
          </w:p>
        </w:tc>
      </w:tr>
      <w:tr>
        <w:tc>
          <w:tcPr>
            <w:gridSpan w:val="1"/>
            <w:vMerge w:val="continue"/>
          </w:tcPr>
          <w:p>
            <w:pPr/>
          </w:p>
        </w:tc>
        <w:tc>
          <w:tcPr/>
          <w:p>
            <w:pPr>
              <w:pStyle w:val="Compact"/>
              <w:jc w:val="left"/>
            </w:pPr>
            <w:r>
              <w:t xml:space="preserve">Black</w:t>
            </w:r>
          </w:p>
        </w:tc>
        <w:tc>
          <w:tcPr/>
          <w:p>
            <w:pPr>
              <w:pStyle w:val="Compact"/>
              <w:jc w:val="right"/>
            </w:pPr>
            <w:r>
              <w:t xml:space="preserve">302</w:t>
            </w:r>
          </w:p>
        </w:tc>
        <w:tc>
          <w:tcPr/>
          <w:p>
            <w:pPr>
              <w:pStyle w:val="Compact"/>
              <w:jc w:val="center"/>
            </w:pPr>
            <w:r>
              <w:t xml:space="preserve">0.222 [0.108, 0.343]</w:t>
            </w:r>
          </w:p>
        </w:tc>
        <w:tc>
          <w:tcPr/>
          <w:p>
            <w:pPr>
              <w:pStyle w:val="Compact"/>
              <w:jc w:val="center"/>
            </w:pPr>
            <w:r>
              <w:t xml:space="preserve">0.003 [0.000, 0.011]</w:t>
            </w:r>
          </w:p>
        </w:tc>
        <w:tc>
          <w:tcPr/>
          <w:p>
            <w:pPr>
              <w:pStyle w:val="Compact"/>
              <w:jc w:val="center"/>
            </w:pPr>
            <w:r>
              <w:t xml:space="preserve">0.906 [0.714, 1.000]</w:t>
            </w:r>
          </w:p>
        </w:tc>
      </w:tr>
      <w:tr>
        <w:tc>
          <w:tcPr>
            <w:gridSpan w:val="1"/>
            <w:vMerge w:val="continue"/>
          </w:tcPr>
          <w:p>
            <w:pPr/>
          </w:p>
        </w:tc>
        <w:tc>
          <w:tcPr/>
          <w:p>
            <w:pPr>
              <w:pStyle w:val="Compact"/>
              <w:jc w:val="left"/>
            </w:pPr>
            <w:r>
              <w:t xml:space="preserve">Other</w:t>
            </w:r>
          </w:p>
        </w:tc>
        <w:tc>
          <w:tcPr/>
          <w:p>
            <w:pPr>
              <w:pStyle w:val="Compact"/>
              <w:jc w:val="right"/>
            </w:pPr>
            <w:r>
              <w:t xml:space="preserve">223</w:t>
            </w:r>
          </w:p>
        </w:tc>
        <w:tc>
          <w:tcPr/>
          <w:p>
            <w:pPr>
              <w:pStyle w:val="Compact"/>
              <w:jc w:val="center"/>
            </w:pPr>
            <w:r>
              <w:t xml:space="preserve">0.000 [0.000, 0.000]</w:t>
            </w:r>
          </w:p>
        </w:tc>
        <w:tc>
          <w:tcPr/>
          <w:p>
            <w:pPr>
              <w:pStyle w:val="Compact"/>
              <w:jc w:val="center"/>
            </w:pPr>
            <w:r>
              <w:t xml:space="preserve">0.000 [0.000, 0.000]</w:t>
            </w:r>
          </w:p>
        </w:tc>
        <w:tc>
          <w:tcPr/>
          <w:p>
            <w:pPr>
              <w:pStyle w:val="Compact"/>
              <w:jc w:val="center"/>
            </w:pPr>
            <w:r>
              <w:t xml:space="preserve">—</w:t>
            </w:r>
          </w:p>
        </w:tc>
      </w:tr>
      <w:tr>
        <w:tc>
          <w:tcPr>
            <w:gridSpan w:val="1"/>
            <w:vMerge w:val="continue"/>
          </w:tcPr>
          <w:p>
            <w:pPr/>
          </w:p>
        </w:tc>
        <w:tc>
          <w:tcPr/>
          <w:p>
            <w:pPr>
              <w:pStyle w:val="Compact"/>
              <w:jc w:val="left"/>
            </w:pPr>
            <w:r>
              <w:t xml:space="preserve">Asian</w:t>
            </w:r>
          </w:p>
        </w:tc>
        <w:tc>
          <w:tcPr/>
          <w:p>
            <w:pPr>
              <w:pStyle w:val="Compact"/>
              <w:jc w:val="right"/>
            </w:pPr>
            <w:r>
              <w:t xml:space="preserve">11</w:t>
            </w:r>
          </w:p>
        </w:tc>
        <w:tc>
          <w:tcPr/>
          <w:p>
            <w:pPr>
              <w:pStyle w:val="Compact"/>
              <w:jc w:val="center"/>
            </w:pPr>
            <w:r>
              <w:t xml:space="preserve">0.000 [0.000, 0.000]</w:t>
            </w:r>
          </w:p>
        </w:tc>
        <w:tc>
          <w:tcPr/>
          <w:p>
            <w:pPr>
              <w:pStyle w:val="Compact"/>
              <w:jc w:val="center"/>
            </w:pPr>
            <w:r>
              <w:t xml:space="preserve">0.000 [0.000, 0.000]</w:t>
            </w:r>
          </w:p>
        </w:tc>
        <w:tc>
          <w:tcPr/>
          <w:p>
            <w:pPr>
              <w:pStyle w:val="Compact"/>
              <w:jc w:val="center"/>
            </w:pPr>
            <w:r>
              <w:t xml:space="preserve">—</w:t>
            </w:r>
          </w:p>
        </w:tc>
      </w:tr>
      <w:tr>
        <w:tc>
          <w:tcPr/>
          <w:p>
            <w:pPr>
              <w:pStyle w:val="Compact"/>
            </w:pPr>
          </w:p>
        </w:tc>
        <w:tc>
          <w:tcPr/>
          <w:p>
            <w:pPr>
              <w:pStyle w:val="Compact"/>
              <w:jc w:val="left"/>
            </w:pPr>
            <w:r>
              <w:t xml:space="preserve">White</w:t>
            </w:r>
          </w:p>
        </w:tc>
        <w:tc>
          <w:tcPr/>
          <w:p>
            <w:pPr>
              <w:pStyle w:val="Compact"/>
              <w:jc w:val="right"/>
            </w:pPr>
            <w:r>
              <w:t xml:space="preserve">1,420</w:t>
            </w:r>
          </w:p>
        </w:tc>
        <w:tc>
          <w:tcPr/>
          <w:p>
            <w:pPr>
              <w:pStyle w:val="Compact"/>
              <w:jc w:val="center"/>
            </w:pPr>
            <w:r>
              <w:t xml:space="preserve">0.164 [0.098, 0.225]</w:t>
            </w:r>
          </w:p>
        </w:tc>
        <w:tc>
          <w:tcPr/>
          <w:p>
            <w:pPr>
              <w:pStyle w:val="Compact"/>
              <w:jc w:val="center"/>
            </w:pPr>
            <w:r>
              <w:t xml:space="preserve">0.009 [0.003, 0.013]</w:t>
            </w:r>
          </w:p>
        </w:tc>
        <w:tc>
          <w:tcPr/>
          <w:p>
            <w:pPr>
              <w:pStyle w:val="Compact"/>
              <w:jc w:val="center"/>
            </w:pPr>
            <w:r>
              <w:t xml:space="preserve">0.651 [0.500, 0.834]</w:t>
            </w:r>
          </w:p>
        </w:tc>
      </w:tr>
      <w:tr>
        <w:tc>
          <w:tcPr/>
          <w:p>
            <w:pPr>
              <w:pStyle w:val="Compact"/>
            </w:pPr>
          </w:p>
        </w:tc>
        <w:tc>
          <w:tcPr/>
          <w:p>
            <w:pPr>
              <w:pStyle w:val="Compact"/>
              <w:jc w:val="left"/>
            </w:pPr>
            <w:r>
              <w:t xml:space="preserve">Hispanic</w:t>
            </w:r>
          </w:p>
        </w:tc>
        <w:tc>
          <w:tcPr/>
          <w:p>
            <w:pPr>
              <w:pStyle w:val="Compact"/>
              <w:jc w:val="right"/>
            </w:pPr>
            <w:r>
              <w:t xml:space="preserve">653</w:t>
            </w:r>
          </w:p>
        </w:tc>
        <w:tc>
          <w:tcPr/>
          <w:p>
            <w:pPr>
              <w:pStyle w:val="Compact"/>
              <w:jc w:val="center"/>
            </w:pPr>
            <w:r>
              <w:t xml:space="preserve">0.407 [0.324, 0.484]</w:t>
            </w:r>
          </w:p>
        </w:tc>
        <w:tc>
          <w:tcPr/>
          <w:p>
            <w:pPr>
              <w:pStyle w:val="Compact"/>
              <w:jc w:val="center"/>
            </w:pPr>
            <w:r>
              <w:t xml:space="preserve">0.049 [0.030, 0.068]</w:t>
            </w:r>
          </w:p>
        </w:tc>
        <w:tc>
          <w:tcPr/>
          <w:p>
            <w:pPr>
              <w:pStyle w:val="Compact"/>
              <w:jc w:val="center"/>
            </w:pPr>
            <w:r>
              <w:t xml:space="preserve">0.704 [0.612, 0.800]</w:t>
            </w:r>
          </w:p>
        </w:tc>
      </w:tr>
      <w:tr>
        <w:tc>
          <w:tcPr/>
          <w:p>
            <w:pPr>
              <w:pStyle w:val="Compact"/>
            </w:pPr>
          </w:p>
        </w:tc>
        <w:tc>
          <w:tcPr/>
          <w:p>
            <w:pPr>
              <w:pStyle w:val="Compact"/>
              <w:jc w:val="left"/>
            </w:pPr>
            <w:r>
              <w:t xml:space="preserve">Black</w:t>
            </w:r>
          </w:p>
        </w:tc>
        <w:tc>
          <w:tcPr/>
          <w:p>
            <w:pPr>
              <w:pStyle w:val="Compact"/>
              <w:jc w:val="right"/>
            </w:pPr>
            <w:r>
              <w:t xml:space="preserve">308</w:t>
            </w:r>
          </w:p>
        </w:tc>
        <w:tc>
          <w:tcPr/>
          <w:p>
            <w:pPr>
              <w:pStyle w:val="Compact"/>
              <w:jc w:val="center"/>
            </w:pPr>
            <w:r>
              <w:t xml:space="preserve">0.296 [0.186, 0.417]</w:t>
            </w:r>
          </w:p>
        </w:tc>
        <w:tc>
          <w:tcPr/>
          <w:p>
            <w:pPr>
              <w:pStyle w:val="Compact"/>
              <w:jc w:val="center"/>
            </w:pPr>
            <w:r>
              <w:t xml:space="preserve">0.118 [0.077, 0.164]</w:t>
            </w:r>
          </w:p>
        </w:tc>
        <w:tc>
          <w:tcPr/>
          <w:p>
            <w:pPr>
              <w:pStyle w:val="Compact"/>
              <w:jc w:val="center"/>
            </w:pPr>
            <w:r>
              <w:t xml:space="preserve">0.420 [0.269, 0.568]</w:t>
            </w:r>
          </w:p>
        </w:tc>
      </w:tr>
      <w:tr>
        <w:tc>
          <w:tcPr/>
          <w:p>
            <w:pPr>
              <w:pStyle w:val="Compact"/>
            </w:pPr>
          </w:p>
        </w:tc>
        <w:tc>
          <w:tcPr/>
          <w:p>
            <w:pPr>
              <w:pStyle w:val="Compact"/>
              <w:jc w:val="left"/>
            </w:pPr>
            <w:r>
              <w:t xml:space="preserve">Other</w:t>
            </w:r>
          </w:p>
        </w:tc>
        <w:tc>
          <w:tcPr/>
          <w:p>
            <w:pPr>
              <w:pStyle w:val="Compact"/>
              <w:jc w:val="right"/>
            </w:pPr>
            <w:r>
              <w:t xml:space="preserve">217</w:t>
            </w:r>
          </w:p>
        </w:tc>
        <w:tc>
          <w:tcPr/>
          <w:p>
            <w:pPr>
              <w:pStyle w:val="Compact"/>
              <w:jc w:val="center"/>
            </w:pPr>
            <w:r>
              <w:t xml:space="preserve">0.063 [0.000, 0.222]</w:t>
            </w:r>
          </w:p>
        </w:tc>
        <w:tc>
          <w:tcPr/>
          <w:p>
            <w:pPr>
              <w:pStyle w:val="Compact"/>
              <w:jc w:val="center"/>
            </w:pPr>
            <w:r>
              <w:t xml:space="preserve">0.000 [0.000, 0.000]</w:t>
            </w:r>
          </w:p>
        </w:tc>
        <w:tc>
          <w:tcPr/>
          <w:p>
            <w:pPr>
              <w:pStyle w:val="Compact"/>
              <w:jc w:val="center"/>
            </w:pPr>
            <w:r>
              <w:t xml:space="preserve">1.000 [1.000, 1.000]</w:t>
            </w:r>
          </w:p>
        </w:tc>
      </w:tr>
      <w:tr>
        <w:tc>
          <w:tcPr/>
          <w:p>
            <w:pPr>
              <w:pStyle w:val="Compact"/>
            </w:pPr>
          </w:p>
        </w:tc>
        <w:tc>
          <w:tcPr/>
          <w:p>
            <w:pPr>
              <w:pStyle w:val="Compact"/>
              <w:jc w:val="left"/>
            </w:pPr>
            <w:r>
              <w:t xml:space="preserve">Asian</w:t>
            </w:r>
          </w:p>
        </w:tc>
        <w:tc>
          <w:tcPr/>
          <w:p>
            <w:pPr>
              <w:pStyle w:val="Compact"/>
              <w:jc w:val="right"/>
            </w:pPr>
            <w:r>
              <w:t xml:space="preserve">12</w:t>
            </w:r>
          </w:p>
        </w:tc>
        <w:tc>
          <w:tcPr/>
          <w:p>
            <w:pPr>
              <w:pStyle w:val="Compact"/>
              <w:jc w:val="center"/>
            </w:pPr>
            <w:r>
              <w:t xml:space="preserve">0.521 [0.000, 1.000]</w:t>
            </w:r>
          </w:p>
        </w:tc>
        <w:tc>
          <w:tcPr/>
          <w:p>
            <w:pPr>
              <w:pStyle w:val="Compact"/>
              <w:jc w:val="center"/>
            </w:pPr>
            <w:r>
              <w:t xml:space="preserve">0.255 [0.000, 0.625]</w:t>
            </w:r>
          </w:p>
        </w:tc>
        <w:tc>
          <w:tcPr/>
          <w:p>
            <w:pPr>
              <w:pStyle w:val="Compact"/>
              <w:jc w:val="center"/>
            </w:pPr>
            <w:r>
              <w:t xml:space="preserve">0.513 [0.000, 1.000]</w:t>
            </w:r>
          </w:p>
        </w:tc>
      </w:tr>
      <w:tr>
        <w:tc>
          <w:tcPr/>
          <w:p>
            <w:pPr>
              <w:pStyle w:val="Compact"/>
            </w:pPr>
          </w:p>
        </w:tc>
        <w:tc>
          <w:tcPr/>
          <w:p>
            <w:pPr>
              <w:pStyle w:val="Compact"/>
              <w:jc w:val="left"/>
            </w:pPr>
            <w:r>
              <w:t xml:space="preserve">White</w:t>
            </w:r>
          </w:p>
        </w:tc>
        <w:tc>
          <w:tcPr/>
          <w:p>
            <w:pPr>
              <w:pStyle w:val="Compact"/>
              <w:jc w:val="right"/>
            </w:pPr>
            <w:r>
              <w:t xml:space="preserve">1,462</w:t>
            </w:r>
          </w:p>
        </w:tc>
        <w:tc>
          <w:tcPr/>
          <w:p>
            <w:pPr>
              <w:pStyle w:val="Compact"/>
              <w:jc w:val="center"/>
            </w:pPr>
            <w:r>
              <w:t xml:space="preserve">0.170 [0.122, 0.219]</w:t>
            </w:r>
          </w:p>
        </w:tc>
        <w:tc>
          <w:tcPr/>
          <w:p>
            <w:pPr>
              <w:pStyle w:val="Compact"/>
              <w:jc w:val="center"/>
            </w:pPr>
            <w:r>
              <w:t xml:space="preserve">0.012 [0.007, 0.018]</w:t>
            </w:r>
          </w:p>
        </w:tc>
        <w:tc>
          <w:tcPr/>
          <w:p>
            <w:pPr>
              <w:pStyle w:val="Compact"/>
              <w:jc w:val="center"/>
            </w:pPr>
            <w:r>
              <w:t xml:space="preserve">0.660 [0.500, 0.775]</w:t>
            </w:r>
          </w:p>
        </w:tc>
      </w:tr>
      <w:tr>
        <w:tc>
          <w:tcPr/>
          <w:p>
            <w:pPr>
              <w:pStyle w:val="Compact"/>
            </w:pPr>
          </w:p>
        </w:tc>
        <w:tc>
          <w:tcPr/>
          <w:p>
            <w:pPr>
              <w:pStyle w:val="Compact"/>
              <w:jc w:val="left"/>
            </w:pPr>
            <w:r>
              <w:t xml:space="preserve">Hispanic</w:t>
            </w:r>
          </w:p>
        </w:tc>
        <w:tc>
          <w:tcPr/>
          <w:p>
            <w:pPr>
              <w:pStyle w:val="Compact"/>
              <w:jc w:val="right"/>
            </w:pPr>
            <w:r>
              <w:t xml:space="preserve">623</w:t>
            </w:r>
          </w:p>
        </w:tc>
        <w:tc>
          <w:tcPr/>
          <w:p>
            <w:pPr>
              <w:pStyle w:val="Compact"/>
              <w:jc w:val="center"/>
            </w:pPr>
            <w:r>
              <w:t xml:space="preserve">0.409 [0.343, 0.479]</w:t>
            </w:r>
          </w:p>
        </w:tc>
        <w:tc>
          <w:tcPr/>
          <w:p>
            <w:pPr>
              <w:pStyle w:val="Compact"/>
              <w:jc w:val="center"/>
            </w:pPr>
            <w:r>
              <w:t xml:space="preserve">0.072 [0.053, 0.095]</w:t>
            </w:r>
          </w:p>
        </w:tc>
        <w:tc>
          <w:tcPr/>
          <w:p>
            <w:pPr>
              <w:pStyle w:val="Compact"/>
              <w:jc w:val="center"/>
            </w:pPr>
            <w:r>
              <w:t xml:space="preserve">0.704 [0.619, 0.765]</w:t>
            </w:r>
          </w:p>
        </w:tc>
      </w:tr>
      <w:tr>
        <w:tc>
          <w:tcPr/>
          <w:p>
            <w:pPr>
              <w:pStyle w:val="Compact"/>
            </w:pPr>
          </w:p>
        </w:tc>
        <w:tc>
          <w:tcPr/>
          <w:p>
            <w:pPr>
              <w:pStyle w:val="Compact"/>
              <w:jc w:val="left"/>
            </w:pPr>
            <w:r>
              <w:t xml:space="preserve">Black</w:t>
            </w:r>
          </w:p>
        </w:tc>
        <w:tc>
          <w:tcPr/>
          <w:p>
            <w:pPr>
              <w:pStyle w:val="Compact"/>
              <w:jc w:val="right"/>
            </w:pPr>
            <w:r>
              <w:t xml:space="preserve">300</w:t>
            </w:r>
          </w:p>
        </w:tc>
        <w:tc>
          <w:tcPr/>
          <w:p>
            <w:pPr>
              <w:pStyle w:val="Compact"/>
              <w:jc w:val="center"/>
            </w:pPr>
            <w:r>
              <w:t xml:space="preserve">0.296 [0.207, 0.388]</w:t>
            </w:r>
          </w:p>
        </w:tc>
        <w:tc>
          <w:tcPr/>
          <w:p>
            <w:pPr>
              <w:pStyle w:val="Compact"/>
              <w:jc w:val="center"/>
            </w:pPr>
            <w:r>
              <w:t xml:space="preserve">0.103 [0.063, 0.142]</w:t>
            </w:r>
          </w:p>
        </w:tc>
        <w:tc>
          <w:tcPr/>
          <w:p>
            <w:pPr>
              <w:pStyle w:val="Compact"/>
              <w:jc w:val="center"/>
            </w:pPr>
            <w:r>
              <w:t xml:space="preserve">0.487 [0.325, 0.632]</w:t>
            </w:r>
          </w:p>
        </w:tc>
      </w:tr>
      <w:tr>
        <w:tc>
          <w:tcPr/>
          <w:p>
            <w:pPr>
              <w:pStyle w:val="Compact"/>
            </w:pPr>
          </w:p>
        </w:tc>
        <w:tc>
          <w:tcPr/>
          <w:p>
            <w:pPr>
              <w:pStyle w:val="Compact"/>
              <w:jc w:val="left"/>
            </w:pPr>
            <w:r>
              <w:t xml:space="preserve">Other</w:t>
            </w:r>
          </w:p>
        </w:tc>
        <w:tc>
          <w:tcPr/>
          <w:p>
            <w:pPr>
              <w:pStyle w:val="Compact"/>
              <w:jc w:val="right"/>
            </w:pPr>
            <w:r>
              <w:t xml:space="preserve">225</w:t>
            </w:r>
          </w:p>
        </w:tc>
        <w:tc>
          <w:tcPr/>
          <w:p>
            <w:pPr>
              <w:pStyle w:val="Compact"/>
              <w:jc w:val="center"/>
            </w:pPr>
            <w:r>
              <w:t xml:space="preserve">0.258 [0.074, 0.445]</w:t>
            </w:r>
          </w:p>
        </w:tc>
        <w:tc>
          <w:tcPr/>
          <w:p>
            <w:pPr>
              <w:pStyle w:val="Compact"/>
              <w:jc w:val="center"/>
            </w:pPr>
            <w:r>
              <w:t xml:space="preserve">0.011 [0.000, 0.026]</w:t>
            </w:r>
          </w:p>
        </w:tc>
        <w:tc>
          <w:tcPr/>
          <w:p>
            <w:pPr>
              <w:pStyle w:val="Compact"/>
              <w:jc w:val="center"/>
            </w:pPr>
            <w:r>
              <w:t xml:space="preserve">0.758 [0.428, 1.000]</w:t>
            </w:r>
          </w:p>
        </w:tc>
      </w:tr>
      <w:tr>
        <w:tc>
          <w:tcPr/>
          <w:p>
            <w:pPr>
              <w:pStyle w:val="Compact"/>
            </w:pPr>
          </w:p>
        </w:tc>
        <w:tc>
          <w:tcPr/>
          <w:p>
            <w:pPr>
              <w:pStyle w:val="Compact"/>
              <w:jc w:val="left"/>
            </w:pPr>
            <w:r>
              <w:t xml:space="preserve">Asian</w:t>
            </w:r>
          </w:p>
        </w:tc>
        <w:tc>
          <w:tcPr/>
          <w:p>
            <w:pPr>
              <w:pStyle w:val="Compact"/>
              <w:jc w:val="right"/>
            </w:pPr>
            <w:r>
              <w:t xml:space="preserve">8</w:t>
            </w:r>
          </w:p>
        </w:tc>
        <w:tc>
          <w:tcPr/>
          <w:p>
            <w:pPr>
              <w:pStyle w:val="Compact"/>
              <w:jc w:val="center"/>
            </w:pPr>
            <w:r>
              <w:t xml:space="preserve">0.760 [0.250, 1.000]</w:t>
            </w:r>
          </w:p>
        </w:tc>
        <w:tc>
          <w:tcPr/>
          <w:p>
            <w:pPr>
              <w:pStyle w:val="Compact"/>
              <w:jc w:val="center"/>
            </w:pPr>
            <w:r>
              <w:t xml:space="preserve">0.000 [0.000, 0.000]</w:t>
            </w:r>
          </w:p>
        </w:tc>
        <w:tc>
          <w:tcPr/>
          <w:p>
            <w:pPr>
              <w:pStyle w:val="Compact"/>
              <w:jc w:val="center"/>
            </w:pPr>
            <w:r>
              <w:t xml:space="preserve">1.000 [1.000, 1.000]</w:t>
            </w:r>
          </w:p>
        </w:tc>
      </w:tr>
      <w:tr>
        <w:tc>
          <w:tcPr/>
          <w:p>
            <w:pPr>
              <w:pStyle w:val="Compact"/>
            </w:pPr>
          </w:p>
        </w:tc>
        <w:tc>
          <w:tcPr/>
          <w:p>
            <w:pPr>
              <w:pStyle w:val="Compact"/>
              <w:jc w:val="left"/>
            </w:pPr>
            <w:r>
              <w:t xml:space="preserve">White</w:t>
            </w:r>
          </w:p>
        </w:tc>
        <w:tc>
          <w:tcPr/>
          <w:p>
            <w:pPr>
              <w:pStyle w:val="Compact"/>
              <w:jc w:val="right"/>
            </w:pPr>
            <w:r>
              <w:t xml:space="preserve">1,431</w:t>
            </w:r>
          </w:p>
        </w:tc>
        <w:tc>
          <w:tcPr/>
          <w:p>
            <w:pPr>
              <w:pStyle w:val="Compact"/>
              <w:jc w:val="center"/>
            </w:pPr>
            <w:r>
              <w:t xml:space="preserve">0.258 [0.201, 0.317]</w:t>
            </w:r>
          </w:p>
        </w:tc>
        <w:tc>
          <w:tcPr/>
          <w:p>
            <w:pPr>
              <w:pStyle w:val="Compact"/>
              <w:jc w:val="center"/>
            </w:pPr>
            <w:r>
              <w:t xml:space="preserve">0.029 [0.019, 0.037]</w:t>
            </w:r>
          </w:p>
        </w:tc>
        <w:tc>
          <w:tcPr/>
          <w:p>
            <w:pPr>
              <w:pStyle w:val="Compact"/>
              <w:jc w:val="center"/>
            </w:pPr>
            <w:r>
              <w:t xml:space="preserve">0.620 [0.536, 0.721]</w:t>
            </w:r>
          </w:p>
        </w:tc>
      </w:tr>
      <w:tr>
        <w:tc>
          <w:tcPr/>
          <w:p>
            <w:pPr>
              <w:pStyle w:val="Compact"/>
            </w:pPr>
          </w:p>
        </w:tc>
        <w:tc>
          <w:tcPr/>
          <w:p>
            <w:pPr>
              <w:pStyle w:val="Compact"/>
              <w:jc w:val="left"/>
            </w:pPr>
            <w:r>
              <w:t xml:space="preserve">Hispanic</w:t>
            </w:r>
          </w:p>
        </w:tc>
        <w:tc>
          <w:tcPr/>
          <w:p>
            <w:pPr>
              <w:pStyle w:val="Compact"/>
              <w:jc w:val="right"/>
            </w:pPr>
            <w:r>
              <w:t xml:space="preserve">624</w:t>
            </w:r>
          </w:p>
        </w:tc>
        <w:tc>
          <w:tcPr/>
          <w:p>
            <w:pPr>
              <w:pStyle w:val="Compact"/>
              <w:jc w:val="center"/>
            </w:pPr>
            <w:r>
              <w:t xml:space="preserve">0.499 [0.433, 0.565]</w:t>
            </w:r>
          </w:p>
        </w:tc>
        <w:tc>
          <w:tcPr/>
          <w:p>
            <w:pPr>
              <w:pStyle w:val="Compact"/>
              <w:jc w:val="center"/>
            </w:pPr>
            <w:r>
              <w:t xml:space="preserve">0.132 [0.101, 0.163]</w:t>
            </w:r>
          </w:p>
        </w:tc>
        <w:tc>
          <w:tcPr/>
          <w:p>
            <w:pPr>
              <w:pStyle w:val="Compact"/>
              <w:jc w:val="center"/>
            </w:pPr>
            <w:r>
              <w:t xml:space="preserve">0.681 [0.623, 0.745]</w:t>
            </w:r>
          </w:p>
        </w:tc>
      </w:tr>
      <w:tr>
        <w:tc>
          <w:tcPr/>
          <w:p>
            <w:pPr>
              <w:pStyle w:val="Compact"/>
            </w:pPr>
          </w:p>
        </w:tc>
        <w:tc>
          <w:tcPr/>
          <w:p>
            <w:pPr>
              <w:pStyle w:val="Compact"/>
              <w:jc w:val="left"/>
            </w:pPr>
            <w:r>
              <w:t xml:space="preserve">Black</w:t>
            </w:r>
          </w:p>
        </w:tc>
        <w:tc>
          <w:tcPr/>
          <w:p>
            <w:pPr>
              <w:pStyle w:val="Compact"/>
              <w:jc w:val="right"/>
            </w:pPr>
            <w:r>
              <w:t xml:space="preserve">310</w:t>
            </w:r>
          </w:p>
        </w:tc>
        <w:tc>
          <w:tcPr/>
          <w:p>
            <w:pPr>
              <w:pStyle w:val="Compact"/>
              <w:jc w:val="center"/>
            </w:pPr>
            <w:r>
              <w:t xml:space="preserve">0.442 [0.351, 0.543]</w:t>
            </w:r>
          </w:p>
        </w:tc>
        <w:tc>
          <w:tcPr/>
          <w:p>
            <w:pPr>
              <w:pStyle w:val="Compact"/>
              <w:jc w:val="center"/>
            </w:pPr>
            <w:r>
              <w:t xml:space="preserve">0.178 [0.134, 0.229]</w:t>
            </w:r>
          </w:p>
        </w:tc>
        <w:tc>
          <w:tcPr/>
          <w:p>
            <w:pPr>
              <w:pStyle w:val="Compact"/>
              <w:jc w:val="center"/>
            </w:pPr>
            <w:r>
              <w:t xml:space="preserve">0.543 [0.446, 0.647]</w:t>
            </w:r>
          </w:p>
        </w:tc>
      </w:tr>
      <w:tr>
        <w:tc>
          <w:tcPr/>
          <w:p>
            <w:pPr>
              <w:pStyle w:val="Compact"/>
            </w:pPr>
          </w:p>
        </w:tc>
        <w:tc>
          <w:tcPr/>
          <w:p>
            <w:pPr>
              <w:pStyle w:val="Compact"/>
              <w:jc w:val="left"/>
            </w:pPr>
            <w:r>
              <w:t xml:space="preserve">Other</w:t>
            </w:r>
          </w:p>
        </w:tc>
        <w:tc>
          <w:tcPr/>
          <w:p>
            <w:pPr>
              <w:pStyle w:val="Compact"/>
              <w:jc w:val="right"/>
            </w:pPr>
            <w:r>
              <w:t xml:space="preserve">223</w:t>
            </w:r>
          </w:p>
        </w:tc>
        <w:tc>
          <w:tcPr/>
          <w:p>
            <w:pPr>
              <w:pStyle w:val="Compact"/>
              <w:jc w:val="center"/>
            </w:pPr>
            <w:r>
              <w:t xml:space="preserve">0.109 [0.000, 0.226]</w:t>
            </w:r>
          </w:p>
        </w:tc>
        <w:tc>
          <w:tcPr/>
          <w:p>
            <w:pPr>
              <w:pStyle w:val="Compact"/>
              <w:jc w:val="center"/>
            </w:pPr>
            <w:r>
              <w:t xml:space="preserve">0.038 [0.010, 0.067]</w:t>
            </w:r>
          </w:p>
        </w:tc>
        <w:tc>
          <w:tcPr/>
          <w:p>
            <w:pPr>
              <w:pStyle w:val="Compact"/>
              <w:jc w:val="center"/>
            </w:pPr>
            <w:r>
              <w:t xml:space="preserve">0.287 [0.000, 0.626]</w:t>
            </w:r>
          </w:p>
        </w:tc>
      </w:tr>
      <w:tr>
        <w:tc>
          <w:tcPr/>
          <w:p>
            <w:pPr>
              <w:pStyle w:val="Compact"/>
            </w:pPr>
          </w:p>
        </w:tc>
        <w:tc>
          <w:tcPr/>
          <w:p>
            <w:pPr>
              <w:pStyle w:val="Compact"/>
              <w:jc w:val="left"/>
            </w:pPr>
            <w:r>
              <w:t xml:space="preserve">Asian</w:t>
            </w:r>
          </w:p>
        </w:tc>
        <w:tc>
          <w:tcPr/>
          <w:p>
            <w:pPr>
              <w:pStyle w:val="Compact"/>
              <w:jc w:val="right"/>
            </w:pPr>
            <w:r>
              <w:t xml:space="preserve">8</w:t>
            </w:r>
          </w:p>
        </w:tc>
        <w:tc>
          <w:tcPr/>
          <w:p>
            <w:pPr>
              <w:pStyle w:val="Compact"/>
              <w:jc w:val="center"/>
            </w:pPr>
            <w:r>
              <w:t xml:space="preserve">0.661 [0.000, 1.000]</w:t>
            </w:r>
          </w:p>
        </w:tc>
        <w:tc>
          <w:tcPr/>
          <w:p>
            <w:pPr>
              <w:pStyle w:val="Compact"/>
              <w:jc w:val="center"/>
            </w:pPr>
            <w:r>
              <w:t xml:space="preserve">0.185 [0.000, 0.500]</w:t>
            </w:r>
          </w:p>
        </w:tc>
        <w:tc>
          <w:tcPr/>
          <w:p>
            <w:pPr>
              <w:pStyle w:val="Compact"/>
              <w:jc w:val="center"/>
            </w:pPr>
            <w:r>
              <w:t xml:space="preserve">0.694 [0.000, 1.000]</w:t>
            </w:r>
          </w:p>
        </w:tc>
      </w:tr>
    </w:tbl>
    <w:bookmarkEnd w:id="49"/>
    <w:p>
      <w:pPr>
        <w:pStyle w:val="BodyText"/>
      </w:pPr>
      <w:r>
        <w:t xml:space="preserve">llrccc</w:t>
      </w:r>
      <w:r>
        <w:t xml:space="preserve"> </w:t>
      </w:r>
      <w:r>
        <w:rPr>
          <w:b/>
          <w:bCs/>
        </w:rPr>
        <w:t xml:space="preserve">Scenario</w:t>
      </w:r>
      <w:r>
        <w:t xml:space="preserve"> </w:t>
      </w:r>
      <w:r>
        <w:t xml:space="preserve">&amp;</w:t>
      </w:r>
      <w:r>
        <w:t xml:space="preserve"> </w:t>
      </w:r>
      <w:r>
        <w:rPr>
          <w:b/>
          <w:bCs/>
        </w:rPr>
        <w:t xml:space="preserve">Group</w:t>
      </w:r>
      <w:r>
        <w:t xml:space="preserve"> </w:t>
      </w:r>
      <w:r>
        <w:t xml:space="preserve">&amp;</w:t>
      </w:r>
      <w:r>
        <w:t xml:space="preserve"> </w:t>
      </w:r>
      <w:r>
        <w:rPr>
          <w:b/>
          <w:bCs/>
        </w:rPr>
        <w:t xml:space="preserve">N</w:t>
      </w:r>
      <w:r>
        <w:t xml:space="preserve"> </w:t>
      </w:r>
      <w:r>
        <w:t xml:space="preserve">&amp;</w:t>
      </w:r>
      <w:r>
        <w:t xml:space="preserve"> </w:t>
      </w:r>
      <w:r>
        <w:rPr>
          <w:b/>
          <w:bCs/>
        </w:rPr>
        <w:t xml:space="preserve">TPR [95% CI]</w:t>
      </w:r>
      <w:r>
        <w:t xml:space="preserve"> </w:t>
      </w:r>
      <w:r>
        <w:t xml:space="preserve">&amp;</w:t>
      </w:r>
      <w:r>
        <w:t xml:space="preserve"> </w:t>
      </w:r>
      <w:r>
        <w:rPr>
          <w:b/>
          <w:bCs/>
        </w:rPr>
        <w:t xml:space="preserve">FPR [95% CI]</w:t>
      </w:r>
      <w:r>
        <w:t xml:space="preserve"> </w:t>
      </w:r>
      <w:r>
        <w:t xml:space="preserve">&amp;</w:t>
      </w:r>
      <w:r>
        <w:t xml:space="preserve"> </w:t>
      </w:r>
      <w:r>
        <w:rPr>
          <w:b/>
          <w:bCs/>
        </w:rPr>
        <w:t xml:space="preserve">PPV [95% CI]</w:t>
      </w:r>
      <w:r>
        <w:br/>
      </w:r>
      <w:r>
        <w:t xml:space="preserve">&amp; White &amp; 1,458 &amp; 0.144 [0.099, 0.198] &amp; 0.010 [0.005, 0.016] &amp; 0.661 [0.500, 0.833]</w:t>
      </w:r>
      <w:r>
        <w:br/>
      </w:r>
      <w:r>
        <w:t xml:space="preserve">&amp; Hispanic &amp; 629 &amp; 0.352 [0.288, 0.418] &amp; 0.080 [0.055, 0.104] &amp; 0.639 [0.552, 0.738]</w:t>
      </w:r>
      <w:r>
        <w:br/>
      </w:r>
      <w:r>
        <w:t xml:space="preserve">&amp; Black &amp; 301 &amp; 0.211 [0.134, 0.301] &amp; 0.087 [0.047, 0.132] &amp; 0.497 [0.342, 0.675]</w:t>
      </w:r>
      <w:r>
        <w:br/>
      </w:r>
      <w:r>
        <w:t xml:space="preserve">&amp; Other &amp; 213 &amp; 0.141 [0.000, 0.333] &amp; 0.021 [0.005, 0.042] &amp; 0.423 [0.000, 0.751]</w:t>
      </w:r>
      <w:r>
        <w:br/>
      </w:r>
      <w:r>
        <w:t xml:space="preserve">&amp; White &amp; 1,458 &amp; 0.185 [0.135, 0.236] &amp; 0.013 [0.007, 0.020] &amp; 0.655 [0.512, 0.787]</w:t>
      </w:r>
      <w:r>
        <w:br/>
      </w:r>
      <w:r>
        <w:t xml:space="preserve">&amp; Hispanic &amp; 629 &amp; 0.346 [0.271, 0.421] &amp; 0.058 [0.038, 0.081] &amp; 0.705 [0.602, 0.794]</w:t>
      </w:r>
      <w:r>
        <w:br/>
      </w:r>
      <w:r>
        <w:t xml:space="preserve">&amp; Black &amp; 301 &amp; 0.287 [0.193, 0.377] &amp; 0.083 [0.050, 0.131] &amp; 0.584 [0.452, 0.732]</w:t>
      </w:r>
      <w:r>
        <w:br/>
      </w:r>
      <w:r>
        <w:t xml:space="preserve">&amp; Other &amp; 213 &amp; 0.097 [0.000, 0.251] &amp; 0.022 [0.005, 0.045] &amp; 0.330 [0.000, 0.715]</w:t>
      </w:r>
      <w:r>
        <w:br/>
      </w:r>
      <w:r>
        <w:t xml:space="preserve">&amp; White &amp; 1,458 &amp; 0.208 [0.153, 0.275] &amp; 0.016 [0.009, 0.022] &amp; 0.641 [0.524, 0.767]</w:t>
      </w:r>
      <w:r>
        <w:br/>
      </w:r>
      <w:r>
        <w:t xml:space="preserve">&amp; Hispanic &amp; 629 &amp; 0.364 [0.296, 0.436] &amp; 0.053 [0.033, 0.075] &amp; 0.734 [0.638, 0.822]</w:t>
      </w:r>
      <w:r>
        <w:br/>
      </w:r>
      <w:r>
        <w:t xml:space="preserve">&amp; Black &amp; 301 &amp; 0.334 [0.235, 0.421] &amp; 0.107 [0.071, 0.154] &amp; 0.557 [0.435, 0.685]</w:t>
      </w:r>
      <w:r>
        <w:br/>
      </w:r>
      <w:r>
        <w:t xml:space="preserve">&amp; Other &amp; 213 &amp; 0.097 [0.000, 0.251] &amp; 0.031 [0.010, 0.059] &amp; 0.261 [0.000, 0.573]</w:t>
      </w:r>
      <w:r>
        <w:br/>
      </w:r>
      <w:r>
        <w:t xml:space="preserve">&amp; White &amp; 1,458 &amp; 0.197 [0.147, 0.261] &amp; 0.016 [0.009, 0.024] &amp; 0.617 [0.500, 0.755]</w:t>
      </w:r>
      <w:r>
        <w:br/>
      </w:r>
      <w:r>
        <w:t xml:space="preserve">&amp; Hispanic &amp; 629 &amp; 0.364 [0.296, 0.436] &amp; 0.056 [0.034, 0.078] &amp; 0.724 [0.629, 0.815]</w:t>
      </w:r>
      <w:r>
        <w:br/>
      </w:r>
      <w:r>
        <w:t xml:space="preserve">&amp; Black &amp; 301 &amp; 0.321 [0.231, 0.409] &amp; 0.106 [0.068, 0.152] &amp; 0.549 [0.415, 0.680]</w:t>
      </w:r>
      <w:r>
        <w:br/>
      </w:r>
      <w:r>
        <w:t xml:space="preserve">&amp; Other &amp; 213 &amp; 0.097 [0.000, 0.251] &amp; 0.031 [0.010, 0.059] &amp; 0.261 [0.000, 0.573]</w:t>
      </w:r>
      <w:r>
        <w:br/>
      </w:r>
    </w:p>
    <w:bookmarkEnd w:id="50"/>
    <w:bookmarkStart w:id="57" w:name="s3.-math-outcome-comparison"/>
    <w:p>
      <w:pPr>
        <w:pStyle w:val="Heading1"/>
      </w:pPr>
      <w:r>
        <w:t xml:space="preserve">S3. Math Outcome Comparison</w:t>
      </w:r>
    </w:p>
    <w:p>
      <w:pPr>
        <w:pStyle w:val="FirstParagraph"/>
      </w:pPr>
      <w:r>
        <w:t xml:space="preserve">The main manuscript focuses on reading as the primary outcome, with math results summarized briefly. This section provides the full math outcome analysis.</w:t>
      </w:r>
    </w:p>
    <w:bookmarkStart w:id="52" w:name="s3.1-performance-comparison"/>
    <w:p>
      <w:pPr>
        <w:pStyle w:val="Heading2"/>
      </w:pPr>
      <w:r>
        <w:t xml:space="preserve">S3.1 Performance Comparison</w:t>
      </w:r>
    </w:p>
    <w:p>
      <w:pPr>
        <w:pStyle w:val="FirstParagraph"/>
      </w:pPr>
      <w:r>
        <w:t xml:space="preserve">Table S6 compares overall model performance between reading and math prediction tasks.</w:t>
      </w:r>
    </w:p>
    <w:bookmarkStart w:id="51" w:name="tab:outcome_performance"/>
    <w:p>
      <w:pPr>
        <w:pStyle w:val="TableCaption"/>
      </w:pPr>
      <w:r>
        <w:rPr>
          <w:b/>
          <w:bCs/>
        </w:rPr>
        <w:t xml:space="preserve">Table S6.</w:t>
      </w:r>
      <w:r>
        <w:t xml:space="preserve"> </w:t>
      </w:r>
      <w:r>
        <w:t xml:space="preserve">Model Performance Comparison: Reading vs. Math Outcomes. Math prediction (AUC = 0.867) substantially outperformed reading prediction (AUC = 0.848). The best-performing algorithm differed by outcome: elastic net for reading and logistic regression for math.</w:t>
      </w:r>
    </w:p>
    <w:tbl>
      <w:tblPr>
        <w:tblStyle w:val="Table"/>
        <w:tblW w:type="auto" w:w="0"/>
        <w:tblLook w:firstRow="1" w:lastRow="0" w:firstColumn="0" w:lastColumn="0" w:noHBand="0" w:noVBand="0" w:val="0020"/>
        <w:tblCaption w:val="Table S6. Model Performance Comparison: Reading vs. Math Outcomes. Math prediction (AUC = 0.867) substantially outperformed reading prediction (AUC = 0.848). The best-performing algorithm differed by outcome: elastic net for reading and logistic regression for math."/>
      </w:tblPr>
      <w:tblGrid>
        <w:gridCol w:w="1320"/>
        <w:gridCol w:w="1320"/>
        <w:gridCol w:w="1320"/>
        <w:gridCol w:w="1320"/>
        <w:gridCol w:w="1320"/>
        <w:gridCol w:w="1320"/>
      </w:tblGrid>
      <w:tr>
        <w:trPr>
          <w:tblHeader w:val="on"/>
        </w:trPr>
        <w:tc>
          <w:tcPr/>
          <w:p>
            <w:pPr>
              <w:pStyle w:val="Compact"/>
              <w:jc w:val="left"/>
            </w:pPr>
            <w:r>
              <w:rPr>
                <w:b/>
                <w:bCs/>
              </w:rPr>
              <w:t xml:space="preserve">Outcome</w:t>
            </w:r>
          </w:p>
        </w:tc>
        <w:tc>
          <w:tcPr/>
          <w:p>
            <w:pPr>
              <w:pStyle w:val="Compact"/>
              <w:jc w:val="left"/>
            </w:pPr>
            <w:r>
              <w:rPr>
                <w:b/>
                <w:bCs/>
              </w:rPr>
              <w:t xml:space="preserve">Best Model</w:t>
            </w:r>
          </w:p>
        </w:tc>
        <w:tc>
          <w:tcPr/>
          <w:p>
            <w:pPr>
              <w:pStyle w:val="Compact"/>
              <w:jc w:val="center"/>
            </w:pPr>
            <w:r>
              <w:rPr>
                <w:b/>
                <w:bCs/>
              </w:rPr>
              <w:t xml:space="preserve">AUC</w:t>
            </w:r>
          </w:p>
        </w:tc>
        <w:tc>
          <w:tcPr/>
          <w:p>
            <w:pPr>
              <w:pStyle w:val="Compact"/>
              <w:jc w:val="center"/>
            </w:pPr>
            <w:r>
              <w:rPr>
                <w:b/>
                <w:bCs/>
              </w:rPr>
              <w:t xml:space="preserve">Accuracy</w:t>
            </w:r>
          </w:p>
        </w:tc>
        <w:tc>
          <w:tcPr/>
          <w:p>
            <w:pPr>
              <w:pStyle w:val="Compact"/>
              <w:jc w:val="center"/>
            </w:pPr>
            <w:r>
              <w:rPr>
                <w:b/>
                <w:bCs/>
              </w:rPr>
              <w:t xml:space="preserve">F1</w:t>
            </w:r>
          </w:p>
        </w:tc>
        <w:tc>
          <w:tcPr/>
          <w:p>
            <w:pPr>
              <w:pStyle w:val="Compact"/>
              <w:jc w:val="center"/>
            </w:pPr>
            <w:r>
              <w:rPr>
                <w:b/>
                <w:bCs/>
              </w:rPr>
              <w:t xml:space="preserve">Recall</w:t>
            </w:r>
          </w:p>
        </w:tc>
      </w:tr>
      <w:tr>
        <w:tc>
          <w:tcPr/>
          <w:p>
            <w:pPr>
              <w:pStyle w:val="Compact"/>
              <w:jc w:val="left"/>
            </w:pPr>
            <w:r>
              <w:t xml:space="preserve">Reading</w:t>
            </w:r>
          </w:p>
        </w:tc>
        <w:tc>
          <w:tcPr/>
          <w:p>
            <w:pPr>
              <w:pStyle w:val="Compact"/>
              <w:jc w:val="left"/>
            </w:pPr>
            <w:r>
              <w:t xml:space="preserve">Elastic Net</w:t>
            </w:r>
          </w:p>
        </w:tc>
        <w:tc>
          <w:tcPr/>
          <w:p>
            <w:pPr>
              <w:pStyle w:val="Compact"/>
              <w:jc w:val="center"/>
            </w:pPr>
            <w:r>
              <w:t xml:space="preserve">0.848</w:t>
            </w:r>
          </w:p>
        </w:tc>
        <w:tc>
          <w:tcPr/>
          <w:p>
            <w:pPr>
              <w:pStyle w:val="Compact"/>
              <w:jc w:val="center"/>
            </w:pPr>
            <w:r>
              <w:t xml:space="preserve">0.850</w:t>
            </w:r>
          </w:p>
        </w:tc>
        <w:tc>
          <w:tcPr/>
          <w:p>
            <w:pPr>
              <w:pStyle w:val="Compact"/>
              <w:jc w:val="center"/>
            </w:pPr>
            <w:r>
              <w:t xml:space="preserve">0.406</w:t>
            </w:r>
          </w:p>
        </w:tc>
        <w:tc>
          <w:tcPr/>
          <w:p>
            <w:pPr>
              <w:pStyle w:val="Compact"/>
              <w:jc w:val="center"/>
            </w:pPr>
            <w:r>
              <w:t xml:space="preserve">0.294</w:t>
            </w:r>
          </w:p>
        </w:tc>
      </w:tr>
      <w:tr>
        <w:tc>
          <w:tcPr/>
          <w:p>
            <w:pPr>
              <w:pStyle w:val="Compact"/>
              <w:jc w:val="left"/>
            </w:pPr>
            <w:r>
              <w:t xml:space="preserve">Math</w:t>
            </w:r>
          </w:p>
        </w:tc>
        <w:tc>
          <w:tcPr/>
          <w:p>
            <w:pPr>
              <w:pStyle w:val="Compact"/>
              <w:jc w:val="left"/>
            </w:pPr>
            <w:r>
              <w:t xml:space="preserve">Logistic Regression</w:t>
            </w:r>
          </w:p>
        </w:tc>
        <w:tc>
          <w:tcPr/>
          <w:p>
            <w:pPr>
              <w:pStyle w:val="Compact"/>
              <w:jc w:val="center"/>
            </w:pPr>
            <w:r>
              <w:t xml:space="preserve">0.867</w:t>
            </w:r>
          </w:p>
        </w:tc>
        <w:tc>
          <w:tcPr/>
          <w:p>
            <w:pPr>
              <w:pStyle w:val="Compact"/>
              <w:jc w:val="center"/>
            </w:pPr>
            <w:r>
              <w:t xml:space="preserve">0.847</w:t>
            </w:r>
          </w:p>
        </w:tc>
        <w:tc>
          <w:tcPr/>
          <w:p>
            <w:pPr>
              <w:pStyle w:val="Compact"/>
              <w:jc w:val="center"/>
            </w:pPr>
            <w:r>
              <w:t xml:space="preserve">0.459</w:t>
            </w:r>
          </w:p>
        </w:tc>
        <w:tc>
          <w:tcPr/>
          <w:p>
            <w:pPr>
              <w:pStyle w:val="Compact"/>
              <w:jc w:val="center"/>
            </w:pPr>
            <w:r>
              <w:t xml:space="preserve">0.366</w:t>
            </w:r>
          </w:p>
        </w:tc>
      </w:tr>
    </w:tbl>
    <w:bookmarkEnd w:id="51"/>
    <w:bookmarkEnd w:id="52"/>
    <w:bookmarkStart w:id="54" w:name="s3.2-fairness-metrics-by-outcome"/>
    <w:p>
      <w:pPr>
        <w:pStyle w:val="Heading2"/>
      </w:pPr>
      <w:r>
        <w:t xml:space="preserve">S3.2 Fairness Metrics by Outcome</w:t>
      </w:r>
    </w:p>
    <w:p>
      <w:pPr>
        <w:pStyle w:val="FirstParagraph"/>
      </w:pPr>
      <w:r>
        <w:t xml:space="preserve">Table S7 presents the group-level fairness metrics for both outcomes side by side.</w:t>
      </w:r>
    </w:p>
    <w:bookmarkStart w:id="53" w:name="tab:outcome_fairness"/>
    <w:p>
      <w:pPr>
        <w:pStyle w:val="TableCaption"/>
      </w:pPr>
      <w:r>
        <w:rPr>
          <w:b/>
          <w:bCs/>
        </w:rPr>
        <w:t xml:space="preserve">Table S7.</w:t>
      </w:r>
      <w:r>
        <w:t xml:space="preserve"> </w:t>
      </w:r>
      <w:r>
        <w:t xml:space="preserve">Fairness Metrics by Racial/Ethnic Group for Reading and Math Outcomes (with 95% Bootstrap Confidence Intervals). Both outcomes show higher TPR for Hispanic and Black students relative to White students. Math shows notably higher FPR for Black students (0.161) than reading (0.103).</w:t>
      </w:r>
    </w:p>
    <w:tbl>
      <w:tblPr>
        <w:tblStyle w:val="Table"/>
        <w:tblW w:type="auto" w:w="0"/>
        <w:tblLook w:firstRow="1" w:lastRow="0" w:firstColumn="0" w:lastColumn="0" w:noHBand="0" w:noVBand="0" w:val="0020"/>
        <w:tblCaption w:val="Table S7. Fairness Metrics by Racial/Ethnic Group for Reading and Math Outcomes (with 95% Bootstrap Confidence Intervals). Both outcomes show higher TPR for Hispanic and Black students relative to White students. Math shows notably higher FPR for Black students (0.161) than reading (0.103)."/>
      </w:tblPr>
      <w:tblGrid>
        <w:gridCol w:w="1320"/>
        <w:gridCol w:w="1320"/>
        <w:gridCol w:w="1320"/>
        <w:gridCol w:w="1320"/>
        <w:gridCol w:w="1320"/>
        <w:gridCol w:w="1320"/>
      </w:tblGrid>
      <w:tr>
        <w:trPr>
          <w:tblHeader w:val="on"/>
        </w:trPr>
        <w:tc>
          <w:tcPr/>
          <w:p>
            <w:pPr>
              <w:pStyle w:val="Compact"/>
              <w:jc w:val="left"/>
            </w:pPr>
            <w:r>
              <w:rPr>
                <w:b/>
                <w:bCs/>
              </w:rPr>
              <w:t xml:space="preserve">Outcome</w:t>
            </w:r>
          </w:p>
        </w:tc>
        <w:tc>
          <w:tcPr/>
          <w:p>
            <w:pPr>
              <w:pStyle w:val="Compact"/>
              <w:jc w:val="left"/>
            </w:pPr>
            <w:r>
              <w:rPr>
                <w:b/>
                <w:bCs/>
              </w:rPr>
              <w:t xml:space="preserve">Group</w:t>
            </w:r>
          </w:p>
        </w:tc>
        <w:tc>
          <w:tcPr/>
          <w:p>
            <w:pPr>
              <w:pStyle w:val="Compact"/>
              <w:jc w:val="right"/>
            </w:pPr>
            <w:r>
              <w:rPr>
                <w:b/>
                <w:bCs/>
              </w:rPr>
              <w:t xml:space="preserve">N</w:t>
            </w:r>
          </w:p>
        </w:tc>
        <w:tc>
          <w:tcPr/>
          <w:p>
            <w:pPr>
              <w:pStyle w:val="Compact"/>
              <w:jc w:val="center"/>
            </w:pPr>
            <w:r>
              <w:rPr>
                <w:b/>
                <w:bCs/>
              </w:rPr>
              <w:t xml:space="preserve">TPR [95% CI]</w:t>
            </w:r>
          </w:p>
        </w:tc>
        <w:tc>
          <w:tcPr/>
          <w:p>
            <w:pPr>
              <w:pStyle w:val="Compact"/>
              <w:jc w:val="center"/>
            </w:pPr>
            <w:r>
              <w:rPr>
                <w:b/>
                <w:bCs/>
              </w:rPr>
              <w:t xml:space="preserve">FPR [95% CI]</w:t>
            </w:r>
          </w:p>
        </w:tc>
        <w:tc>
          <w:tcPr/>
          <w:p>
            <w:pPr>
              <w:pStyle w:val="Compact"/>
              <w:jc w:val="center"/>
            </w:pPr>
            <w:r>
              <w:rPr>
                <w:b/>
                <w:bCs/>
              </w:rPr>
              <w:t xml:space="preserve">PPV [95% CI]</w:t>
            </w:r>
          </w:p>
        </w:tc>
      </w:tr>
      <w:tr>
        <w:tc>
          <w:tcPr>
            <w:vMerge w:val="restart"/>
          </w:tcPr>
          <w:p>
            <w:pPr>
              <w:pStyle w:val="Compact"/>
              <w:jc w:val="left"/>
            </w:pPr>
            <w:r>
              <w:t xml:space="preserve">Reading</w:t>
            </w:r>
          </w:p>
        </w:tc>
        <w:tc>
          <w:tcPr/>
          <w:p>
            <w:pPr>
              <w:pStyle w:val="Compact"/>
              <w:jc w:val="left"/>
            </w:pPr>
            <w:r>
              <w:t xml:space="preserve">White</w:t>
            </w:r>
          </w:p>
        </w:tc>
        <w:tc>
          <w:tcPr/>
          <w:p>
            <w:pPr>
              <w:pStyle w:val="Compact"/>
              <w:jc w:val="right"/>
            </w:pPr>
            <w:r>
              <w:t xml:space="preserve">1,462</w:t>
            </w:r>
          </w:p>
        </w:tc>
        <w:tc>
          <w:tcPr/>
          <w:p>
            <w:pPr>
              <w:pStyle w:val="Compact"/>
              <w:jc w:val="center"/>
            </w:pPr>
            <w:r>
              <w:t xml:space="preserve">0.170 [0.122, 0.219]</w:t>
            </w:r>
          </w:p>
        </w:tc>
        <w:tc>
          <w:tcPr/>
          <w:p>
            <w:pPr>
              <w:pStyle w:val="Compact"/>
              <w:jc w:val="center"/>
            </w:pPr>
            <w:r>
              <w:t xml:space="preserve">0.012 [0.007, 0.018]</w:t>
            </w:r>
          </w:p>
        </w:tc>
        <w:tc>
          <w:tcPr/>
          <w:p>
            <w:pPr>
              <w:pStyle w:val="Compact"/>
              <w:jc w:val="center"/>
            </w:pPr>
            <w:r>
              <w:t xml:space="preserve">0.660 [0.500, 0.775]</w:t>
            </w:r>
          </w:p>
        </w:tc>
      </w:tr>
      <w:tr>
        <w:tc>
          <w:tcPr>
            <w:gridSpan w:val="1"/>
            <w:vMerge w:val="continue"/>
          </w:tcPr>
          <w:p>
            <w:pPr/>
          </w:p>
        </w:tc>
        <w:tc>
          <w:tcPr/>
          <w:p>
            <w:pPr>
              <w:pStyle w:val="Compact"/>
              <w:jc w:val="left"/>
            </w:pPr>
            <w:r>
              <w:t xml:space="preserve">Hispanic</w:t>
            </w:r>
          </w:p>
        </w:tc>
        <w:tc>
          <w:tcPr/>
          <w:p>
            <w:pPr>
              <w:pStyle w:val="Compact"/>
              <w:jc w:val="right"/>
            </w:pPr>
            <w:r>
              <w:t xml:space="preserve">623</w:t>
            </w:r>
          </w:p>
        </w:tc>
        <w:tc>
          <w:tcPr/>
          <w:p>
            <w:pPr>
              <w:pStyle w:val="Compact"/>
              <w:jc w:val="center"/>
            </w:pPr>
            <w:r>
              <w:t xml:space="preserve">0.409 [0.343, 0.479]</w:t>
            </w:r>
          </w:p>
        </w:tc>
        <w:tc>
          <w:tcPr/>
          <w:p>
            <w:pPr>
              <w:pStyle w:val="Compact"/>
              <w:jc w:val="center"/>
            </w:pPr>
            <w:r>
              <w:t xml:space="preserve">0.072 [0.053, 0.095]</w:t>
            </w:r>
          </w:p>
        </w:tc>
        <w:tc>
          <w:tcPr/>
          <w:p>
            <w:pPr>
              <w:pStyle w:val="Compact"/>
              <w:jc w:val="center"/>
            </w:pPr>
            <w:r>
              <w:t xml:space="preserve">0.704 [0.619, 0.765]</w:t>
            </w:r>
          </w:p>
        </w:tc>
      </w:tr>
      <w:tr>
        <w:tc>
          <w:tcPr>
            <w:gridSpan w:val="1"/>
            <w:vMerge w:val="continue"/>
          </w:tcPr>
          <w:p>
            <w:pPr/>
          </w:p>
        </w:tc>
        <w:tc>
          <w:tcPr/>
          <w:p>
            <w:pPr>
              <w:pStyle w:val="Compact"/>
              <w:jc w:val="left"/>
            </w:pPr>
            <w:r>
              <w:t xml:space="preserve">Black</w:t>
            </w:r>
          </w:p>
        </w:tc>
        <w:tc>
          <w:tcPr/>
          <w:p>
            <w:pPr>
              <w:pStyle w:val="Compact"/>
              <w:jc w:val="right"/>
            </w:pPr>
            <w:r>
              <w:t xml:space="preserve">300</w:t>
            </w:r>
          </w:p>
        </w:tc>
        <w:tc>
          <w:tcPr/>
          <w:p>
            <w:pPr>
              <w:pStyle w:val="Compact"/>
              <w:jc w:val="center"/>
            </w:pPr>
            <w:r>
              <w:t xml:space="preserve">0.296 [0.207, 0.388]</w:t>
            </w:r>
          </w:p>
        </w:tc>
        <w:tc>
          <w:tcPr/>
          <w:p>
            <w:pPr>
              <w:pStyle w:val="Compact"/>
              <w:jc w:val="center"/>
            </w:pPr>
            <w:r>
              <w:t xml:space="preserve">0.103 [0.063, 0.142]</w:t>
            </w:r>
          </w:p>
        </w:tc>
        <w:tc>
          <w:tcPr/>
          <w:p>
            <w:pPr>
              <w:pStyle w:val="Compact"/>
              <w:jc w:val="center"/>
            </w:pPr>
            <w:r>
              <w:t xml:space="preserve">0.487 [0.325, 0.632]</w:t>
            </w:r>
          </w:p>
        </w:tc>
      </w:tr>
      <w:tr>
        <w:tc>
          <w:tcPr>
            <w:gridSpan w:val="1"/>
            <w:vMerge w:val="continue"/>
          </w:tcPr>
          <w:p>
            <w:pPr/>
          </w:p>
        </w:tc>
        <w:tc>
          <w:tcPr/>
          <w:p>
            <w:pPr>
              <w:pStyle w:val="Compact"/>
              <w:jc w:val="left"/>
            </w:pPr>
            <w:r>
              <w:t xml:space="preserve">Other</w:t>
            </w:r>
          </w:p>
        </w:tc>
        <w:tc>
          <w:tcPr/>
          <w:p>
            <w:pPr>
              <w:pStyle w:val="Compact"/>
              <w:jc w:val="right"/>
            </w:pPr>
            <w:r>
              <w:t xml:space="preserve">225</w:t>
            </w:r>
          </w:p>
        </w:tc>
        <w:tc>
          <w:tcPr/>
          <w:p>
            <w:pPr>
              <w:pStyle w:val="Compact"/>
              <w:jc w:val="center"/>
            </w:pPr>
            <w:r>
              <w:t xml:space="preserve">0.258 [0.074, 0.445]</w:t>
            </w:r>
          </w:p>
        </w:tc>
        <w:tc>
          <w:tcPr/>
          <w:p>
            <w:pPr>
              <w:pStyle w:val="Compact"/>
              <w:jc w:val="center"/>
            </w:pPr>
            <w:r>
              <w:t xml:space="preserve">0.011 [0.000, 0.026]</w:t>
            </w:r>
          </w:p>
        </w:tc>
        <w:tc>
          <w:tcPr/>
          <w:p>
            <w:pPr>
              <w:pStyle w:val="Compact"/>
              <w:jc w:val="center"/>
            </w:pPr>
            <w:r>
              <w:t xml:space="preserve">0.758 [0.428, 1.000]</w:t>
            </w:r>
          </w:p>
        </w:tc>
      </w:tr>
      <w:tr>
        <w:tc>
          <w:tcPr>
            <w:gridSpan w:val="1"/>
            <w:vMerge w:val="continue"/>
          </w:tcPr>
          <w:p>
            <w:pPr/>
          </w:p>
        </w:tc>
        <w:tc>
          <w:tcPr/>
          <w:p>
            <w:pPr>
              <w:pStyle w:val="Compact"/>
              <w:jc w:val="left"/>
            </w:pPr>
            <w:r>
              <w:t xml:space="preserve">Asian</w:t>
            </w:r>
          </w:p>
        </w:tc>
        <w:tc>
          <w:tcPr/>
          <w:p>
            <w:pPr>
              <w:pStyle w:val="Compact"/>
              <w:jc w:val="right"/>
            </w:pPr>
            <w:r>
              <w:t xml:space="preserve">8</w:t>
            </w:r>
          </w:p>
        </w:tc>
        <w:tc>
          <w:tcPr/>
          <w:p>
            <w:pPr>
              <w:pStyle w:val="Compact"/>
              <w:jc w:val="center"/>
            </w:pPr>
            <w:r>
              <w:t xml:space="preserve">0.760 [0.250, 1.000]</w:t>
            </w:r>
          </w:p>
        </w:tc>
        <w:tc>
          <w:tcPr/>
          <w:p>
            <w:pPr>
              <w:pStyle w:val="Compact"/>
              <w:jc w:val="center"/>
            </w:pPr>
            <w:r>
              <w:t xml:space="preserve">0.000 [0.000, 0.000]</w:t>
            </w:r>
          </w:p>
        </w:tc>
        <w:tc>
          <w:tcPr/>
          <w:p>
            <w:pPr>
              <w:pStyle w:val="Compact"/>
              <w:jc w:val="center"/>
            </w:pPr>
            <w:r>
              <w:t xml:space="preserve">1.000 [1.000, 1.000]</w:t>
            </w:r>
          </w:p>
        </w:tc>
      </w:tr>
      <w:tr>
        <w:tc>
          <w:tcPr/>
          <w:p>
            <w:pPr>
              <w:pStyle w:val="Compact"/>
            </w:pPr>
          </w:p>
        </w:tc>
        <w:tc>
          <w:tcPr/>
          <w:p>
            <w:pPr>
              <w:pStyle w:val="Compact"/>
              <w:jc w:val="left"/>
            </w:pPr>
            <w:r>
              <w:t xml:space="preserve">White</w:t>
            </w:r>
          </w:p>
        </w:tc>
        <w:tc>
          <w:tcPr/>
          <w:p>
            <w:pPr>
              <w:pStyle w:val="Compact"/>
              <w:jc w:val="right"/>
            </w:pPr>
            <w:r>
              <w:t xml:space="preserve">1,475</w:t>
            </w:r>
          </w:p>
        </w:tc>
        <w:tc>
          <w:tcPr/>
          <w:p>
            <w:pPr>
              <w:pStyle w:val="Compact"/>
              <w:jc w:val="center"/>
            </w:pPr>
            <w:r>
              <w:t xml:space="preserve">0.259 [0.196, 0.327]</w:t>
            </w:r>
          </w:p>
        </w:tc>
        <w:tc>
          <w:tcPr/>
          <w:p>
            <w:pPr>
              <w:pStyle w:val="Compact"/>
              <w:jc w:val="center"/>
            </w:pPr>
            <w:r>
              <w:t xml:space="preserve">0.024 [0.016, 0.032]</w:t>
            </w:r>
          </w:p>
        </w:tc>
        <w:tc>
          <w:tcPr/>
          <w:p>
            <w:pPr>
              <w:pStyle w:val="Compact"/>
              <w:jc w:val="center"/>
            </w:pPr>
            <w:r>
              <w:t xml:space="preserve">0.578 [0.478, 0.677]</w:t>
            </w:r>
          </w:p>
        </w:tc>
      </w:tr>
      <w:tr>
        <w:tc>
          <w:tcPr/>
          <w:p>
            <w:pPr>
              <w:pStyle w:val="Compact"/>
            </w:pPr>
          </w:p>
        </w:tc>
        <w:tc>
          <w:tcPr/>
          <w:p>
            <w:pPr>
              <w:pStyle w:val="Compact"/>
              <w:jc w:val="left"/>
            </w:pPr>
            <w:r>
              <w:t xml:space="preserve">Hispanic</w:t>
            </w:r>
          </w:p>
        </w:tc>
        <w:tc>
          <w:tcPr/>
          <w:p>
            <w:pPr>
              <w:pStyle w:val="Compact"/>
              <w:jc w:val="right"/>
            </w:pPr>
            <w:r>
              <w:t xml:space="preserve">622</w:t>
            </w:r>
          </w:p>
        </w:tc>
        <w:tc>
          <w:tcPr/>
          <w:p>
            <w:pPr>
              <w:pStyle w:val="Compact"/>
              <w:jc w:val="center"/>
            </w:pPr>
            <w:r>
              <w:t xml:space="preserve">0.530 [0.459, 0.610]</w:t>
            </w:r>
          </w:p>
        </w:tc>
        <w:tc>
          <w:tcPr/>
          <w:p>
            <w:pPr>
              <w:pStyle w:val="Compact"/>
              <w:jc w:val="center"/>
            </w:pPr>
            <w:r>
              <w:t xml:space="preserve">0.093 [0.069, 0.118]</w:t>
            </w:r>
          </w:p>
        </w:tc>
        <w:tc>
          <w:tcPr/>
          <w:p>
            <w:pPr>
              <w:pStyle w:val="Compact"/>
              <w:jc w:val="center"/>
            </w:pPr>
            <w:r>
              <w:t xml:space="preserve">0.695 [0.625, 0.764]</w:t>
            </w:r>
          </w:p>
        </w:tc>
      </w:tr>
      <w:tr>
        <w:tc>
          <w:tcPr/>
          <w:p>
            <w:pPr>
              <w:pStyle w:val="Compact"/>
            </w:pPr>
          </w:p>
        </w:tc>
        <w:tc>
          <w:tcPr/>
          <w:p>
            <w:pPr>
              <w:pStyle w:val="Compact"/>
              <w:jc w:val="left"/>
            </w:pPr>
            <w:r>
              <w:t xml:space="preserve">Black</w:t>
            </w:r>
          </w:p>
        </w:tc>
        <w:tc>
          <w:tcPr/>
          <w:p>
            <w:pPr>
              <w:pStyle w:val="Compact"/>
              <w:jc w:val="right"/>
            </w:pPr>
            <w:r>
              <w:t xml:space="preserve">288</w:t>
            </w:r>
          </w:p>
        </w:tc>
        <w:tc>
          <w:tcPr/>
          <w:p>
            <w:pPr>
              <w:pStyle w:val="Compact"/>
              <w:jc w:val="center"/>
            </w:pPr>
            <w:r>
              <w:t xml:space="preserve">0.326 [0.242, 0.429]</w:t>
            </w:r>
          </w:p>
        </w:tc>
        <w:tc>
          <w:tcPr/>
          <w:p>
            <w:pPr>
              <w:pStyle w:val="Compact"/>
              <w:jc w:val="center"/>
            </w:pPr>
            <w:r>
              <w:t xml:space="preserve">0.161 [0.113, 0.210]</w:t>
            </w:r>
          </w:p>
        </w:tc>
        <w:tc>
          <w:tcPr/>
          <w:p>
            <w:pPr>
              <w:pStyle w:val="Compact"/>
              <w:jc w:val="center"/>
            </w:pPr>
            <w:r>
              <w:t xml:space="preserve">0.526 [0.393, 0.641]</w:t>
            </w:r>
          </w:p>
        </w:tc>
      </w:tr>
      <w:tr>
        <w:tc>
          <w:tcPr/>
          <w:p>
            <w:pPr>
              <w:pStyle w:val="Compact"/>
            </w:pPr>
          </w:p>
        </w:tc>
        <w:tc>
          <w:tcPr/>
          <w:p>
            <w:pPr>
              <w:pStyle w:val="Compact"/>
              <w:jc w:val="left"/>
            </w:pPr>
            <w:r>
              <w:t xml:space="preserve">Other</w:t>
            </w:r>
          </w:p>
        </w:tc>
        <w:tc>
          <w:tcPr/>
          <w:p>
            <w:pPr>
              <w:pStyle w:val="Compact"/>
              <w:jc w:val="right"/>
            </w:pPr>
            <w:r>
              <w:t xml:space="preserve">225</w:t>
            </w:r>
          </w:p>
        </w:tc>
        <w:tc>
          <w:tcPr/>
          <w:p>
            <w:pPr>
              <w:pStyle w:val="Compact"/>
              <w:jc w:val="center"/>
            </w:pPr>
            <w:r>
              <w:t xml:space="preserve">0.061 [0.000, 0.200]</w:t>
            </w:r>
          </w:p>
        </w:tc>
        <w:tc>
          <w:tcPr/>
          <w:p>
            <w:pPr>
              <w:pStyle w:val="Compact"/>
              <w:jc w:val="center"/>
            </w:pPr>
            <w:r>
              <w:t xml:space="preserve">0.024 [0.005, 0.042]</w:t>
            </w:r>
          </w:p>
        </w:tc>
        <w:tc>
          <w:tcPr/>
          <w:p>
            <w:pPr>
              <w:pStyle w:val="Compact"/>
              <w:jc w:val="center"/>
            </w:pPr>
            <w:r>
              <w:t xml:space="preserve">0.161 [0.000, 0.504]</w:t>
            </w:r>
          </w:p>
        </w:tc>
      </w:tr>
      <w:tr>
        <w:tc>
          <w:tcPr/>
          <w:p>
            <w:pPr>
              <w:pStyle w:val="Compact"/>
            </w:pPr>
          </w:p>
        </w:tc>
        <w:tc>
          <w:tcPr/>
          <w:p>
            <w:pPr>
              <w:pStyle w:val="Compact"/>
              <w:jc w:val="left"/>
            </w:pPr>
            <w:r>
              <w:t xml:space="preserve">Asian</w:t>
            </w:r>
          </w:p>
        </w:tc>
        <w:tc>
          <w:tcPr/>
          <w:p>
            <w:pPr>
              <w:pStyle w:val="Compact"/>
              <w:jc w:val="right"/>
            </w:pPr>
            <w:r>
              <w:t xml:space="preserve">12</w:t>
            </w:r>
          </w:p>
        </w:tc>
        <w:tc>
          <w:tcPr/>
          <w:p>
            <w:pPr>
              <w:pStyle w:val="Compact"/>
              <w:jc w:val="center"/>
            </w:pPr>
            <w:r>
              <w:t xml:space="preserve">1.000 [1.000, 1.000]</w:t>
            </w:r>
          </w:p>
        </w:tc>
        <w:tc>
          <w:tcPr/>
          <w:p>
            <w:pPr>
              <w:pStyle w:val="Compact"/>
              <w:jc w:val="center"/>
            </w:pPr>
            <w:r>
              <w:t xml:space="preserve">0.113 [0.000, 0.333]</w:t>
            </w:r>
          </w:p>
        </w:tc>
        <w:tc>
          <w:tcPr/>
          <w:p>
            <w:pPr>
              <w:pStyle w:val="Compact"/>
              <w:jc w:val="center"/>
            </w:pPr>
            <w:r>
              <w:t xml:space="preserve">0.755 [0.333, 1.000]</w:t>
            </w:r>
          </w:p>
        </w:tc>
      </w:tr>
    </w:tbl>
    <w:bookmarkEnd w:id="53"/>
    <w:bookmarkEnd w:id="54"/>
    <w:bookmarkStart w:id="56" w:name="s3.3-disparity-comparison"/>
    <w:p>
      <w:pPr>
        <w:pStyle w:val="Heading2"/>
      </w:pPr>
      <w:r>
        <w:t xml:space="preserve">S3.3 Disparity Comparison</w:t>
      </w:r>
    </w:p>
    <w:p>
      <w:pPr>
        <w:pStyle w:val="FirstParagraph"/>
      </w:pPr>
      <w:r>
        <w:t xml:space="preserve">Table S8 presents formal disparity metrics for both outcomes relative to the White reference group.</w:t>
      </w:r>
    </w:p>
    <w:bookmarkStart w:id="55" w:name="tab:outcome_disparity"/>
    <w:p>
      <w:pPr>
        <w:pStyle w:val="TableCaption"/>
      </w:pPr>
      <w:r>
        <w:rPr>
          <w:b/>
          <w:bCs/>
        </w:rPr>
        <w:t xml:space="preserve">Table S8.</w:t>
      </w:r>
      <w:r>
        <w:t xml:space="preserve"> </w:t>
      </w:r>
      <w:r>
        <w:t xml:space="preserve">Disparity Metrics by Outcome (Reference: White). Disparate impact is flagged when the TPR ratio falls below 0.80 (four-fifths rule). Math prediction uniquely triggers disparate impact for the Other group (TPR ratio = 0.24), indicating domain-specific fairness concerns not present in reading prediction.</w:t>
      </w:r>
    </w:p>
    <w:tbl>
      <w:tblPr>
        <w:tblStyle w:val="Table"/>
        <w:tblW w:type="auto" w:w="0"/>
        <w:tblLook w:firstRow="1" w:lastRow="0" w:firstColumn="0" w:lastColumn="0" w:noHBand="0" w:noVBand="0" w:val="0020"/>
        <w:tblCaption w:val="Table S8. Disparity Metrics by Outcome (Reference: White). Disparate impact is flagged when the TPR ratio falls below 0.80 (four-fifths rule). Math prediction uniquely triggers disparate impact for the Other group (TPR ratio = 0.24), indicating domain-specific fairness concerns not present in reading prediction."/>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left"/>
            </w:pPr>
            <w:r>
              <w:rPr>
                <w:b/>
                <w:bCs/>
              </w:rPr>
              <w:t xml:space="preserve">Group</w:t>
            </w:r>
          </w:p>
        </w:tc>
        <w:tc>
          <w:tcPr/>
          <w:p>
            <w:pPr>
              <w:pStyle w:val="Compact"/>
              <w:jc w:val="center"/>
            </w:pPr>
            <w:r>
              <w:rPr>
                <w:b/>
                <w:bCs/>
              </w:rPr>
              <w:t xml:space="preserve">TPR Rat.</w:t>
            </w:r>
          </w:p>
        </w:tc>
        <w:tc>
          <w:tcPr/>
          <w:p>
            <w:pPr>
              <w:pStyle w:val="Compact"/>
              <w:jc w:val="center"/>
            </w:pPr>
            <w:r>
              <w:rPr>
                <w:b/>
                <w:bCs/>
              </w:rPr>
              <w:t xml:space="preserve">TPR Diff</w:t>
            </w:r>
          </w:p>
        </w:tc>
        <w:tc>
          <w:tcPr/>
          <w:p>
            <w:pPr>
              <w:pStyle w:val="Compact"/>
              <w:jc w:val="center"/>
            </w:pPr>
            <w:r>
              <w:rPr>
                <w:b/>
                <w:bCs/>
              </w:rPr>
              <w:t xml:space="preserve">FPR Rat.</w:t>
            </w:r>
          </w:p>
        </w:tc>
        <w:tc>
          <w:tcPr/>
          <w:p>
            <w:pPr>
              <w:pStyle w:val="Compact"/>
              <w:jc w:val="center"/>
            </w:pPr>
            <w:r>
              <w:rPr>
                <w:b/>
                <w:bCs/>
              </w:rPr>
              <w:t xml:space="preserve">FPR Diff</w:t>
            </w:r>
          </w:p>
        </w:tc>
        <w:tc>
          <w:tcPr/>
          <w:p>
            <w:pPr>
              <w:pStyle w:val="Compact"/>
              <w:jc w:val="center"/>
            </w:pPr>
            <w:r>
              <w:rPr>
                <w:b/>
                <w:bCs/>
              </w:rPr>
              <w:t xml:space="preserve">Disp. Imp.</w:t>
            </w:r>
          </w:p>
        </w:tc>
      </w:tr>
      <w:tr>
        <w:tc>
          <w:tcPr>
            <w:vMerge w:val="restart"/>
          </w:tcPr>
          <w:p>
            <w:pPr>
              <w:pStyle w:val="Compact"/>
              <w:jc w:val="left"/>
            </w:pPr>
            <w:r>
              <w:t xml:space="preserve">Reading</w:t>
            </w:r>
          </w:p>
        </w:tc>
        <w:tc>
          <w:tcPr/>
          <w:p>
            <w:pPr>
              <w:pStyle w:val="Compact"/>
              <w:jc w:val="left"/>
            </w:pPr>
            <w:r>
              <w:t xml:space="preserve">Asian</w:t>
            </w:r>
          </w:p>
        </w:tc>
        <w:tc>
          <w:tcPr/>
          <w:p>
            <w:pPr>
              <w:pStyle w:val="Compact"/>
              <w:jc w:val="center"/>
            </w:pPr>
            <w:r>
              <w:t xml:space="preserve">4.350</w:t>
            </w:r>
          </w:p>
        </w:tc>
        <w:tc>
          <w:tcPr/>
          <w:p>
            <w:pPr>
              <w:pStyle w:val="Compact"/>
              <w:jc w:val="center"/>
            </w:pPr>
            <w:r>
              <w:t xml:space="preserve">+0.578</w:t>
            </w:r>
          </w:p>
        </w:tc>
        <w:tc>
          <w:tcPr/>
          <w:p>
            <w:pPr>
              <w:pStyle w:val="Compact"/>
              <w:jc w:val="center"/>
            </w:pPr>
            <w:r>
              <w:t xml:space="preserve">0.000</w:t>
            </w:r>
          </w:p>
        </w:tc>
        <w:tc>
          <w:tcPr/>
          <w:p>
            <w:pPr>
              <w:pStyle w:val="Compact"/>
              <w:jc w:val="center"/>
            </w:pPr>
            <m:oMath>
              <m:r>
                <m:rPr>
                  <m:sty m:val="p"/>
                </m:rPr>
                <m:t>−</m:t>
              </m:r>
            </m:oMath>
            <w:r>
              <w:t xml:space="preserve">0.012</w:t>
            </w:r>
          </w:p>
        </w:tc>
        <w:tc>
          <w:tcPr/>
          <w:p>
            <w:pPr>
              <w:pStyle w:val="Compact"/>
              <w:jc w:val="center"/>
            </w:pPr>
            <w:r>
              <w:t xml:space="preserve">No</w:t>
            </w:r>
          </w:p>
        </w:tc>
      </w:tr>
      <w:tr>
        <w:tc>
          <w:tcPr>
            <w:gridSpan w:val="1"/>
            <w:vMerge w:val="continue"/>
          </w:tcPr>
          <w:p>
            <w:pPr/>
          </w:p>
        </w:tc>
        <w:tc>
          <w:tcPr/>
          <w:p>
            <w:pPr>
              <w:pStyle w:val="Compact"/>
              <w:jc w:val="left"/>
            </w:pPr>
            <w:r>
              <w:t xml:space="preserve">Hispanic</w:t>
            </w:r>
          </w:p>
        </w:tc>
        <w:tc>
          <w:tcPr/>
          <w:p>
            <w:pPr>
              <w:pStyle w:val="Compact"/>
              <w:jc w:val="center"/>
            </w:pPr>
            <w:r>
              <w:t xml:space="preserve">2.377</w:t>
            </w:r>
          </w:p>
        </w:tc>
        <w:tc>
          <w:tcPr/>
          <w:p>
            <w:pPr>
              <w:pStyle w:val="Compact"/>
              <w:jc w:val="center"/>
            </w:pPr>
            <w:r>
              <w:t xml:space="preserve">+0.237</w:t>
            </w:r>
          </w:p>
        </w:tc>
        <w:tc>
          <w:tcPr/>
          <w:p>
            <w:pPr>
              <w:pStyle w:val="Compact"/>
              <w:jc w:val="center"/>
            </w:pPr>
            <w:r>
              <w:t xml:space="preserve">6.245</w:t>
            </w:r>
          </w:p>
        </w:tc>
        <w:tc>
          <w:tcPr/>
          <w:p>
            <w:pPr>
              <w:pStyle w:val="Compact"/>
              <w:jc w:val="center"/>
            </w:pPr>
            <w:r>
              <w:t xml:space="preserve">+0.061</w:t>
            </w:r>
          </w:p>
        </w:tc>
        <w:tc>
          <w:tcPr/>
          <w:p>
            <w:pPr>
              <w:pStyle w:val="Compact"/>
              <w:jc w:val="center"/>
            </w:pPr>
            <w:r>
              <w:t xml:space="preserve">No</w:t>
            </w:r>
          </w:p>
        </w:tc>
      </w:tr>
      <w:tr>
        <w:tc>
          <w:tcPr>
            <w:gridSpan w:val="1"/>
            <w:vMerge w:val="continue"/>
          </w:tcPr>
          <w:p>
            <w:pPr/>
          </w:p>
        </w:tc>
        <w:tc>
          <w:tcPr/>
          <w:p>
            <w:pPr>
              <w:pStyle w:val="Compact"/>
              <w:jc w:val="left"/>
            </w:pPr>
            <w:r>
              <w:t xml:space="preserve">Black</w:t>
            </w:r>
          </w:p>
        </w:tc>
        <w:tc>
          <w:tcPr/>
          <w:p>
            <w:pPr>
              <w:pStyle w:val="Compact"/>
              <w:jc w:val="center"/>
            </w:pPr>
            <w:r>
              <w:t xml:space="preserve">1.701</w:t>
            </w:r>
          </w:p>
        </w:tc>
        <w:tc>
          <w:tcPr/>
          <w:p>
            <w:pPr>
              <w:pStyle w:val="Compact"/>
              <w:jc w:val="center"/>
            </w:pPr>
            <w:r>
              <w:t xml:space="preserve">+0.121</w:t>
            </w:r>
          </w:p>
        </w:tc>
        <w:tc>
          <w:tcPr/>
          <w:p>
            <w:pPr>
              <w:pStyle w:val="Compact"/>
              <w:jc w:val="center"/>
            </w:pPr>
            <w:r>
              <w:t xml:space="preserve">8.777</w:t>
            </w:r>
          </w:p>
        </w:tc>
        <w:tc>
          <w:tcPr/>
          <w:p>
            <w:pPr>
              <w:pStyle w:val="Compact"/>
              <w:jc w:val="center"/>
            </w:pPr>
            <w:r>
              <w:t xml:space="preserve">+0.091</w:t>
            </w:r>
          </w:p>
        </w:tc>
        <w:tc>
          <w:tcPr/>
          <w:p>
            <w:pPr>
              <w:pStyle w:val="Compact"/>
              <w:jc w:val="center"/>
            </w:pPr>
            <w:r>
              <w:t xml:space="preserve">No</w:t>
            </w:r>
          </w:p>
        </w:tc>
      </w:tr>
      <w:tr>
        <w:tc>
          <w:tcPr>
            <w:gridSpan w:val="1"/>
            <w:vMerge w:val="continue"/>
          </w:tcPr>
          <w:p>
            <w:pPr/>
          </w:p>
        </w:tc>
        <w:tc>
          <w:tcPr/>
          <w:p>
            <w:pPr>
              <w:pStyle w:val="Compact"/>
              <w:jc w:val="left"/>
            </w:pPr>
            <w:r>
              <w:t xml:space="preserve">Other</w:t>
            </w:r>
          </w:p>
        </w:tc>
        <w:tc>
          <w:tcPr/>
          <w:p>
            <w:pPr>
              <w:pStyle w:val="Compact"/>
              <w:jc w:val="center"/>
            </w:pPr>
            <w:r>
              <w:t xml:space="preserve">1.504</w:t>
            </w:r>
          </w:p>
        </w:tc>
        <w:tc>
          <w:tcPr/>
          <w:p>
            <w:pPr>
              <w:pStyle w:val="Compact"/>
              <w:jc w:val="center"/>
            </w:pPr>
            <w:r>
              <w:t xml:space="preserve">+0.087</w:t>
            </w:r>
          </w:p>
        </w:tc>
        <w:tc>
          <w:tcPr/>
          <w:p>
            <w:pPr>
              <w:pStyle w:val="Compact"/>
              <w:jc w:val="center"/>
            </w:pPr>
            <w:r>
              <w:t xml:space="preserve">0.867</w:t>
            </w:r>
          </w:p>
        </w:tc>
        <w:tc>
          <w:tcPr/>
          <w:p>
            <w:pPr>
              <w:pStyle w:val="Compact"/>
              <w:jc w:val="center"/>
            </w:pPr>
            <m:oMath>
              <m:r>
                <m:rPr>
                  <m:sty m:val="p"/>
                </m:rPr>
                <m:t>−</m:t>
              </m:r>
            </m:oMath>
            <w:r>
              <w:t xml:space="preserve">0.002</w:t>
            </w:r>
          </w:p>
        </w:tc>
        <w:tc>
          <w:tcPr/>
          <w:p>
            <w:pPr>
              <w:pStyle w:val="Compact"/>
              <w:jc w:val="center"/>
            </w:pPr>
            <w:r>
              <w:t xml:space="preserve">No</w:t>
            </w:r>
          </w:p>
        </w:tc>
      </w:tr>
      <w:tr>
        <w:tc>
          <w:tcPr/>
          <w:p>
            <w:pPr>
              <w:pStyle w:val="Compact"/>
            </w:pPr>
          </w:p>
        </w:tc>
        <w:tc>
          <w:tcPr/>
          <w:p>
            <w:pPr>
              <w:pStyle w:val="Compact"/>
              <w:jc w:val="left"/>
            </w:pPr>
            <w:r>
              <w:t xml:space="preserve">Asian</w:t>
            </w:r>
          </w:p>
        </w:tc>
        <w:tc>
          <w:tcPr/>
          <w:p>
            <w:pPr>
              <w:pStyle w:val="Compact"/>
              <w:jc w:val="center"/>
            </w:pPr>
            <w:r>
              <w:t xml:space="preserve">3.841</w:t>
            </w:r>
          </w:p>
        </w:tc>
        <w:tc>
          <w:tcPr/>
          <w:p>
            <w:pPr>
              <w:pStyle w:val="Compact"/>
              <w:jc w:val="center"/>
            </w:pPr>
            <w:r>
              <w:t xml:space="preserve">+0.740</w:t>
            </w:r>
          </w:p>
        </w:tc>
        <w:tc>
          <w:tcPr/>
          <w:p>
            <w:pPr>
              <w:pStyle w:val="Compact"/>
              <w:jc w:val="center"/>
            </w:pPr>
            <w:r>
              <w:t xml:space="preserve">4.681</w:t>
            </w:r>
          </w:p>
        </w:tc>
        <w:tc>
          <w:tcPr/>
          <w:p>
            <w:pPr>
              <w:pStyle w:val="Compact"/>
              <w:jc w:val="center"/>
            </w:pPr>
            <w:r>
              <w:t xml:space="preserve">+0.087</w:t>
            </w:r>
          </w:p>
        </w:tc>
        <w:tc>
          <w:tcPr/>
          <w:p>
            <w:pPr>
              <w:pStyle w:val="Compact"/>
              <w:jc w:val="center"/>
            </w:pPr>
            <w:r>
              <w:t xml:space="preserve">No</w:t>
            </w:r>
          </w:p>
        </w:tc>
      </w:tr>
      <w:tr>
        <w:tc>
          <w:tcPr/>
          <w:p>
            <w:pPr>
              <w:pStyle w:val="Compact"/>
            </w:pPr>
          </w:p>
        </w:tc>
        <w:tc>
          <w:tcPr/>
          <w:p>
            <w:pPr>
              <w:pStyle w:val="Compact"/>
              <w:jc w:val="left"/>
            </w:pPr>
            <w:r>
              <w:t xml:space="preserve">Hispanic</w:t>
            </w:r>
          </w:p>
        </w:tc>
        <w:tc>
          <w:tcPr/>
          <w:p>
            <w:pPr>
              <w:pStyle w:val="Compact"/>
              <w:jc w:val="center"/>
            </w:pPr>
            <w:r>
              <w:t xml:space="preserve">2.028</w:t>
            </w:r>
          </w:p>
        </w:tc>
        <w:tc>
          <w:tcPr/>
          <w:p>
            <w:pPr>
              <w:pStyle w:val="Compact"/>
              <w:jc w:val="center"/>
            </w:pPr>
            <w:r>
              <w:t xml:space="preserve">+0.268</w:t>
            </w:r>
          </w:p>
        </w:tc>
        <w:tc>
          <w:tcPr/>
          <w:p>
            <w:pPr>
              <w:pStyle w:val="Compact"/>
              <w:jc w:val="center"/>
            </w:pPr>
            <w:r>
              <w:t xml:space="preserve">3.890</w:t>
            </w:r>
          </w:p>
        </w:tc>
        <w:tc>
          <w:tcPr/>
          <w:p>
            <w:pPr>
              <w:pStyle w:val="Compact"/>
              <w:jc w:val="center"/>
            </w:pPr>
            <w:r>
              <w:t xml:space="preserve">+0.069</w:t>
            </w:r>
          </w:p>
        </w:tc>
        <w:tc>
          <w:tcPr/>
          <w:p>
            <w:pPr>
              <w:pStyle w:val="Compact"/>
              <w:jc w:val="center"/>
            </w:pPr>
            <w:r>
              <w:t xml:space="preserve">No</w:t>
            </w:r>
          </w:p>
        </w:tc>
      </w:tr>
      <w:tr>
        <w:tc>
          <w:tcPr/>
          <w:p>
            <w:pPr>
              <w:pStyle w:val="Compact"/>
            </w:pPr>
          </w:p>
        </w:tc>
        <w:tc>
          <w:tcPr/>
          <w:p>
            <w:pPr>
              <w:pStyle w:val="Compact"/>
              <w:jc w:val="left"/>
            </w:pPr>
            <w:r>
              <w:t xml:space="preserve">Black</w:t>
            </w:r>
          </w:p>
        </w:tc>
        <w:tc>
          <w:tcPr/>
          <w:p>
            <w:pPr>
              <w:pStyle w:val="Compact"/>
              <w:jc w:val="center"/>
            </w:pPr>
            <w:r>
              <w:t xml:space="preserve">1.243</w:t>
            </w:r>
          </w:p>
        </w:tc>
        <w:tc>
          <w:tcPr/>
          <w:p>
            <w:pPr>
              <w:pStyle w:val="Compact"/>
              <w:jc w:val="center"/>
            </w:pPr>
            <w:r>
              <w:t xml:space="preserve">+0.063</w:t>
            </w:r>
          </w:p>
        </w:tc>
        <w:tc>
          <w:tcPr/>
          <w:p>
            <w:pPr>
              <w:pStyle w:val="Compact"/>
              <w:jc w:val="center"/>
            </w:pPr>
            <w:r>
              <w:t xml:space="preserve">6.795</w:t>
            </w:r>
          </w:p>
        </w:tc>
        <w:tc>
          <w:tcPr/>
          <w:p>
            <w:pPr>
              <w:pStyle w:val="Compact"/>
              <w:jc w:val="center"/>
            </w:pPr>
            <w:r>
              <w:t xml:space="preserve">+0.138</w:t>
            </w:r>
          </w:p>
        </w:tc>
        <w:tc>
          <w:tcPr/>
          <w:p>
            <w:pPr>
              <w:pStyle w:val="Compact"/>
              <w:jc w:val="center"/>
            </w:pPr>
            <w:r>
              <w:t xml:space="preserve">No</w:t>
            </w:r>
          </w:p>
        </w:tc>
      </w:tr>
      <w:tr>
        <w:tc>
          <w:tcPr/>
          <w:p>
            <w:pPr>
              <w:pStyle w:val="Compact"/>
            </w:pPr>
          </w:p>
        </w:tc>
        <w:tc>
          <w:tcPr/>
          <w:p>
            <w:pPr>
              <w:pStyle w:val="Compact"/>
              <w:jc w:val="left"/>
            </w:pPr>
            <w:r>
              <w:t xml:space="preserve">Other</w:t>
            </w:r>
          </w:p>
        </w:tc>
        <w:tc>
          <w:tcPr/>
          <w:p>
            <w:pPr>
              <w:pStyle w:val="Compact"/>
              <w:jc w:val="center"/>
            </w:pPr>
            <w:r>
              <w:rPr>
                <w:b/>
                <w:bCs/>
              </w:rPr>
              <w:t xml:space="preserve">0.240</w:t>
            </w:r>
          </w:p>
        </w:tc>
        <w:tc>
          <w:tcPr/>
          <w:p>
            <w:pPr>
              <w:pStyle w:val="Compact"/>
              <w:jc w:val="center"/>
            </w:pPr>
            <m:oMath>
              <m:r>
                <m:rPr>
                  <m:sty m:val="p"/>
                </m:rPr>
                <m:t>−</m:t>
              </m:r>
            </m:oMath>
            <w:r>
              <w:t xml:space="preserve">0.198</w:t>
            </w:r>
          </w:p>
        </w:tc>
        <w:tc>
          <w:tcPr/>
          <w:p>
            <w:pPr>
              <w:pStyle w:val="Compact"/>
              <w:jc w:val="center"/>
            </w:pPr>
            <w:r>
              <w:t xml:space="preserve">1.008</w:t>
            </w:r>
          </w:p>
        </w:tc>
        <w:tc>
          <w:tcPr/>
          <w:p>
            <w:pPr>
              <w:pStyle w:val="Compact"/>
              <w:jc w:val="center"/>
            </w:pPr>
            <w:r>
              <w:t xml:space="preserve">+0.000</w:t>
            </w:r>
          </w:p>
        </w:tc>
        <w:tc>
          <w:tcPr/>
          <w:p>
            <w:pPr>
              <w:pStyle w:val="Compact"/>
              <w:jc w:val="center"/>
            </w:pPr>
            <w:r>
              <w:rPr>
                <w:b/>
                <w:bCs/>
              </w:rPr>
              <w:t xml:space="preserve">Yes</w:t>
            </w:r>
          </w:p>
        </w:tc>
      </w:tr>
    </w:tbl>
    <w:bookmarkEnd w:id="55"/>
    <w:p>
      <w:pPr>
        <w:pStyle w:val="BodyText"/>
      </w:pPr>
      <w:r>
        <w:t xml:space="preserve">The most notable difference between reading and math outcomes is the disparate impact flagged for the Other racial group in math prediction (TPR ratio = 0.24). While all minority groups have</w:t>
      </w:r>
      <w:r>
        <w:t xml:space="preserve"> </w:t>
      </w:r>
      <w:r>
        <w:rPr>
          <w:i/>
          <w:iCs/>
        </w:rPr>
        <w:t xml:space="preserve">higher</w:t>
      </w:r>
      <w:r>
        <w:t xml:space="preserve"> </w:t>
      </w:r>
      <w:r>
        <w:t xml:space="preserve">TPR than White students for reading, the Other group has dramatically</w:t>
      </w:r>
      <w:r>
        <w:t xml:space="preserve"> </w:t>
      </w:r>
      <w:r>
        <w:rPr>
          <w:i/>
          <w:iCs/>
        </w:rPr>
        <w:t xml:space="preserve">lower</w:t>
      </w:r>
      <w:r>
        <w:t xml:space="preserve"> </w:t>
      </w:r>
      <w:r>
        <w:t xml:space="preserve">TPR for math (0.061 vs. 0.259 for White). This finding indicates that fairness properties are domain-specific: a model that passes fairness criteria for one academic outcome may fail for another, reinforcing the importance of outcome-specific fairness auditing.</w:t>
      </w:r>
    </w:p>
    <w:p>
      <w:pPr>
        <w:pStyle w:val="BodyText"/>
      </w:pPr>
      <w:r>
        <w:t xml:space="preserve">Additionally, math prediction shows substantially higher FPR for Black students (0.161 vs. 0.103 for reading), meaning that non-at-risk Black students are even more likely to be incorrectly flagged in math than in reading. The Asian group achieves perfect recall in math (TPR = 1.000), though the very small sample size (N = 12) limits interpretation.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df" /><Relationship Type="http://schemas.openxmlformats.org/officeDocument/2006/relationships/image" Id="rId13" Target="media/rId13.pdf" /><Relationship Type="http://schemas.openxmlformats.org/officeDocument/2006/relationships/image" Id="rId9" Target="media/rId9.pdf" /><Relationship Type="http://schemas.openxmlformats.org/officeDocument/2006/relationships/image" Id="rId33" Target="media/rId33.pdf" /><Relationship Type="http://schemas.openxmlformats.org/officeDocument/2006/relationships/image" Id="rId17" Target="media/rId17.pdf" /><Relationship Type="http://schemas.openxmlformats.org/officeDocument/2006/relationships/image" Id="rId25" Target="media/rId25.pdf" /><Relationship Type="http://schemas.openxmlformats.org/officeDocument/2006/relationships/image" Id="rId29" Target="media/rId29.pdf" /><Relationship Type="http://schemas.openxmlformats.org/officeDocument/2006/relationships/image" Id="rId21" Target="media/rId21.pdf" /><Relationship Type="http://schemas.openxmlformats.org/officeDocument/2006/relationships/image" Id="rId41" Target="media/rId4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When Algorithms Mirror Inequality: Structural Encoding of Fairness Disparities in Early Childhood Risk Prediction</dc:title>
  <dc:creator/>
  <cp:keywords/>
  <dcterms:created xsi:type="dcterms:W3CDTF">2026-02-27T13:56:07Z</dcterms:created>
  <dcterms:modified xsi:type="dcterms:W3CDTF">2026-02-27T13:56:07Z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