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一）分治思想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最大子数组求解——分治</w:t>
      </w:r>
      <w:r>
        <w:rPr>
          <w:rFonts w:hint="eastAsia"/>
          <w:lang w:val="en-US" w:eastAsia="zh-CN"/>
        </w:rPr>
        <w:t>-递归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091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动态规划思想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与分治思想类似，但避免分支思想中多次求解子问题的性能消耗。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动态规划算法通常基于一个递推公式及一个或多个初始状态。当前子问题的解将由上一次子问题的解推出。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动态规划和分治法相似，都是通过组合子问题的解来求解原问题。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分治法将问题划分成互不相交的子问题，递归求解子问题，再将他们的解组合起来，求出原问题的解。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相反，动态规划应用于子问题重叠的情况，即不同的子问题具有公共的子子问题。在这种情况下，分治算法会做出许多不必要的工作，它会反复的求解那些公共子问题。而动态规划算法对每个子子问题只求解一次，将结果保存到表格中，从而无需每次求解一个子子问题都要重新计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236B"/>
    <w:multiLevelType w:val="singleLevel"/>
    <w:tmpl w:val="5A5B236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C3EF5"/>
    <w:rsid w:val="5E5E4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panzehong</dc:creator>
  <cp:lastModifiedBy>潘泽红</cp:lastModifiedBy>
  <dcterms:modified xsi:type="dcterms:W3CDTF">2018-01-14T09:50:24Z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