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zirodelta-economic-model"/>
    <w:p>
      <w:pPr>
        <w:pStyle w:val="Heading1"/>
      </w:pPr>
      <w:r>
        <w:t xml:space="preserve">ZiroDelta Economic Model</w:t>
      </w:r>
    </w:p>
    <w:bookmarkStart w:id="20" w:name="tokenomics"/>
    <w:p>
      <w:pPr>
        <w:pStyle w:val="Heading2"/>
      </w:pPr>
      <w:r>
        <w:t xml:space="preserve">Tokenomics</w:t>
      </w:r>
    </w:p>
    <w:p>
      <w:pPr>
        <w:pStyle w:val="FirstParagraph"/>
      </w:pPr>
      <w:r>
        <w:t xml:space="preserve">The ZiroDelta Protocol has two main tokens: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PFRT (Positive Funding Rate Token)</w:t>
      </w:r>
      <w:r>
        <w:t xml:space="preserve">: Represents a long position on the funding rate.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NFRT (Negative Funding Rate Token)</w:t>
      </w:r>
      <w:r>
        <w:t xml:space="preserve">: Represents a short position on the funding rate.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ZDLT (ZiroDelta Governance Token)</w:t>
      </w:r>
      <w:r>
        <w:t xml:space="preserve">: Used for governance and voting on proposals.</w:t>
      </w:r>
    </w:p>
    <w:bookmarkEnd w:id="20"/>
    <w:bookmarkStart w:id="24" w:name="risk-analysis"/>
    <w:p>
      <w:pPr>
        <w:pStyle w:val="Heading2"/>
      </w:pPr>
      <w:r>
        <w:t xml:space="preserve">Risk Analysis</w:t>
      </w:r>
    </w:p>
    <w:bookmarkStart w:id="21" w:name="oracle-manipulation"/>
    <w:p>
      <w:pPr>
        <w:pStyle w:val="Heading3"/>
      </w:pPr>
      <w:r>
        <w:t xml:space="preserve">Oracle Manipulation</w:t>
      </w:r>
    </w:p>
    <w:p>
      <w:pPr>
        <w:pStyle w:val="FirstParagraph"/>
      </w:pPr>
      <w:r>
        <w:t xml:space="preserve">The protocol relies on an oracle to provide funding rate data. If the oracle is manipulated, it could lead to incorrect pricing and settlement.</w:t>
      </w:r>
      <w:r>
        <w:t xml:space="preserve"> </w:t>
      </w:r>
      <w:r>
        <w:t xml:space="preserve">To mitigate this risk, the protocol uses a decentralized oracle network and has an emergency update mechanism that can be used to manually update the funding rate in case of an oracle failure.</w:t>
      </w:r>
    </w:p>
    <w:bookmarkEnd w:id="21"/>
    <w:bookmarkStart w:id="22" w:name="slippage"/>
    <w:p>
      <w:pPr>
        <w:pStyle w:val="Heading3"/>
      </w:pPr>
      <w:r>
        <w:t xml:space="preserve">Slippage</w:t>
      </w:r>
    </w:p>
    <w:p>
      <w:pPr>
        <w:pStyle w:val="FirstParagraph"/>
      </w:pPr>
      <w:r>
        <w:t xml:space="preserve">The AMM is subject to slippage, which can result in users getting a worse price than expected.</w:t>
      </w:r>
      <w:r>
        <w:t xml:space="preserve"> </w:t>
      </w:r>
      <w:r>
        <w:t xml:space="preserve">To mitigate this risk, the protocol has a slippage protection mechanism that allows users to specify the maximum slippage they are willing to tolerate.</w:t>
      </w:r>
    </w:p>
    <w:bookmarkEnd w:id="22"/>
    <w:bookmarkStart w:id="23" w:name="reentrancy"/>
    <w:p>
      <w:pPr>
        <w:pStyle w:val="Heading3"/>
      </w:pPr>
      <w:r>
        <w:t xml:space="preserve">Reentrancy</w:t>
      </w:r>
    </w:p>
    <w:p>
      <w:pPr>
        <w:pStyle w:val="FirstParagraph"/>
      </w:pPr>
      <w:r>
        <w:t xml:space="preserve">The contracts are protected against reentrancy attacks by using the</w:t>
      </w:r>
      <w:r>
        <w:t xml:space="preserve"> </w:t>
      </w:r>
      <w:r>
        <w:rPr>
          <w:rStyle w:val="VerbatimChar"/>
        </w:rPr>
        <w:t xml:space="preserve">nonReentrant</w:t>
      </w:r>
      <w:r>
        <w:t xml:space="preserve"> </w:t>
      </w:r>
      <w:r>
        <w:t xml:space="preserve">modifier from OpenZeppelin.</w:t>
      </w:r>
    </w:p>
    <w:bookmarkEnd w:id="23"/>
    <w:bookmarkEnd w:id="24"/>
    <w:bookmarkStart w:id="25" w:name="parameter-optimization"/>
    <w:p>
      <w:pPr>
        <w:pStyle w:val="Heading2"/>
      </w:pPr>
      <w:r>
        <w:t xml:space="preserve">Parameter Optimization</w:t>
      </w:r>
    </w:p>
    <w:p>
      <w:pPr>
        <w:pStyle w:val="FirstParagraph"/>
      </w:pPr>
      <w:r>
        <w:t xml:space="preserve">The following parameters can be optimized to improve the performance and security of the protocol: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Minting Fee</w:t>
      </w:r>
      <w:r>
        <w:t xml:space="preserve">: The fee charged for minting new tokens.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Voting Delay</w:t>
      </w:r>
      <w:r>
        <w:t xml:space="preserve">: The delay between when a proposal is created and when voting starts.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Voting Period</w:t>
      </w:r>
      <w:r>
        <w:t xml:space="preserve">: The duration of the voting period.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Quorum Fraction</w:t>
      </w:r>
      <w:r>
        <w:t xml:space="preserve">: The minimum percentage of the total supply of ZDLT that must vote on a proposal for it to be valid.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Timelock Delay</w:t>
      </w:r>
      <w:r>
        <w:t xml:space="preserve">: The delay between when a proposal is approved and when it is executed.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2025-06-23T15:04:35Z</dcterms:created>
  <dcterms:modified xsi:type="dcterms:W3CDTF">2025-06-23T15:04:35Z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