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280"/>
        <w:jc w:val="center"/>
      </w:pPr>
      <w:r>
        <w:rPr>
          <w:rFonts w:ascii="Microsoft YaHei" w:hAnsi="Microsoft YaHei" w:eastAsia="Microsoft YaHei"/>
          <w:b/>
          <w:sz w:val="46"/>
        </w:rPr>
        <w:t>刑侦三维案例脱敏与教学实训平台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26"/>
        </w:rPr>
        <w:t>产品需求文档  V1.0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项目项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产品定位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面向人工导出三维现场成果的案例脱敏、发布、教学实训和操作留痕平台。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MVP目标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跑通可演示、可教学、可审计的案例闭环，不追求生产级公安业务系统。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不做事项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不替代 GoSLAM；不依赖其 API；不读取 .goslam 私有采集包；不向学生开放原始案件数据。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首期输入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LAZ/LAS/E57 点云，MP4 或全景图，案例元数据与管理员授权材料。</w:t>
            </w:r>
          </w:p>
        </w:tc>
      </w:tr>
    </w:tbl>
    <w:p>
      <w:pPr>
        <w:spacing w:after="20"/>
      </w:pPr>
    </w:p>
    <w:p>
      <w:pPr>
        <w:spacing w:line="341" w:lineRule="auto" w:after="120"/>
      </w:pPr>
      <w:r>
        <w:rPr>
          <w:rFonts w:ascii="Microsoft YaHei" w:hAnsi="Microsoft YaHei" w:eastAsia="Microsoft YaHei"/>
          <w:b w:val="0"/>
          <w:sz w:val="21"/>
        </w:rPr>
        <w:t>本版本以总控基线为唯一范围依据。所有“自动脱敏”仅作为辅助能力；任何案例发布前必须由数据管理员人工复核、确认并留痕。</w:t>
      </w:r>
    </w:p>
    <w:p>
      <w:pPr>
        <w:pStyle w:val="Heading1"/>
        <w:spacing w:before="260" w:after="100"/>
      </w:pPr>
      <w:r>
        <w:rPr>
          <w:rFonts w:ascii="Microsoft YaHei" w:hAnsi="Microsoft YaHei" w:eastAsia="Microsoft YaHei"/>
          <w:b/>
          <w:sz w:val="30"/>
        </w:rPr>
        <w:t>1 业务背景与产品边界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sz w:val="24"/>
        </w:rPr>
        <w:t>1.1 要解决的问题</w:t>
      </w:r>
    </w:p>
    <w:p>
      <w:pPr>
        <w:pStyle w:val="ListBullet"/>
        <w:spacing w:line="288" w:lineRule="auto" w:after="60"/>
      </w:pPr>
      <w:r>
        <w:rPr>
          <w:rFonts w:ascii="Microsoft YaHei" w:hAnsi="Microsoft YaHei" w:eastAsia="Microsoft YaHei"/>
          <w:b w:val="0"/>
          <w:sz w:val="20"/>
        </w:rPr>
        <w:t>刑侦现场的三维离线成果难以在教学中安全复用：原始数据包含身份、地点、案号及其他敏感信息。</w:t>
      </w:r>
    </w:p>
    <w:p>
      <w:pPr>
        <w:pStyle w:val="ListBullet"/>
        <w:spacing w:line="288" w:lineRule="auto" w:after="60"/>
      </w:pPr>
      <w:r>
        <w:rPr>
          <w:rFonts w:ascii="Microsoft YaHei" w:hAnsi="Microsoft YaHei" w:eastAsia="Microsoft YaHei"/>
          <w:b w:val="0"/>
          <w:sz w:val="20"/>
        </w:rPr>
        <w:t>院校实训多依赖平面图片与文本，学生无法完成“看现场、找重点、测量、记录、提交、被评分”的完整训练。</w:t>
      </w:r>
    </w:p>
    <w:p>
      <w:pPr>
        <w:pStyle w:val="ListBullet"/>
        <w:spacing w:line="288" w:lineRule="auto" w:after="60"/>
      </w:pPr>
      <w:r>
        <w:rPr>
          <w:rFonts w:ascii="Microsoft YaHei" w:hAnsi="Microsoft YaHei" w:eastAsia="Microsoft YaHei"/>
          <w:b w:val="0"/>
          <w:sz w:val="20"/>
        </w:rPr>
        <w:t>竞赛原型需要证明治理闭环，而不是重复建设采集设备、公安业务系统或重型算法平台。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sz w:val="24"/>
        </w:rPr>
        <w:t>1.2 产品边界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边界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平台承担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平台不承担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采集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接收人工导出的 LAZ/LAS/E57、MP4/全景图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设备控制、现场实时建图、读取 .goslam 文件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脱敏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自动检测建议、人工框选、版本发布与记录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无人工审核的自动发布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案例管理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案例包、元数据、授权范围、有效期、检索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公安案卷主系统、法定证据认定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教学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任务、标记、测量、笔录、提交、评分与反馈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替代院校全部教务系统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sz w:val="24"/>
        </w:rPr>
        <w:t>1.3 MVP 成功定义</w:t>
      </w:r>
    </w:p>
    <w:p>
      <w:pPr>
        <w:spacing w:line="341" w:lineRule="auto" w:after="120"/>
      </w:pPr>
      <w:r>
        <w:rPr>
          <w:rFonts w:ascii="Microsoft YaHei" w:hAnsi="Microsoft YaHei" w:eastAsia="Microsoft YaHei"/>
          <w:b w:val="0"/>
          <w:sz w:val="21"/>
        </w:rPr>
        <w:t>管理员可导入一个标准案例包；完成图像、点云和文本的脱敏复核；将脱敏版本发布到资源库；教师基于该案例发布实训；学生完成三维浏览、标记、测量和勘验笔录；教师评分反馈；管理员可回溯每个关键动作。</w:t>
      </w:r>
    </w:p>
    <w:p>
      <w:pPr>
        <w:pStyle w:val="Heading1"/>
        <w:spacing w:before="260" w:after="100"/>
      </w:pPr>
      <w:r>
        <w:rPr>
          <w:rFonts w:ascii="Microsoft YaHei" w:hAnsi="Microsoft YaHei" w:eastAsia="Microsoft YaHei"/>
          <w:b/>
          <w:sz w:val="30"/>
        </w:rPr>
        <w:t>2 用户角色与权限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核心目标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可执行动作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不可执行动作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数据管理员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控制案例安全与发布边界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导入、配置授权/等级/范围/有效期；复核脱敏；发布、下架；查看审计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以教师或学生身份作答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脱敏审核员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保证脱敏结果可发布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查看检测建议；补充框选；删除/遮挡点云；提交复核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绕过管理员确认直接发布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教师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组织与评价实训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检索已授权案例；发布任务；设物证点、重点区与评分量规；评分反馈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访问原始数据、修改脱敏版本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学生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完成受控实训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浏览、漫游、测量、添加标记、填笔录、提交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下载原始数据、查看其他学生作答或授权材料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平台运维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维护演示平台可用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账号、课程组织、故障处理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默认查看案例内容；需临时授权并留痕</w:t>
            </w:r>
          </w:p>
        </w:tc>
      </w:tr>
    </w:tbl>
    <w:p>
      <w:pPr>
        <w:spacing w:after="20"/>
      </w:pPr>
    </w:p>
    <w:p>
      <w:pPr>
        <w:spacing w:line="341" w:lineRule="auto" w:after="120"/>
      </w:pPr>
      <w:r>
        <w:rPr>
          <w:rFonts w:ascii="Microsoft YaHei" w:hAnsi="Microsoft YaHei" w:eastAsia="Microsoft YaHei"/>
          <w:b w:val="0"/>
          <w:sz w:val="21"/>
        </w:rPr>
        <w:t>权限原则：最小权限、教学副本与原始数据分离、到期自动回收、任何发布由管理员最终确认。</w:t>
      </w:r>
    </w:p>
    <w:p>
      <w:pPr>
        <w:pStyle w:val="Heading1"/>
        <w:spacing w:before="260" w:after="100"/>
      </w:pPr>
      <w:r>
        <w:rPr>
          <w:rFonts w:ascii="Microsoft YaHei" w:hAnsi="Microsoft YaHei" w:eastAsia="Microsoft YaHei"/>
          <w:b/>
          <w:sz w:val="30"/>
        </w:rPr>
        <w:t>3 标准案例包与数据规范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sz w:val="24"/>
        </w:rPr>
        <w:t>3.1 目录约定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必选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案例包/pointcloud.laz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首选点云；兼容 LAS/E57 导入。</w:t>
            </w:r>
          </w:p>
        </w:tc>
      </w:tr>
      <w:tr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案例包/panorama.mp4 或 images/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全景视频或全景图片集合。</w:t>
            </w:r>
          </w:p>
        </w:tc>
      </w:tr>
      <w:tr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案例包/case.json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案例基础信息、分类、难度、课程标签等。</w:t>
            </w:r>
          </w:p>
        </w:tc>
      </w:tr>
      <w:tr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案例包/authorization.pdf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是，仅管理员可见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授权来源、可用范围、期限等证明材料。</w:t>
            </w:r>
          </w:p>
        </w:tc>
      </w:tr>
      <w:tr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案例包/desensitization_record.json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脱敏规则、复核人、版本、发布时间和有效期。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sz w:val="24"/>
        </w:rPr>
        <w:t>3.2 case json 最小字段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case_id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内部案例编号，不使用真实案号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TC-2026-001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title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教学标题，不含敏感地点/人物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室内现场勘查基础训练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category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案件或场景类型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室内现场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difficulty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教学难度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初级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course_tags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适用课程标签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现场勘查、物证识别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data_level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脱敏等级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教学可用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valid_until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教学可用截止时间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2027-06-30</w:t>
            </w:r>
          </w:p>
        </w:tc>
      </w:tr>
    </w:tbl>
    <w:p>
      <w:pPr>
        <w:spacing w:after="20"/>
      </w:pPr>
    </w:p>
    <w:p>
      <w:pPr>
        <w:pStyle w:val="Heading1"/>
        <w:spacing w:before="260" w:after="100"/>
      </w:pPr>
      <w:r>
        <w:rPr>
          <w:rFonts w:ascii="Microsoft YaHei" w:hAnsi="Microsoft YaHei" w:eastAsia="Microsoft YaHei"/>
          <w:b/>
          <w:sz w:val="30"/>
        </w:rPr>
        <w:t>4 核心业务流程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sz w:val="24"/>
        </w:rPr>
        <w:t>4.1 案例导入与脱敏发布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控制点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产物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数据管理员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上传案例包并录入授权、脱敏等级、范围和有效期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格式与必填字段校验；授权材料仅管理员可见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待处理案例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生成自动检测建议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图像/视频检测人脸、车牌、证件或屏幕文字；结果只作建议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待复核任务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脱敏审核员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人工复核并补充处理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图像/视频模糊；点云框选删除或遮挡；文本编号化替换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脱敏候选版本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数据管理员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确认发布或退回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检查脱敏记录、用途、期限和范围；不得自动发布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教学发布版本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转换与入库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将点云转换为网页加载格式，建立检索索引与版本记录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资源库案例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系统/管理员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到期下架或续期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超过有效期自动阻断教学访问；续期需重新确认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归档或续期版本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sz w:val="24"/>
        </w:rPr>
        <w:t>4.2 教学实训流程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教师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筛选已授权案例，配置任务说明、重点区/物证点和评分量规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课程任务草稿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教师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发布给指定班级并设置截止时间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学生可见的受控任务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学生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在三维现场中漫游、测量、添加标记，填写勘验笔录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个人作答草稿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学生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提交作答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不可改的提交版本与操作记录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教师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按量规评分、批注与反馈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成绩与学习反馈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管理员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查询发布、访问、提交和评分记录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可演示审计链路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sz w:val="24"/>
        </w:rPr>
        <w:t>4.3 脱敏复核闭环</w:t>
      </w:r>
    </w:p>
    <w:p>
      <w:pPr>
        <w:spacing w:line="341" w:lineRule="auto" w:after="120"/>
      </w:pPr>
      <w:r>
        <w:rPr>
          <w:rFonts w:ascii="Microsoft YaHei" w:hAnsi="Microsoft YaHei" w:eastAsia="Microsoft YaHei"/>
          <w:b w:val="0"/>
          <w:sz w:val="21"/>
        </w:rPr>
        <w:t>自动检测建议 → 审核员查看结果 → 补充框选或调整处理 → 生成脱敏候选版本 → 数据管理员确认发布 → 教师调用教学版本 → 到期下架或重新审批。</w:t>
      </w:r>
    </w:p>
    <w:p>
      <w:pPr>
        <w:pStyle w:val="Heading1"/>
        <w:spacing w:before="260" w:after="100"/>
      </w:pPr>
      <w:r>
        <w:rPr>
          <w:rFonts w:ascii="Microsoft YaHei" w:hAnsi="Microsoft YaHei" w:eastAsia="Microsoft YaHei"/>
          <w:b/>
          <w:sz w:val="30"/>
        </w:rPr>
        <w:t>5 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需求与验收标准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案例数据导入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FR-01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 LAZ/LAS/E57、MP4/全景图和 case.json；管理员填写授权、脱敏等级、可用范围、有效期；必填校验失败可定位。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数据脱敏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FR-02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图像/视频输出人脸、车牌、证件/屏幕文字检测建议；支持模糊与人工补框；发布前必须复核。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数据脱敏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FR-03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点云三维视图支持框选敏感区域、删除或遮挡；发布版本不含精确坐标与身份字段。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数据脱敏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FR-04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文本支持案号、人名、地址编号化替换；保存替换规则与复核记录。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三维资源库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FR-05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将获批点云转为网页可加载格式；支持案件类型、难度、课程、授权范围检索。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教育实训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FR-06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教师可创建任务、设置物证/重点区域与评分量规；学生只能使用已发布教学版本。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教育实训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FR-07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学生可漫游、测量、标记、填写勘验笔录、提交；教师可评分与反馈。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操作留痕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FR-08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记录导入、脱敏、审批、发布、访问、提交、评分等关键动作，按案例查询。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</w:tr>
    </w:tbl>
    <w:p>
      <w:pPr>
        <w:spacing w:after="20"/>
      </w:pPr>
    </w:p>
    <w:p>
      <w:pPr>
        <w:pStyle w:val="Heading1"/>
        <w:spacing w:before="260" w:after="100"/>
      </w:pPr>
      <w:r>
        <w:rPr>
          <w:rFonts w:ascii="Microsoft YaHei" w:hAnsi="Microsoft YaHei" w:eastAsia="Microsoft YaHei"/>
          <w:b/>
          <w:sz w:val="30"/>
        </w:rPr>
        <w:t>6 版本规划与技术优先级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关键功能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完成判据</w:t>
            </w:r>
          </w:p>
        </w:tc>
      </w:tr>
      <w:t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V0 演示原型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先证明方案能跑通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 LAZ/LAS、网页点云查看、点位标记、学生任务提交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一组演示数据完成“上传到提交”</w:t>
            </w:r>
          </w:p>
        </w:tc>
      </w:tr>
      <w:t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 核心 MVP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建成教学闭环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账号角色、案例库、教师任务、学生作答、评分、操作记录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不同角色可完成端到端教学演示</w:t>
            </w:r>
          </w:p>
        </w:tc>
      </w:tr>
      <w:t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V1.5 脱敏亮点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做出项目创新性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图像/视频人脸车牌模糊、人工审核、点云敏感区域遮挡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展示自动建议加人工确认的发布链路</w:t>
            </w:r>
          </w:p>
        </w:tc>
      </w:tr>
      <w:t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V2 完整平台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再扩展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细粒度权限、审计、案例审批、统计看板、企业/公安协作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以真实合作要求另行立项</w:t>
            </w:r>
          </w:p>
        </w:tc>
      </w:tr>
    </w:tbl>
    <w:p>
      <w:pPr>
        <w:spacing w:after="20"/>
      </w:pPr>
    </w:p>
    <w:p>
      <w:pPr>
        <w:spacing w:line="341" w:lineRule="auto" w:after="120"/>
      </w:pPr>
      <w:r>
        <w:rPr>
          <w:rFonts w:ascii="Microsoft YaHei" w:hAnsi="Microsoft YaHei" w:eastAsia="Microsoft YaHei"/>
          <w:b w:val="0"/>
          <w:sz w:val="21"/>
        </w:rPr>
        <w:t>开发顺序要求：先完成 V0 的数据可视化与学生作答，再补 V1 的教学闭环，最后以 V1.5 展示脱敏创新。任何算法实现不得阻塞 V0/V1 主链路。</w:t>
      </w:r>
    </w:p>
    <w:p>
      <w:pPr>
        <w:pStyle w:val="Heading1"/>
        <w:spacing w:before="260" w:after="100"/>
      </w:pPr>
      <w:r>
        <w:rPr>
          <w:rFonts w:ascii="Microsoft YaHei" w:hAnsi="Microsoft YaHei" w:eastAsia="Microsoft YaHei"/>
          <w:b/>
          <w:sz w:val="30"/>
        </w:rPr>
        <w:t>7 非功能与风险控制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MVP要求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数据安全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原始案件数据不进入学生端；教学端只能访问已发布副本；授权材料仅管理员可见。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审计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核心行为具备时间、操作者、案例、版本、结果五类信息；演示可按案例回放。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可用性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导入失败提供错误信息；大文件转换提供处理状态；失败不覆盖已发布版本。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算法边界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检测只提供候选框和置信提示；没有人工确认，不允许发布。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演示边界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可用模拟或合法授权演示数据；不宣称生产级公安系统能力或证据效力。</w:t>
            </w:r>
          </w:p>
        </w:tc>
      </w:tr>
    </w:tbl>
    <w:p>
      <w:pPr>
        <w:spacing w:after="20"/>
      </w:pPr>
    </w:p>
    <w:p>
      <w:pPr>
        <w:pStyle w:val="Heading1"/>
        <w:spacing w:before="260" w:after="100"/>
      </w:pPr>
      <w:r>
        <w:rPr>
          <w:rFonts w:ascii="Microsoft YaHei" w:hAnsi="Microsoft YaHei" w:eastAsia="Microsoft YaHei"/>
          <w:b/>
          <w:sz w:val="30"/>
        </w:rPr>
        <w:t>8 MVP 验收清单</w:t>
      </w:r>
    </w:p>
    <w:p>
      <w:pPr>
        <w:pStyle w:val="ListBullet"/>
        <w:spacing w:line="288" w:lineRule="auto" w:after="60"/>
      </w:pPr>
      <w:r>
        <w:rPr>
          <w:rFonts w:ascii="Microsoft YaHei" w:hAnsi="Microsoft YaHei" w:eastAsia="Microsoft YaHei"/>
          <w:b w:val="0"/>
          <w:sz w:val="20"/>
        </w:rPr>
        <w:t>管理员能导入符合目录规范的案例包，并录入授权、脱敏等级、范围和有效期。</w:t>
      </w:r>
    </w:p>
    <w:p>
      <w:pPr>
        <w:pStyle w:val="ListBullet"/>
        <w:spacing w:line="288" w:lineRule="auto" w:after="60"/>
      </w:pPr>
      <w:r>
        <w:rPr>
          <w:rFonts w:ascii="Microsoft YaHei" w:hAnsi="Microsoft YaHei" w:eastAsia="Microsoft YaHei"/>
          <w:b w:val="0"/>
          <w:sz w:val="20"/>
        </w:rPr>
        <w:t>可在网页查看点云并创建、保存重点区域/物证标记；学生能完成任务并提交笔录。</w:t>
      </w:r>
    </w:p>
    <w:p>
      <w:pPr>
        <w:pStyle w:val="ListBullet"/>
        <w:spacing w:line="288" w:lineRule="auto" w:after="60"/>
      </w:pPr>
      <w:r>
        <w:rPr>
          <w:rFonts w:ascii="Microsoft YaHei" w:hAnsi="Microsoft YaHei" w:eastAsia="Microsoft YaHei"/>
          <w:b w:val="0"/>
          <w:sz w:val="20"/>
        </w:rPr>
        <w:t>图像/视频脱敏提供自动检测建议及人工补框；点云可框选遮挡或删除敏感区；文本可编号化。</w:t>
      </w:r>
    </w:p>
    <w:p>
      <w:pPr>
        <w:pStyle w:val="ListBullet"/>
        <w:spacing w:line="288" w:lineRule="auto" w:after="60"/>
      </w:pPr>
      <w:r>
        <w:rPr>
          <w:rFonts w:ascii="Microsoft YaHei" w:hAnsi="Microsoft YaHei" w:eastAsia="Microsoft YaHei"/>
          <w:b w:val="0"/>
          <w:sz w:val="20"/>
        </w:rPr>
        <w:t>未经管理员确认的脱敏候选版本不能进入资源库和学生端。</w:t>
      </w:r>
    </w:p>
    <w:p>
      <w:pPr>
        <w:pStyle w:val="ListBullet"/>
        <w:spacing w:line="288" w:lineRule="auto" w:after="60"/>
      </w:pPr>
      <w:r>
        <w:rPr>
          <w:rFonts w:ascii="Microsoft YaHei" w:hAnsi="Microsoft YaHei" w:eastAsia="Microsoft YaHei"/>
          <w:b w:val="0"/>
          <w:sz w:val="20"/>
        </w:rPr>
        <w:t>教师可发布任务、配置量规并完成评分反馈；学生只看自己课程内的发布版本。</w:t>
      </w:r>
    </w:p>
    <w:p>
      <w:pPr>
        <w:pStyle w:val="ListBullet"/>
        <w:spacing w:line="288" w:lineRule="auto" w:after="60"/>
      </w:pPr>
      <w:r>
        <w:rPr>
          <w:rFonts w:ascii="Microsoft YaHei" w:hAnsi="Microsoft YaHei" w:eastAsia="Microsoft YaHei"/>
          <w:b w:val="0"/>
          <w:sz w:val="20"/>
        </w:rPr>
        <w:t>演示时可展示从导入、脱敏审核、发布、学生提交到教师评分的完整操作记录。</w:t>
      </w:r>
    </w:p>
    <w:p>
      <w:pPr>
        <w:pStyle w:val="Heading1"/>
        <w:spacing w:before="260" w:after="100"/>
      </w:pPr>
      <w:r>
        <w:rPr>
          <w:rFonts w:ascii="Microsoft YaHei" w:hAnsi="Microsoft YaHei" w:eastAsia="Microsoft YaHei"/>
          <w:b/>
          <w:sz w:val="30"/>
        </w:rPr>
        <w:t>9 待决策项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网页点云技术栈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V0 优先选择成熟开源网页点云查看器，不自研渲染引擎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决定 V0 演示速度与 LAZ 支持方式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点云转换格式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以浏览器可加载、可做区域遮挡的中间格式为准，保留原始 LAZ/LAS/E57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决定资源库处理队列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脱敏模型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优先接入成熟检测能力或离线推理；无模型时保留人工框选链路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不应阻塞 V0/V1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演示案例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使用模拟或已获教学授权数据，避免真实案件敏感信息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7FAFC"/>
          </w:tcPr>
          <w:p>
            <w:pPr>
              <w:spacing w:before="4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决定合规与展示材料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6"/>
      </w:rPr>
      <w:t>刑侦三维案例脱敏与教学实训平台 PRD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