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E183" w14:textId="11836132" w:rsid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r w:rsidRPr="00810C3B">
        <w:rPr>
          <w:rFonts w:ascii="Arial" w:eastAsia="Times New Roman" w:hAnsi="Arial" w:cs="Arial"/>
          <w:b/>
          <w:bCs/>
          <w:color w:val="757575"/>
          <w:sz w:val="23"/>
          <w:szCs w:val="23"/>
          <w:lang w:eastAsia="es-DO"/>
        </w:rPr>
        <w:t>En este sitio web encontraras 6 políticas y normas de las tecnologías de la información, además de 3 estrategias para garantizar su implementación</w:t>
      </w:r>
      <w:r>
        <w:rPr>
          <w:rFonts w:ascii="Arial" w:eastAsia="Times New Roman" w:hAnsi="Arial" w:cs="Arial"/>
          <w:color w:val="757575"/>
          <w:sz w:val="23"/>
          <w:szCs w:val="23"/>
          <w:lang w:eastAsia="es-DO"/>
        </w:rPr>
        <w:t>.</w:t>
      </w:r>
    </w:p>
    <w:p w14:paraId="6C375AEA" w14:textId="77777777" w:rsid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p>
    <w:p w14:paraId="3B5C9699" w14:textId="414E198F"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r w:rsidRPr="00810C3B">
        <w:rPr>
          <w:rFonts w:ascii="Arial" w:eastAsia="Times New Roman" w:hAnsi="Arial" w:cs="Arial"/>
          <w:color w:val="757575"/>
          <w:sz w:val="23"/>
          <w:szCs w:val="23"/>
          <w:lang w:eastAsia="es-DO"/>
        </w:rPr>
        <w:t>Política No. 1. Fomentar el uso de las Tecnologías de la Información y la Comunicación (TIC) como herramientas de apoyo a los procesos educativos, asegurando el desarrollo curricular correspondiente a los Niveles, Modalidades y Subsistemas; propiciando programas de calidad, alternativos e innovadores, que satisfagan los propósitos y necesidades de la sociedad actual.</w:t>
      </w:r>
    </w:p>
    <w:p w14:paraId="6A0A49B1"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p>
    <w:p w14:paraId="27B9EA89"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r w:rsidRPr="00810C3B">
        <w:rPr>
          <w:rFonts w:ascii="Arial" w:eastAsia="Times New Roman" w:hAnsi="Arial" w:cs="Arial"/>
          <w:color w:val="757575"/>
          <w:sz w:val="23"/>
          <w:szCs w:val="23"/>
          <w:lang w:eastAsia="es-DO"/>
        </w:rPr>
        <w:t> Política No. 2. Garantizar que las intervenciones en materia de TIC en los centros educativos estén sustentadas en un Plan de Integración de las TIC, articulado al Proyecto Educativo de Centro.</w:t>
      </w:r>
    </w:p>
    <w:p w14:paraId="22675E71"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p>
    <w:p w14:paraId="729ED244"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r w:rsidRPr="00810C3B">
        <w:rPr>
          <w:rFonts w:ascii="Times" w:eastAsia="Times New Roman" w:hAnsi="Times" w:cs="Times"/>
          <w:color w:val="757575"/>
          <w:sz w:val="23"/>
          <w:szCs w:val="23"/>
          <w:lang w:eastAsia="es-DO"/>
        </w:rPr>
        <w:t>Política No. 3. Procurar que las instancias regionales y distritales ejecuten el debido seguimiento y acompañamiento a los planes y proyectos de integración de las TIC desarrollados en los centros educativos.</w:t>
      </w:r>
    </w:p>
    <w:p w14:paraId="51F563E7"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p>
    <w:p w14:paraId="4E066FA8"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r w:rsidRPr="00810C3B">
        <w:rPr>
          <w:rFonts w:ascii="Arial" w:eastAsia="Times New Roman" w:hAnsi="Arial" w:cs="Arial"/>
          <w:color w:val="757575"/>
          <w:sz w:val="23"/>
          <w:szCs w:val="23"/>
          <w:lang w:eastAsia="es-DO"/>
        </w:rPr>
        <w:t xml:space="preserve">Política No. 4. Propiciar que los planes formativos de las Escuelas de Pedagogía de las Instituciones de Educación </w:t>
      </w:r>
      <w:proofErr w:type="gramStart"/>
      <w:r w:rsidRPr="00810C3B">
        <w:rPr>
          <w:rFonts w:ascii="Arial" w:eastAsia="Times New Roman" w:hAnsi="Arial" w:cs="Arial"/>
          <w:color w:val="757575"/>
          <w:sz w:val="23"/>
          <w:szCs w:val="23"/>
          <w:lang w:eastAsia="es-DO"/>
        </w:rPr>
        <w:t>Superior,</w:t>
      </w:r>
      <w:proofErr w:type="gramEnd"/>
      <w:r w:rsidRPr="00810C3B">
        <w:rPr>
          <w:rFonts w:ascii="Arial" w:eastAsia="Times New Roman" w:hAnsi="Arial" w:cs="Arial"/>
          <w:color w:val="757575"/>
          <w:sz w:val="23"/>
          <w:szCs w:val="23"/>
          <w:lang w:eastAsia="es-DO"/>
        </w:rPr>
        <w:t xml:space="preserve"> contemplen la integración de las TIC en las asignaturas que conforman la malla curricular, en procura de que los alumnos puedan establecer modelos concretos del uso de las TIC en los procesos de enseñanza y aprendizaje.</w:t>
      </w:r>
    </w:p>
    <w:p w14:paraId="67F65898"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p>
    <w:p w14:paraId="70B1B3E1" w14:textId="2A2BDCC5" w:rsid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r w:rsidRPr="00810C3B">
        <w:rPr>
          <w:rFonts w:ascii="Arial" w:eastAsia="Times New Roman" w:hAnsi="Arial" w:cs="Arial"/>
          <w:color w:val="757575"/>
          <w:sz w:val="23"/>
          <w:szCs w:val="23"/>
          <w:lang w:eastAsia="es-DO"/>
        </w:rPr>
        <w:t xml:space="preserve"> Política No. 5. Propiciar la </w:t>
      </w:r>
      <w:r w:rsidRPr="00810C3B">
        <w:rPr>
          <w:rFonts w:ascii="Arial" w:eastAsia="Times New Roman" w:hAnsi="Arial" w:cs="Arial"/>
          <w:color w:val="757575"/>
          <w:sz w:val="23"/>
          <w:szCs w:val="23"/>
          <w:lang w:eastAsia="es-DO"/>
        </w:rPr>
        <w:t>participación continua</w:t>
      </w:r>
      <w:r w:rsidRPr="00810C3B">
        <w:rPr>
          <w:rFonts w:ascii="Arial" w:eastAsia="Times New Roman" w:hAnsi="Arial" w:cs="Arial"/>
          <w:color w:val="757575"/>
          <w:sz w:val="23"/>
          <w:szCs w:val="23"/>
          <w:lang w:eastAsia="es-DO"/>
        </w:rPr>
        <w:t xml:space="preserve"> del cuerpo docente en servicio en jornadas de capacitación y actualización en el uso de las TIC como herramientas para la enseñanza, articulando el alcance y aplicación de competencias TIC al sistema de evaluación docente.</w:t>
      </w:r>
    </w:p>
    <w:p w14:paraId="6FC14C14" w14:textId="6590854A" w:rsid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p>
    <w:p w14:paraId="7456429E" w14:textId="77777777" w:rsidR="00810C3B" w:rsidRPr="00810C3B" w:rsidRDefault="00810C3B" w:rsidP="00810C3B">
      <w:pPr>
        <w:shd w:val="clear" w:color="auto" w:fill="FFFFFF"/>
        <w:spacing w:after="0" w:line="240" w:lineRule="auto"/>
        <w:jc w:val="both"/>
        <w:rPr>
          <w:rFonts w:ascii="Arial" w:eastAsia="Times New Roman" w:hAnsi="Arial" w:cs="Arial"/>
          <w:color w:val="757575"/>
          <w:sz w:val="23"/>
          <w:szCs w:val="23"/>
          <w:lang w:eastAsia="es-DO"/>
        </w:rPr>
      </w:pPr>
    </w:p>
    <w:p w14:paraId="20CAF43E" w14:textId="18FC1C31" w:rsidR="00EC4125" w:rsidRDefault="00810C3B">
      <w:hyperlink r:id="rId4" w:history="1">
        <w:r w:rsidRPr="00302176">
          <w:rPr>
            <w:rStyle w:val="Hipervnculo"/>
          </w:rPr>
          <w:t>https://jmsjt.blogspot.com/2018/04/politica-y-estrategia-de-intervencion.html</w:t>
        </w:r>
      </w:hyperlink>
    </w:p>
    <w:p w14:paraId="027D3D27" w14:textId="77777777" w:rsidR="00810C3B" w:rsidRDefault="00810C3B"/>
    <w:sectPr w:rsidR="00810C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20"/>
    <w:rsid w:val="00810C3B"/>
    <w:rsid w:val="00E00C20"/>
    <w:rsid w:val="00EC412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F137"/>
  <w15:chartTrackingRefBased/>
  <w15:docId w15:val="{C4C77B41-DC9E-49F1-93DA-4859A656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0C3B"/>
    <w:rPr>
      <w:color w:val="0563C1" w:themeColor="hyperlink"/>
      <w:u w:val="single"/>
    </w:rPr>
  </w:style>
  <w:style w:type="character" w:styleId="Mencinsinresolver">
    <w:name w:val="Unresolved Mention"/>
    <w:basedOn w:val="Fuentedeprrafopredeter"/>
    <w:uiPriority w:val="99"/>
    <w:semiHidden/>
    <w:unhideWhenUsed/>
    <w:rsid w:val="00810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msjt.blogspot.com/2018/04/politica-y-estrategia-de-interven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265</Words>
  <Characters>1458</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A22B22752 educacion</dc:creator>
  <cp:keywords/>
  <dc:description/>
  <cp:lastModifiedBy>A22B22752 educacion</cp:lastModifiedBy>
  <cp:revision>2</cp:revision>
  <dcterms:created xsi:type="dcterms:W3CDTF">2024-07-16T20:04:00Z</dcterms:created>
  <dcterms:modified xsi:type="dcterms:W3CDTF">2024-07-16T20:11:00Z</dcterms:modified>
</cp:coreProperties>
</file>