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A611A">
      <w:pPr>
        <w:spacing w:line="360" w:lineRule="auto"/>
        <w:jc w:val="center"/>
        <w:rPr>
          <w:rFonts w:hint="eastAsia" w:ascii="等线" w:hAnsi="等线" w:eastAsia="等线" w:cs="黑体"/>
          <w:b/>
          <w:sz w:val="28"/>
          <w:szCs w:val="28"/>
        </w:rPr>
      </w:pPr>
      <w:r>
        <w:rPr>
          <w:rFonts w:hint="eastAsia" w:ascii="等线" w:hAnsi="等线" w:eastAsia="等线" w:cs="黑体"/>
          <w:b/>
          <w:sz w:val="28"/>
          <w:szCs w:val="28"/>
        </w:rPr>
        <w:t>太原市20</w:t>
      </w:r>
      <w:r>
        <w:rPr>
          <w:rFonts w:ascii="等线" w:hAnsi="等线" w:eastAsia="等线" w:cs="黑体"/>
          <w:b/>
          <w:sz w:val="28"/>
          <w:szCs w:val="28"/>
        </w:rPr>
        <w:t>2</w:t>
      </w:r>
      <w:r>
        <w:rPr>
          <w:rFonts w:hint="eastAsia" w:ascii="等线" w:hAnsi="等线" w:eastAsia="等线" w:cs="黑体"/>
          <w:b/>
          <w:sz w:val="28"/>
          <w:szCs w:val="28"/>
        </w:rPr>
        <w:t>5-20</w:t>
      </w:r>
      <w:r>
        <w:rPr>
          <w:rFonts w:ascii="等线" w:hAnsi="等线" w:eastAsia="等线" w:cs="黑体"/>
          <w:b/>
          <w:sz w:val="28"/>
          <w:szCs w:val="28"/>
        </w:rPr>
        <w:t>2</w:t>
      </w:r>
      <w:r>
        <w:rPr>
          <w:rFonts w:hint="eastAsia" w:ascii="等线" w:hAnsi="等线" w:eastAsia="等线" w:cs="黑体"/>
          <w:b/>
          <w:sz w:val="28"/>
          <w:szCs w:val="28"/>
        </w:rPr>
        <w:t>6学年第一学期初</w:t>
      </w:r>
      <w:r>
        <w:rPr>
          <w:rFonts w:hint="eastAsia" w:ascii="等线" w:hAnsi="等线" w:eastAsia="等线" w:cs="黑体"/>
          <w:b/>
          <w:sz w:val="28"/>
          <w:szCs w:val="28"/>
          <w:lang w:eastAsia="zh-CN"/>
        </w:rPr>
        <w:t>二</w:t>
      </w:r>
      <w:r>
        <w:rPr>
          <w:rFonts w:hint="eastAsia" w:ascii="等线" w:hAnsi="等线" w:eastAsia="等线" w:cs="黑体"/>
          <w:b/>
          <w:sz w:val="28"/>
          <w:szCs w:val="28"/>
        </w:rPr>
        <w:t>年级期</w:t>
      </w:r>
      <w:r>
        <w:rPr>
          <w:rFonts w:hint="eastAsia" w:ascii="等线" w:hAnsi="等线" w:eastAsia="等线" w:cs="黑体"/>
          <w:b/>
          <w:sz w:val="28"/>
          <w:szCs w:val="28"/>
          <w:lang w:val="en-US" w:eastAsia="zh-CN"/>
        </w:rPr>
        <w:t>末</w:t>
      </w:r>
      <w:r>
        <w:rPr>
          <w:rFonts w:hint="eastAsia" w:ascii="等线" w:hAnsi="等线" w:eastAsia="等线" w:cs="黑体"/>
          <w:b/>
          <w:sz w:val="28"/>
          <w:szCs w:val="28"/>
        </w:rPr>
        <w:t>测评物理试卷分析</w:t>
      </w:r>
    </w:p>
    <w:p w14:paraId="51CBE7FA">
      <w:pPr>
        <w:spacing w:line="360" w:lineRule="auto"/>
        <w:ind w:firstLine="4482" w:firstLineChars="1600"/>
        <w:rPr>
          <w:rFonts w:hint="eastAsia" w:ascii="等线" w:hAnsi="等线" w:eastAsia="等线" w:cs="黑体"/>
          <w:b/>
          <w:sz w:val="28"/>
          <w:szCs w:val="28"/>
        </w:rPr>
      </w:pPr>
      <w:r>
        <w:rPr>
          <w:rFonts w:hint="eastAsia" w:ascii="等线" w:hAnsi="等线" w:eastAsia="等线" w:cs="黑体"/>
          <w:b/>
          <w:sz w:val="28"/>
          <w:szCs w:val="28"/>
        </w:rPr>
        <w:t>——太原福布斯教育初物教研室</w:t>
      </w:r>
    </w:p>
    <w:p w14:paraId="168F513E">
      <w:pPr>
        <w:numPr>
          <w:ilvl w:val="0"/>
          <w:numId w:val="1"/>
        </w:numPr>
        <w:spacing w:after="16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整卷分析</w:t>
      </w:r>
    </w:p>
    <w:p w14:paraId="132C6ED3">
      <w:pPr>
        <w:spacing w:line="360" w:lineRule="auto"/>
        <w:ind w:firstLine="420"/>
        <w:rPr>
          <w:b/>
          <w:bCs/>
          <w:sz w:val="24"/>
        </w:rPr>
      </w:pPr>
      <w:r>
        <w:rPr>
          <w:rFonts w:hint="eastAsia"/>
        </w:rPr>
        <w:t>本次考试试题一共分为两种题型，如下表所示：</w:t>
      </w:r>
    </w:p>
    <w:tbl>
      <w:tblPr>
        <w:tblStyle w:val="7"/>
        <w:tblpPr w:leftFromText="180" w:rightFromText="180" w:vertAnchor="text" w:horzAnchor="page" w:tblpX="1317" w:tblpY="304"/>
        <w:tblOverlap w:val="never"/>
        <w:tblW w:w="93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9"/>
        <w:gridCol w:w="2361"/>
        <w:gridCol w:w="2320"/>
      </w:tblGrid>
      <w:tr w14:paraId="62713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5B9BD5"/>
          </w:tcPr>
          <w:p w14:paraId="2AA44A14">
            <w:pPr>
              <w:spacing w:line="360" w:lineRule="auto"/>
              <w:jc w:val="center"/>
            </w:pPr>
            <w:r>
              <w:t>题型</w:t>
            </w:r>
          </w:p>
        </w:tc>
        <w:tc>
          <w:tcPr>
            <w:tcW w:w="2349" w:type="dxa"/>
            <w:shd w:val="clear" w:color="auto" w:fill="5B9BD5"/>
          </w:tcPr>
          <w:p w14:paraId="7BBAA84B">
            <w:pPr>
              <w:spacing w:line="360" w:lineRule="auto"/>
              <w:jc w:val="center"/>
            </w:pPr>
            <w:r>
              <w:t>题量</w:t>
            </w:r>
          </w:p>
        </w:tc>
        <w:tc>
          <w:tcPr>
            <w:tcW w:w="2361" w:type="dxa"/>
            <w:shd w:val="clear" w:color="auto" w:fill="5B9BD5"/>
          </w:tcPr>
          <w:p w14:paraId="42D74CF1">
            <w:pPr>
              <w:spacing w:line="360" w:lineRule="auto"/>
              <w:jc w:val="center"/>
            </w:pPr>
            <w:r>
              <w:t>分值</w:t>
            </w:r>
          </w:p>
        </w:tc>
        <w:tc>
          <w:tcPr>
            <w:tcW w:w="2320" w:type="dxa"/>
            <w:shd w:val="clear" w:color="auto" w:fill="5B9BD5"/>
          </w:tcPr>
          <w:p w14:paraId="58AF9197">
            <w:pPr>
              <w:spacing w:line="360" w:lineRule="auto"/>
              <w:jc w:val="center"/>
            </w:pPr>
            <w:r>
              <w:t>占比</w:t>
            </w:r>
          </w:p>
        </w:tc>
      </w:tr>
      <w:tr w14:paraId="35BB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40" w:type="dxa"/>
          </w:tcPr>
          <w:p w14:paraId="2C822D04">
            <w:pPr>
              <w:spacing w:line="360" w:lineRule="auto"/>
              <w:jc w:val="center"/>
            </w:pPr>
            <w:r>
              <w:rPr>
                <w:rFonts w:hint="eastAsia"/>
              </w:rPr>
              <w:t>选择题</w:t>
            </w:r>
          </w:p>
        </w:tc>
        <w:tc>
          <w:tcPr>
            <w:tcW w:w="2349" w:type="dxa"/>
          </w:tcPr>
          <w:p w14:paraId="1905B7B1">
            <w:pPr>
              <w:spacing w:line="360" w:lineRule="auto"/>
              <w:jc w:val="center"/>
            </w:pPr>
            <w:r>
              <w:t>1</w:t>
            </w:r>
            <w:r>
              <w:rPr>
                <w:rFonts w:hint="eastAsia"/>
              </w:rPr>
              <w:t>0</w:t>
            </w:r>
            <w:r>
              <w:t>题</w:t>
            </w:r>
          </w:p>
        </w:tc>
        <w:tc>
          <w:tcPr>
            <w:tcW w:w="2361" w:type="dxa"/>
          </w:tcPr>
          <w:p w14:paraId="0B64AE7C">
            <w:pPr>
              <w:spacing w:line="360" w:lineRule="auto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320" w:type="dxa"/>
          </w:tcPr>
          <w:p w14:paraId="308692D4">
            <w:pPr>
              <w:spacing w:line="360" w:lineRule="auto"/>
              <w:jc w:val="center"/>
            </w:pPr>
            <w:r>
              <w:rPr>
                <w:rFonts w:hint="eastAsia"/>
              </w:rPr>
              <w:t>30</w:t>
            </w:r>
            <w:r>
              <w:t>%</w:t>
            </w:r>
          </w:p>
        </w:tc>
      </w:tr>
      <w:tr w14:paraId="6C9E1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B5AEA74">
            <w:pPr>
              <w:spacing w:line="360" w:lineRule="auto"/>
              <w:jc w:val="center"/>
            </w:pPr>
            <w:r>
              <w:rPr>
                <w:rFonts w:hint="eastAsia"/>
              </w:rPr>
              <w:t>非选择题</w:t>
            </w:r>
          </w:p>
        </w:tc>
        <w:tc>
          <w:tcPr>
            <w:tcW w:w="2349" w:type="dxa"/>
          </w:tcPr>
          <w:p w14:paraId="69E14B2A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eastAsia="zh-CN"/>
              </w:rPr>
              <w:t>5</w:t>
            </w:r>
            <w:r>
              <w:t>题</w:t>
            </w:r>
          </w:p>
        </w:tc>
        <w:tc>
          <w:tcPr>
            <w:tcW w:w="2361" w:type="dxa"/>
          </w:tcPr>
          <w:p w14:paraId="030D812C">
            <w:pPr>
              <w:spacing w:line="360" w:lineRule="auto"/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320" w:type="dxa"/>
          </w:tcPr>
          <w:p w14:paraId="38213294">
            <w:pPr>
              <w:spacing w:line="360" w:lineRule="auto"/>
              <w:jc w:val="center"/>
            </w:pPr>
            <w:r>
              <w:rPr>
                <w:rFonts w:hint="eastAsia"/>
              </w:rPr>
              <w:t>70</w:t>
            </w:r>
            <w:r>
              <w:t>%</w:t>
            </w:r>
          </w:p>
        </w:tc>
      </w:tr>
    </w:tbl>
    <w:p w14:paraId="7861F9A6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二、逐题分析</w:t>
      </w:r>
    </w:p>
    <w:tbl>
      <w:tblPr>
        <w:tblStyle w:val="7"/>
        <w:tblW w:w="93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993"/>
        <w:gridCol w:w="5236"/>
        <w:gridCol w:w="1100"/>
        <w:gridCol w:w="1177"/>
      </w:tblGrid>
      <w:tr w14:paraId="16F2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  <w:shd w:val="clear" w:color="auto" w:fill="5B9BD5"/>
          </w:tcPr>
          <w:p w14:paraId="61B34027">
            <w:pPr>
              <w:spacing w:line="360" w:lineRule="auto"/>
              <w:jc w:val="center"/>
            </w:pPr>
            <w:r>
              <w:t>题型</w:t>
            </w:r>
          </w:p>
        </w:tc>
        <w:tc>
          <w:tcPr>
            <w:tcW w:w="993" w:type="dxa"/>
            <w:shd w:val="clear" w:color="auto" w:fill="5B9BD5"/>
          </w:tcPr>
          <w:p w14:paraId="34B0F2E8">
            <w:pPr>
              <w:spacing w:line="360" w:lineRule="auto"/>
              <w:jc w:val="center"/>
            </w:pPr>
            <w:r>
              <w:t>题号</w:t>
            </w:r>
          </w:p>
        </w:tc>
        <w:tc>
          <w:tcPr>
            <w:tcW w:w="5236" w:type="dxa"/>
            <w:shd w:val="clear" w:color="auto" w:fill="5B9BD5"/>
          </w:tcPr>
          <w:p w14:paraId="036386DA">
            <w:pPr>
              <w:spacing w:line="360" w:lineRule="auto"/>
              <w:jc w:val="center"/>
            </w:pPr>
            <w:r>
              <w:t>考查知识点</w:t>
            </w:r>
          </w:p>
        </w:tc>
        <w:tc>
          <w:tcPr>
            <w:tcW w:w="1100" w:type="dxa"/>
            <w:shd w:val="clear" w:color="auto" w:fill="5B9BD5"/>
          </w:tcPr>
          <w:p w14:paraId="1C390122">
            <w:pPr>
              <w:spacing w:line="360" w:lineRule="auto"/>
              <w:jc w:val="center"/>
            </w:pPr>
            <w:r>
              <w:t>难易程度</w:t>
            </w:r>
          </w:p>
        </w:tc>
        <w:tc>
          <w:tcPr>
            <w:tcW w:w="1177" w:type="dxa"/>
            <w:shd w:val="clear" w:color="auto" w:fill="5B9BD5"/>
          </w:tcPr>
          <w:p w14:paraId="51ED4812">
            <w:pPr>
              <w:spacing w:line="360" w:lineRule="auto"/>
              <w:jc w:val="center"/>
            </w:pPr>
            <w:r>
              <w:t>分值</w:t>
            </w:r>
          </w:p>
        </w:tc>
      </w:tr>
      <w:tr w14:paraId="10CFD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  <w:vMerge w:val="restart"/>
            <w:vAlign w:val="center"/>
          </w:tcPr>
          <w:p w14:paraId="7B0C9BBB">
            <w:pPr>
              <w:spacing w:line="360" w:lineRule="auto"/>
              <w:jc w:val="center"/>
            </w:pPr>
            <w:r>
              <w:rPr>
                <w:rFonts w:hint="eastAsia"/>
              </w:rPr>
              <w:t>选</w:t>
            </w:r>
          </w:p>
          <w:p w14:paraId="2DBF4C4C">
            <w:pPr>
              <w:spacing w:line="360" w:lineRule="auto"/>
              <w:jc w:val="center"/>
            </w:pPr>
            <w:r>
              <w:rPr>
                <w:rFonts w:hint="eastAsia"/>
              </w:rPr>
              <w:t>择</w:t>
            </w:r>
          </w:p>
          <w:p w14:paraId="1EDEC0B9">
            <w:pPr>
              <w:spacing w:line="360" w:lineRule="auto"/>
              <w:jc w:val="center"/>
            </w:pPr>
            <w:r>
              <w:rPr>
                <w:rFonts w:hint="eastAsia"/>
              </w:rPr>
              <w:t>题</w:t>
            </w:r>
          </w:p>
          <w:p w14:paraId="62944D20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6E5FAF3F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236" w:type="dxa"/>
          </w:tcPr>
          <w:p w14:paraId="67D2EFEE">
            <w:pPr>
              <w:spacing w:line="360" w:lineRule="auto"/>
              <w:jc w:val="center"/>
            </w:pPr>
            <w:r>
              <w:rPr>
                <w:rFonts w:hint="eastAsia"/>
              </w:rPr>
              <w:t>估测</w:t>
            </w:r>
            <w:r>
              <w:rPr>
                <w:rFonts w:hint="eastAsia"/>
                <w:lang w:eastAsia="zh-CN"/>
              </w:rPr>
              <w:t>（长度质量温度等）</w:t>
            </w:r>
          </w:p>
        </w:tc>
        <w:tc>
          <w:tcPr>
            <w:tcW w:w="1100" w:type="dxa"/>
          </w:tcPr>
          <w:p w14:paraId="224B7AF8">
            <w:pPr>
              <w:spacing w:line="360" w:lineRule="auto"/>
              <w:jc w:val="center"/>
            </w:pPr>
            <w:r>
              <w:rPr>
                <w:rFonts w:hint="eastAsia"/>
              </w:rPr>
              <w:t>易</w:t>
            </w:r>
          </w:p>
        </w:tc>
        <w:tc>
          <w:tcPr>
            <w:tcW w:w="1177" w:type="dxa"/>
          </w:tcPr>
          <w:p w14:paraId="44B93916">
            <w:pPr>
              <w:spacing w:line="360" w:lineRule="auto"/>
              <w:jc w:val="center"/>
            </w:pPr>
            <w:r>
              <w:t>3</w:t>
            </w:r>
          </w:p>
        </w:tc>
      </w:tr>
      <w:tr w14:paraId="0A98C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848" w:type="dxa"/>
            <w:vMerge w:val="continue"/>
          </w:tcPr>
          <w:p w14:paraId="103638A0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0B270335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236" w:type="dxa"/>
          </w:tcPr>
          <w:p w14:paraId="72B2BAC1">
            <w:pPr>
              <w:spacing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参照物</w:t>
            </w:r>
          </w:p>
        </w:tc>
        <w:tc>
          <w:tcPr>
            <w:tcW w:w="1100" w:type="dxa"/>
          </w:tcPr>
          <w:p w14:paraId="4DB36849">
            <w:pPr>
              <w:spacing w:line="360" w:lineRule="auto"/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177" w:type="dxa"/>
          </w:tcPr>
          <w:p w14:paraId="76B4A131">
            <w:pPr>
              <w:spacing w:line="360" w:lineRule="auto"/>
              <w:jc w:val="center"/>
            </w:pPr>
            <w:r>
              <w:t>3</w:t>
            </w:r>
          </w:p>
        </w:tc>
      </w:tr>
      <w:tr w14:paraId="480A5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848" w:type="dxa"/>
            <w:vMerge w:val="continue"/>
          </w:tcPr>
          <w:p w14:paraId="22C34976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38E5FF8C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236" w:type="dxa"/>
          </w:tcPr>
          <w:p w14:paraId="6A8962DE">
            <w:pPr>
              <w:spacing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熔化图像问题</w:t>
            </w:r>
          </w:p>
        </w:tc>
        <w:tc>
          <w:tcPr>
            <w:tcW w:w="1100" w:type="dxa"/>
          </w:tcPr>
          <w:p w14:paraId="33A2C3A7">
            <w:pPr>
              <w:spacing w:line="360" w:lineRule="auto"/>
              <w:jc w:val="center"/>
            </w:pPr>
            <w:r>
              <w:t>易</w:t>
            </w:r>
          </w:p>
        </w:tc>
        <w:tc>
          <w:tcPr>
            <w:tcW w:w="1177" w:type="dxa"/>
          </w:tcPr>
          <w:p w14:paraId="0638B1D1">
            <w:pPr>
              <w:spacing w:line="360" w:lineRule="auto"/>
              <w:jc w:val="center"/>
            </w:pPr>
            <w:r>
              <w:t>3</w:t>
            </w:r>
          </w:p>
        </w:tc>
      </w:tr>
      <w:tr w14:paraId="2796C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848" w:type="dxa"/>
            <w:vMerge w:val="continue"/>
          </w:tcPr>
          <w:p w14:paraId="4EEE2C41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222491BB"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236" w:type="dxa"/>
          </w:tcPr>
          <w:p w14:paraId="6FF77DC9">
            <w:pPr>
              <w:spacing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声音的三特性</w:t>
            </w:r>
          </w:p>
        </w:tc>
        <w:tc>
          <w:tcPr>
            <w:tcW w:w="1100" w:type="dxa"/>
          </w:tcPr>
          <w:p w14:paraId="04A17378">
            <w:pPr>
              <w:spacing w:line="360" w:lineRule="auto"/>
              <w:jc w:val="center"/>
            </w:pPr>
            <w:r>
              <w:t>易</w:t>
            </w:r>
          </w:p>
        </w:tc>
        <w:tc>
          <w:tcPr>
            <w:tcW w:w="1177" w:type="dxa"/>
          </w:tcPr>
          <w:p w14:paraId="40D7885A">
            <w:pPr>
              <w:spacing w:line="360" w:lineRule="auto"/>
              <w:jc w:val="center"/>
            </w:pPr>
            <w:r>
              <w:t>3</w:t>
            </w:r>
          </w:p>
        </w:tc>
      </w:tr>
      <w:tr w14:paraId="1EFD3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848" w:type="dxa"/>
            <w:vMerge w:val="continue"/>
          </w:tcPr>
          <w:p w14:paraId="5DB67854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3C330B6D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236" w:type="dxa"/>
          </w:tcPr>
          <w:p w14:paraId="0D4A376E">
            <w:pPr>
              <w:spacing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光现象原理现象对应</w:t>
            </w:r>
          </w:p>
        </w:tc>
        <w:tc>
          <w:tcPr>
            <w:tcW w:w="1100" w:type="dxa"/>
          </w:tcPr>
          <w:p w14:paraId="733D40D6">
            <w:pPr>
              <w:spacing w:line="360" w:lineRule="auto"/>
              <w:jc w:val="center"/>
            </w:pPr>
            <w:r>
              <w:t>易</w:t>
            </w:r>
          </w:p>
        </w:tc>
        <w:tc>
          <w:tcPr>
            <w:tcW w:w="1177" w:type="dxa"/>
          </w:tcPr>
          <w:p w14:paraId="0FED55B2">
            <w:pPr>
              <w:spacing w:line="360" w:lineRule="auto"/>
              <w:jc w:val="center"/>
            </w:pPr>
            <w:r>
              <w:t>3</w:t>
            </w:r>
          </w:p>
        </w:tc>
      </w:tr>
      <w:tr w14:paraId="47226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848" w:type="dxa"/>
            <w:vMerge w:val="continue"/>
          </w:tcPr>
          <w:p w14:paraId="73FB1C48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0378F95C">
            <w:pPr>
              <w:spacing w:line="360" w:lineRule="auto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236" w:type="dxa"/>
          </w:tcPr>
          <w:p w14:paraId="5302F3FF">
            <w:pPr>
              <w:spacing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声现象综合应用</w:t>
            </w:r>
          </w:p>
        </w:tc>
        <w:tc>
          <w:tcPr>
            <w:tcW w:w="1100" w:type="dxa"/>
          </w:tcPr>
          <w:p w14:paraId="3357529B">
            <w:pPr>
              <w:spacing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易</w:t>
            </w:r>
          </w:p>
        </w:tc>
        <w:tc>
          <w:tcPr>
            <w:tcW w:w="1177" w:type="dxa"/>
          </w:tcPr>
          <w:p w14:paraId="3808DD66">
            <w:pPr>
              <w:spacing w:line="360" w:lineRule="auto"/>
              <w:jc w:val="center"/>
            </w:pPr>
            <w:r>
              <w:t>3</w:t>
            </w:r>
          </w:p>
        </w:tc>
      </w:tr>
      <w:tr w14:paraId="699B5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  <w:vMerge w:val="continue"/>
          </w:tcPr>
          <w:p w14:paraId="0E66E3CE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1C3E2051">
            <w:pPr>
              <w:spacing w:line="36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236" w:type="dxa"/>
          </w:tcPr>
          <w:p w14:paraId="166A8C09">
            <w:pPr>
              <w:spacing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折射光路</w:t>
            </w:r>
          </w:p>
        </w:tc>
        <w:tc>
          <w:tcPr>
            <w:tcW w:w="1100" w:type="dxa"/>
          </w:tcPr>
          <w:p w14:paraId="108AE920">
            <w:pPr>
              <w:spacing w:line="360" w:lineRule="auto"/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177" w:type="dxa"/>
          </w:tcPr>
          <w:p w14:paraId="3C1E186A">
            <w:pPr>
              <w:spacing w:line="360" w:lineRule="auto"/>
              <w:jc w:val="center"/>
            </w:pPr>
            <w:r>
              <w:t>3</w:t>
            </w:r>
          </w:p>
        </w:tc>
      </w:tr>
      <w:tr w14:paraId="0EFF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  <w:vMerge w:val="continue"/>
          </w:tcPr>
          <w:p w14:paraId="08A39059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05E5607B">
            <w:pPr>
              <w:spacing w:line="3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236" w:type="dxa"/>
          </w:tcPr>
          <w:p w14:paraId="4BB3005C">
            <w:pPr>
              <w:spacing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物态变化</w:t>
            </w:r>
          </w:p>
        </w:tc>
        <w:tc>
          <w:tcPr>
            <w:tcW w:w="1100" w:type="dxa"/>
          </w:tcPr>
          <w:p w14:paraId="2D21B3AC">
            <w:pPr>
              <w:spacing w:line="360" w:lineRule="auto"/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177" w:type="dxa"/>
          </w:tcPr>
          <w:p w14:paraId="00F696B2">
            <w:pPr>
              <w:spacing w:line="360" w:lineRule="auto"/>
              <w:jc w:val="center"/>
            </w:pPr>
            <w:r>
              <w:t>3</w:t>
            </w:r>
          </w:p>
        </w:tc>
      </w:tr>
      <w:tr w14:paraId="07915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  <w:vMerge w:val="continue"/>
          </w:tcPr>
          <w:p w14:paraId="05E36052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7EF2D6B4">
            <w:pPr>
              <w:spacing w:line="360" w:lineRule="auto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236" w:type="dxa"/>
          </w:tcPr>
          <w:p w14:paraId="4523C6B1">
            <w:pPr>
              <w:spacing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光的反射</w:t>
            </w:r>
          </w:p>
        </w:tc>
        <w:tc>
          <w:tcPr>
            <w:tcW w:w="1100" w:type="dxa"/>
          </w:tcPr>
          <w:p w14:paraId="088A49F3">
            <w:pPr>
              <w:spacing w:line="360" w:lineRule="auto"/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177" w:type="dxa"/>
          </w:tcPr>
          <w:p w14:paraId="3C4393FE">
            <w:pPr>
              <w:spacing w:line="360" w:lineRule="auto"/>
              <w:jc w:val="center"/>
            </w:pPr>
            <w:r>
              <w:t>3</w:t>
            </w:r>
          </w:p>
        </w:tc>
      </w:tr>
      <w:tr w14:paraId="37E4C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  <w:vMerge w:val="continue"/>
          </w:tcPr>
          <w:p w14:paraId="6CE756F2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01FF796E">
            <w:pPr>
              <w:spacing w:line="360" w:lineRule="auto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236" w:type="dxa"/>
          </w:tcPr>
          <w:p w14:paraId="40E219A6">
            <w:pPr>
              <w:spacing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密度图像</w:t>
            </w:r>
          </w:p>
        </w:tc>
        <w:tc>
          <w:tcPr>
            <w:tcW w:w="1100" w:type="dxa"/>
          </w:tcPr>
          <w:p w14:paraId="3CFEC0FC">
            <w:pPr>
              <w:spacing w:line="360" w:lineRule="auto"/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177" w:type="dxa"/>
          </w:tcPr>
          <w:p w14:paraId="143E5F90">
            <w:pPr>
              <w:spacing w:line="360" w:lineRule="auto"/>
              <w:jc w:val="center"/>
            </w:pPr>
            <w:r>
              <w:t>3</w:t>
            </w:r>
          </w:p>
        </w:tc>
      </w:tr>
      <w:tr w14:paraId="406BD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  <w:vMerge w:val="restart"/>
            <w:vAlign w:val="center"/>
          </w:tcPr>
          <w:p w14:paraId="5F94F56F">
            <w:pPr>
              <w:spacing w:line="360" w:lineRule="auto"/>
              <w:jc w:val="center"/>
            </w:pPr>
            <w:r>
              <w:rPr>
                <w:rFonts w:hint="eastAsia"/>
              </w:rPr>
              <w:t>主</w:t>
            </w:r>
          </w:p>
          <w:p w14:paraId="70987C69">
            <w:pPr>
              <w:spacing w:line="360" w:lineRule="auto"/>
              <w:jc w:val="center"/>
            </w:pPr>
            <w:r>
              <w:rPr>
                <w:rFonts w:hint="eastAsia"/>
              </w:rPr>
              <w:t>观</w:t>
            </w:r>
          </w:p>
          <w:p w14:paraId="24E9C73A">
            <w:pPr>
              <w:spacing w:line="360" w:lineRule="auto"/>
              <w:jc w:val="center"/>
            </w:pPr>
            <w:r>
              <w:rPr>
                <w:rFonts w:hint="eastAsia"/>
              </w:rPr>
              <w:t>题</w:t>
            </w:r>
          </w:p>
        </w:tc>
        <w:tc>
          <w:tcPr>
            <w:tcW w:w="993" w:type="dxa"/>
          </w:tcPr>
          <w:p w14:paraId="378CB1F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5236" w:type="dxa"/>
          </w:tcPr>
          <w:p w14:paraId="2B935B65">
            <w:pPr>
              <w:spacing w:line="360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沸腾实验</w:t>
            </w:r>
          </w:p>
        </w:tc>
        <w:tc>
          <w:tcPr>
            <w:tcW w:w="1100" w:type="dxa"/>
          </w:tcPr>
          <w:p w14:paraId="4F25FA4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易</w:t>
            </w:r>
          </w:p>
        </w:tc>
        <w:tc>
          <w:tcPr>
            <w:tcW w:w="1177" w:type="dxa"/>
          </w:tcPr>
          <w:p w14:paraId="7F000FD2">
            <w:pPr>
              <w:spacing w:line="360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8</w:t>
            </w:r>
          </w:p>
        </w:tc>
      </w:tr>
      <w:tr w14:paraId="2DEA9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8" w:type="dxa"/>
            <w:vMerge w:val="continue"/>
          </w:tcPr>
          <w:p w14:paraId="0575A6B3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0D88D1B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5236" w:type="dxa"/>
          </w:tcPr>
          <w:p w14:paraId="54E2CF52">
            <w:pPr>
              <w:spacing w:line="360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透镜实验</w:t>
            </w:r>
          </w:p>
        </w:tc>
        <w:tc>
          <w:tcPr>
            <w:tcW w:w="1100" w:type="dxa"/>
          </w:tcPr>
          <w:p w14:paraId="1C385535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中</w:t>
            </w:r>
          </w:p>
        </w:tc>
        <w:tc>
          <w:tcPr>
            <w:tcW w:w="1177" w:type="dxa"/>
          </w:tcPr>
          <w:p w14:paraId="3829929E">
            <w:pPr>
              <w:spacing w:line="360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10</w:t>
            </w:r>
          </w:p>
        </w:tc>
      </w:tr>
      <w:tr w14:paraId="04A50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  <w:vMerge w:val="continue"/>
          </w:tcPr>
          <w:p w14:paraId="1AFDC0E5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13DDD32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5236" w:type="dxa"/>
          </w:tcPr>
          <w:p w14:paraId="3FF96CD5">
            <w:pPr>
              <w:spacing w:line="360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密度实验</w:t>
            </w:r>
          </w:p>
        </w:tc>
        <w:tc>
          <w:tcPr>
            <w:tcW w:w="1100" w:type="dxa"/>
          </w:tcPr>
          <w:p w14:paraId="5ED10B08">
            <w:pPr>
              <w:spacing w:line="360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中</w:t>
            </w:r>
          </w:p>
        </w:tc>
        <w:tc>
          <w:tcPr>
            <w:tcW w:w="1177" w:type="dxa"/>
          </w:tcPr>
          <w:p w14:paraId="14A1221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</w:tr>
      <w:tr w14:paraId="14856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  <w:vMerge w:val="continue"/>
          </w:tcPr>
          <w:p w14:paraId="4A6B0C42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07C20AC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5236" w:type="dxa"/>
          </w:tcPr>
          <w:p w14:paraId="3A237298">
            <w:pPr>
              <w:spacing w:line="360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速度实验</w:t>
            </w:r>
          </w:p>
        </w:tc>
        <w:tc>
          <w:tcPr>
            <w:tcW w:w="1100" w:type="dxa"/>
          </w:tcPr>
          <w:p w14:paraId="7CEFFAF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中</w:t>
            </w:r>
          </w:p>
        </w:tc>
        <w:tc>
          <w:tcPr>
            <w:tcW w:w="1177" w:type="dxa"/>
          </w:tcPr>
          <w:p w14:paraId="1D7B0BEE">
            <w:pPr>
              <w:spacing w:line="360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4</w:t>
            </w:r>
          </w:p>
        </w:tc>
      </w:tr>
      <w:tr w14:paraId="389D2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48" w:type="dxa"/>
            <w:vMerge w:val="continue"/>
          </w:tcPr>
          <w:p w14:paraId="5BC9AF2B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6351E88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5236" w:type="dxa"/>
          </w:tcPr>
          <w:p w14:paraId="58515535">
            <w:pPr>
              <w:spacing w:line="360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设计实验（平面镜成像）</w:t>
            </w:r>
          </w:p>
        </w:tc>
        <w:tc>
          <w:tcPr>
            <w:tcW w:w="1100" w:type="dxa"/>
          </w:tcPr>
          <w:p w14:paraId="433EC2DF">
            <w:pPr>
              <w:spacing w:line="360" w:lineRule="auto"/>
              <w:jc w:val="center"/>
              <w:rPr>
                <w:rFonts w:eastAsia="Times New Roman"/>
                <w:szCs w:val="21"/>
              </w:rPr>
            </w:pPr>
            <w:r>
              <w:rPr>
                <w:rFonts w:hint="eastAsia"/>
                <w:szCs w:val="21"/>
              </w:rPr>
              <w:t>中</w:t>
            </w:r>
          </w:p>
        </w:tc>
        <w:tc>
          <w:tcPr>
            <w:tcW w:w="1177" w:type="dxa"/>
          </w:tcPr>
          <w:p w14:paraId="59C6BF1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14:paraId="35E4D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  <w:vMerge w:val="continue"/>
          </w:tcPr>
          <w:p w14:paraId="7F4095B5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6BBC367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5236" w:type="dxa"/>
          </w:tcPr>
          <w:p w14:paraId="2E825ADC">
            <w:pPr>
              <w:spacing w:line="360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蒸发</w:t>
            </w:r>
          </w:p>
        </w:tc>
        <w:tc>
          <w:tcPr>
            <w:tcW w:w="1100" w:type="dxa"/>
          </w:tcPr>
          <w:p w14:paraId="59E4657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易</w:t>
            </w:r>
          </w:p>
        </w:tc>
        <w:tc>
          <w:tcPr>
            <w:tcW w:w="1177" w:type="dxa"/>
          </w:tcPr>
          <w:p w14:paraId="2A1655C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14:paraId="3F1E8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  <w:vMerge w:val="continue"/>
          </w:tcPr>
          <w:p w14:paraId="27DE947E">
            <w:pPr>
              <w:spacing w:line="360" w:lineRule="auto"/>
              <w:jc w:val="center"/>
            </w:pPr>
          </w:p>
        </w:tc>
        <w:tc>
          <w:tcPr>
            <w:tcW w:w="993" w:type="dxa"/>
          </w:tcPr>
          <w:p w14:paraId="20F374D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5236" w:type="dxa"/>
          </w:tcPr>
          <w:p w14:paraId="36D58E55">
            <w:pPr>
              <w:spacing w:line="360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光的反射，紫外线红外线</w:t>
            </w:r>
          </w:p>
        </w:tc>
        <w:tc>
          <w:tcPr>
            <w:tcW w:w="1100" w:type="dxa"/>
          </w:tcPr>
          <w:p w14:paraId="39C217E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易</w:t>
            </w:r>
          </w:p>
        </w:tc>
        <w:tc>
          <w:tcPr>
            <w:tcW w:w="1177" w:type="dxa"/>
          </w:tcPr>
          <w:p w14:paraId="661B447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14:paraId="75FD7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  <w:vMerge w:val="continue"/>
          </w:tcPr>
          <w:p w14:paraId="10B0C2D4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93" w:type="dxa"/>
          </w:tcPr>
          <w:p w14:paraId="682EF85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  <w:tc>
          <w:tcPr>
            <w:tcW w:w="5236" w:type="dxa"/>
          </w:tcPr>
          <w:p w14:paraId="6CF9D35B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密度，透镜</w:t>
            </w:r>
          </w:p>
        </w:tc>
        <w:tc>
          <w:tcPr>
            <w:tcW w:w="1100" w:type="dxa"/>
          </w:tcPr>
          <w:p w14:paraId="472E3B4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中</w:t>
            </w:r>
          </w:p>
        </w:tc>
        <w:tc>
          <w:tcPr>
            <w:tcW w:w="1177" w:type="dxa"/>
          </w:tcPr>
          <w:p w14:paraId="53A4D7F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</w:tr>
      <w:tr w14:paraId="7837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</w:tcPr>
          <w:p w14:paraId="17F9C84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93" w:type="dxa"/>
          </w:tcPr>
          <w:p w14:paraId="6483F2E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5236" w:type="dxa"/>
          </w:tcPr>
          <w:p w14:paraId="35095AFC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密度改错</w:t>
            </w:r>
          </w:p>
        </w:tc>
        <w:tc>
          <w:tcPr>
            <w:tcW w:w="1100" w:type="dxa"/>
          </w:tcPr>
          <w:p w14:paraId="42F446B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中</w:t>
            </w:r>
          </w:p>
        </w:tc>
        <w:tc>
          <w:tcPr>
            <w:tcW w:w="1177" w:type="dxa"/>
          </w:tcPr>
          <w:p w14:paraId="3048E9A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</w:tr>
      <w:tr w14:paraId="158B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</w:tcPr>
          <w:p w14:paraId="16FCC904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93" w:type="dxa"/>
          </w:tcPr>
          <w:p w14:paraId="7AB85CB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5236" w:type="dxa"/>
          </w:tcPr>
          <w:p w14:paraId="0DC9D683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望远镜阅读材料</w:t>
            </w:r>
          </w:p>
        </w:tc>
        <w:tc>
          <w:tcPr>
            <w:tcW w:w="1100" w:type="dxa"/>
          </w:tcPr>
          <w:p w14:paraId="1337272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中</w:t>
            </w:r>
          </w:p>
        </w:tc>
        <w:tc>
          <w:tcPr>
            <w:tcW w:w="1177" w:type="dxa"/>
          </w:tcPr>
          <w:p w14:paraId="45E5A23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</w:tr>
      <w:tr w14:paraId="097A7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</w:tcPr>
          <w:p w14:paraId="340CD946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93" w:type="dxa"/>
          </w:tcPr>
          <w:p w14:paraId="6BF82D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5236" w:type="dxa"/>
          </w:tcPr>
          <w:p w14:paraId="2AF522AC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光的反射作图</w:t>
            </w:r>
          </w:p>
        </w:tc>
        <w:tc>
          <w:tcPr>
            <w:tcW w:w="1100" w:type="dxa"/>
          </w:tcPr>
          <w:p w14:paraId="193FDE74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易</w:t>
            </w:r>
          </w:p>
        </w:tc>
        <w:tc>
          <w:tcPr>
            <w:tcW w:w="1177" w:type="dxa"/>
          </w:tcPr>
          <w:p w14:paraId="4245C3E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</w:tr>
      <w:tr w14:paraId="775A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</w:tcPr>
          <w:p w14:paraId="3B826BCB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93" w:type="dxa"/>
          </w:tcPr>
          <w:p w14:paraId="156E1C3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5236" w:type="dxa"/>
          </w:tcPr>
          <w:p w14:paraId="3C3C6EA6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透镜作图</w:t>
            </w:r>
          </w:p>
        </w:tc>
        <w:tc>
          <w:tcPr>
            <w:tcW w:w="1100" w:type="dxa"/>
          </w:tcPr>
          <w:p w14:paraId="756DB0E4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易</w:t>
            </w:r>
          </w:p>
        </w:tc>
        <w:tc>
          <w:tcPr>
            <w:tcW w:w="1177" w:type="dxa"/>
          </w:tcPr>
          <w:p w14:paraId="0C280BD3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2</w:t>
            </w:r>
          </w:p>
        </w:tc>
      </w:tr>
      <w:tr w14:paraId="69F24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</w:tcPr>
          <w:p w14:paraId="5E68B659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93" w:type="dxa"/>
          </w:tcPr>
          <w:p w14:paraId="722869B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</w:t>
            </w:r>
          </w:p>
        </w:tc>
        <w:tc>
          <w:tcPr>
            <w:tcW w:w="5236" w:type="dxa"/>
          </w:tcPr>
          <w:p w14:paraId="136D9011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密度简答</w:t>
            </w:r>
          </w:p>
        </w:tc>
        <w:tc>
          <w:tcPr>
            <w:tcW w:w="1100" w:type="dxa"/>
          </w:tcPr>
          <w:p w14:paraId="6D3CA15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中</w:t>
            </w:r>
          </w:p>
        </w:tc>
        <w:tc>
          <w:tcPr>
            <w:tcW w:w="1177" w:type="dxa"/>
          </w:tcPr>
          <w:p w14:paraId="4A062CD2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4</w:t>
            </w:r>
          </w:p>
        </w:tc>
      </w:tr>
      <w:tr w14:paraId="5032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</w:tcPr>
          <w:p w14:paraId="0D9B3176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93" w:type="dxa"/>
          </w:tcPr>
          <w:p w14:paraId="15C525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24</w:t>
            </w:r>
          </w:p>
        </w:tc>
        <w:tc>
          <w:tcPr>
            <w:tcW w:w="5236" w:type="dxa"/>
          </w:tcPr>
          <w:p w14:paraId="474BE4EF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速度计算</w:t>
            </w:r>
          </w:p>
        </w:tc>
        <w:tc>
          <w:tcPr>
            <w:tcW w:w="1100" w:type="dxa"/>
          </w:tcPr>
          <w:p w14:paraId="459A92B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中</w:t>
            </w:r>
          </w:p>
        </w:tc>
        <w:tc>
          <w:tcPr>
            <w:tcW w:w="1177" w:type="dxa"/>
          </w:tcPr>
          <w:p w14:paraId="55FC6EC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</w:tr>
      <w:tr w14:paraId="3853B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8" w:type="dxa"/>
          </w:tcPr>
          <w:p w14:paraId="50BD801C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93" w:type="dxa"/>
          </w:tcPr>
          <w:p w14:paraId="2C400C2B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25</w:t>
            </w:r>
          </w:p>
        </w:tc>
        <w:tc>
          <w:tcPr>
            <w:tcW w:w="5236" w:type="dxa"/>
          </w:tcPr>
          <w:p w14:paraId="6520ECE0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密度计算</w:t>
            </w:r>
          </w:p>
        </w:tc>
        <w:tc>
          <w:tcPr>
            <w:tcW w:w="1100" w:type="dxa"/>
          </w:tcPr>
          <w:p w14:paraId="3BB44D17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中</w:t>
            </w:r>
          </w:p>
        </w:tc>
        <w:tc>
          <w:tcPr>
            <w:tcW w:w="1177" w:type="dxa"/>
          </w:tcPr>
          <w:p w14:paraId="0C21E055">
            <w:pPr>
              <w:spacing w:line="360" w:lineRule="auto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6</w:t>
            </w:r>
          </w:p>
        </w:tc>
      </w:tr>
    </w:tbl>
    <w:p w14:paraId="6F719EE5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</w:p>
    <w:p w14:paraId="139ADB4E">
      <w:pPr>
        <w:numPr>
          <w:numId w:val="0"/>
        </w:numPr>
        <w:tabs>
          <w:tab w:val="left" w:pos="3565"/>
        </w:tabs>
        <w:spacing w:line="360" w:lineRule="auto"/>
        <w:ind w:leftChars="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三、知识点分析</w:t>
      </w:r>
    </w:p>
    <w:p w14:paraId="1439035A">
      <w:pPr>
        <w:spacing w:line="360" w:lineRule="auto"/>
        <w:rPr>
          <w:b/>
          <w:bCs/>
        </w:rPr>
      </w:pPr>
      <w:r>
        <w:rPr>
          <w:rFonts w:hint="eastAsia"/>
        </w:rPr>
        <w:t>期中考试涉及的各知识点分值分析如下：</w:t>
      </w:r>
    </w:p>
    <w:tbl>
      <w:tblPr>
        <w:tblW w:w="98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926"/>
        <w:gridCol w:w="5148"/>
        <w:gridCol w:w="1405"/>
        <w:gridCol w:w="868"/>
      </w:tblGrid>
      <w:tr w14:paraId="4CB01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shd w:val="clear"/>
            <w:noWrap/>
            <w:vAlign w:val="center"/>
          </w:tcPr>
          <w:p w14:paraId="07E998D5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知识点</w:t>
            </w:r>
          </w:p>
        </w:tc>
        <w:tc>
          <w:tcPr>
            <w:tcW w:w="926" w:type="dxa"/>
            <w:shd w:val="clear"/>
            <w:noWrap/>
            <w:vAlign w:val="center"/>
          </w:tcPr>
          <w:p w14:paraId="0DBBB64B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分值</w:t>
            </w:r>
          </w:p>
        </w:tc>
        <w:tc>
          <w:tcPr>
            <w:tcW w:w="5148" w:type="dxa"/>
            <w:shd w:val="clear"/>
            <w:noWrap/>
            <w:vAlign w:val="center"/>
          </w:tcPr>
          <w:p w14:paraId="3D29066D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考查内容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683E0C7D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难易程度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08CB8384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对应分值</w:t>
            </w:r>
          </w:p>
        </w:tc>
      </w:tr>
      <w:tr w14:paraId="0262E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restart"/>
            <w:shd w:val="clear"/>
            <w:noWrap/>
            <w:vAlign w:val="center"/>
          </w:tcPr>
          <w:p w14:paraId="2A8D0020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声学</w:t>
            </w:r>
          </w:p>
        </w:tc>
        <w:tc>
          <w:tcPr>
            <w:tcW w:w="926" w:type="dxa"/>
            <w:vMerge w:val="restart"/>
            <w:shd w:val="clear"/>
            <w:noWrap/>
            <w:vAlign w:val="center"/>
          </w:tcPr>
          <w:p w14:paraId="7BDDEBE5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6</w:t>
            </w:r>
          </w:p>
        </w:tc>
        <w:tc>
          <w:tcPr>
            <w:tcW w:w="5148" w:type="dxa"/>
            <w:shd w:val="clear"/>
            <w:noWrap/>
            <w:vAlign w:val="center"/>
          </w:tcPr>
          <w:p w14:paraId="2CE01603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声音的特性（音调）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4EC49AAA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易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4F39D1D2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3</w:t>
            </w:r>
          </w:p>
        </w:tc>
      </w:tr>
      <w:tr w14:paraId="18E2B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continue"/>
            <w:tcBorders/>
            <w:shd w:val="clear"/>
            <w:noWrap/>
            <w:vAlign w:val="center"/>
          </w:tcPr>
          <w:p w14:paraId="41B6FCF7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926" w:type="dxa"/>
            <w:vMerge w:val="continue"/>
            <w:tcBorders/>
            <w:shd w:val="clear"/>
            <w:noWrap/>
            <w:vAlign w:val="center"/>
          </w:tcPr>
          <w:p w14:paraId="01F21120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5148" w:type="dxa"/>
            <w:shd w:val="clear"/>
            <w:noWrap/>
            <w:vAlign w:val="center"/>
          </w:tcPr>
          <w:p w14:paraId="48FB3A70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声音的产生与传播、声音的利用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162AFD43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易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4D236DA5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3</w:t>
            </w:r>
          </w:p>
        </w:tc>
      </w:tr>
      <w:tr w14:paraId="47E7D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restart"/>
            <w:shd w:val="clear"/>
            <w:noWrap/>
            <w:vAlign w:val="center"/>
          </w:tcPr>
          <w:p w14:paraId="3FAB7A92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热学</w:t>
            </w:r>
          </w:p>
        </w:tc>
        <w:tc>
          <w:tcPr>
            <w:tcW w:w="926" w:type="dxa"/>
            <w:vMerge w:val="restart"/>
            <w:shd w:val="clear"/>
            <w:noWrap/>
            <w:vAlign w:val="center"/>
          </w:tcPr>
          <w:p w14:paraId="1B8106E7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14</w:t>
            </w:r>
          </w:p>
        </w:tc>
        <w:tc>
          <w:tcPr>
            <w:tcW w:w="5148" w:type="dxa"/>
            <w:shd w:val="clear"/>
            <w:noWrap/>
            <w:vAlign w:val="center"/>
          </w:tcPr>
          <w:p w14:paraId="76A2F848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物态变化（凝固、汽化、凝华等）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62750038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中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07D8F3D0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8</w:t>
            </w:r>
          </w:p>
        </w:tc>
      </w:tr>
      <w:tr w14:paraId="6D69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continue"/>
            <w:tcBorders/>
            <w:shd w:val="clear"/>
            <w:noWrap/>
            <w:vAlign w:val="center"/>
          </w:tcPr>
          <w:p w14:paraId="2431A190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926" w:type="dxa"/>
            <w:vMerge w:val="continue"/>
            <w:tcBorders/>
            <w:shd w:val="clear"/>
            <w:noWrap/>
            <w:vAlign w:val="center"/>
          </w:tcPr>
          <w:p w14:paraId="4B0A1A58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5148" w:type="dxa"/>
            <w:shd w:val="clear"/>
            <w:noWrap/>
            <w:vAlign w:val="center"/>
          </w:tcPr>
          <w:p w14:paraId="042F580F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水的沸腾实验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516F97B5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中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0088D101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 w14:paraId="4B8EF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" w:hRule="atLeast"/>
          <w:jc w:val="center"/>
        </w:trPr>
        <w:tc>
          <w:tcPr>
            <w:tcW w:w="1519" w:type="dxa"/>
            <w:vMerge w:val="restart"/>
            <w:shd w:val="clear"/>
            <w:noWrap/>
            <w:vAlign w:val="center"/>
          </w:tcPr>
          <w:p w14:paraId="6F5F86E2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光学</w:t>
            </w:r>
          </w:p>
        </w:tc>
        <w:tc>
          <w:tcPr>
            <w:tcW w:w="926" w:type="dxa"/>
            <w:vMerge w:val="restart"/>
            <w:shd w:val="clear"/>
            <w:noWrap/>
            <w:vAlign w:val="center"/>
          </w:tcPr>
          <w:p w14:paraId="34B71D3F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22</w:t>
            </w:r>
          </w:p>
        </w:tc>
        <w:tc>
          <w:tcPr>
            <w:tcW w:w="5148" w:type="dxa"/>
            <w:shd w:val="clear"/>
            <w:noWrap/>
            <w:vAlign w:val="center"/>
          </w:tcPr>
          <w:p w14:paraId="4F9DD369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光的直线传播（针孔成像）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6A334399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易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776C75BB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3</w:t>
            </w:r>
          </w:p>
        </w:tc>
      </w:tr>
      <w:tr w14:paraId="6F64D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continue"/>
            <w:tcBorders/>
            <w:shd w:val="clear"/>
            <w:noWrap/>
            <w:vAlign w:val="center"/>
          </w:tcPr>
          <w:p w14:paraId="5E14CA03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926" w:type="dxa"/>
            <w:vMerge w:val="continue"/>
            <w:tcBorders/>
            <w:shd w:val="clear"/>
            <w:noWrap/>
            <w:vAlign w:val="center"/>
          </w:tcPr>
          <w:p w14:paraId="4B53D4E8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5148" w:type="dxa"/>
            <w:shd w:val="clear"/>
            <w:noWrap/>
            <w:vAlign w:val="center"/>
          </w:tcPr>
          <w:p w14:paraId="3C2C21B2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光的反射定律及实验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4E77153B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中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5337CEEE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7</w:t>
            </w:r>
          </w:p>
        </w:tc>
      </w:tr>
      <w:tr w14:paraId="78EA4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continue"/>
            <w:tcBorders/>
            <w:shd w:val="clear"/>
            <w:noWrap/>
            <w:vAlign w:val="center"/>
          </w:tcPr>
          <w:p w14:paraId="739A8D2E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926" w:type="dxa"/>
            <w:vMerge w:val="continue"/>
            <w:tcBorders/>
            <w:shd w:val="clear"/>
            <w:noWrap/>
            <w:vAlign w:val="center"/>
          </w:tcPr>
          <w:p w14:paraId="312E7A96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5148" w:type="dxa"/>
            <w:shd w:val="clear"/>
            <w:noWrap/>
            <w:vAlign w:val="center"/>
          </w:tcPr>
          <w:p w14:paraId="680DE0F5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光的折射现象及光路图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7FEC6B8C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中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604F0664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8</w:t>
            </w:r>
          </w:p>
        </w:tc>
      </w:tr>
      <w:tr w14:paraId="5F10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continue"/>
            <w:tcBorders/>
            <w:shd w:val="clear"/>
            <w:noWrap/>
            <w:vAlign w:val="center"/>
          </w:tcPr>
          <w:p w14:paraId="46AB2FC9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926" w:type="dxa"/>
            <w:vMerge w:val="continue"/>
            <w:tcBorders/>
            <w:shd w:val="clear"/>
            <w:noWrap/>
            <w:vAlign w:val="center"/>
          </w:tcPr>
          <w:p w14:paraId="458F9049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5148" w:type="dxa"/>
            <w:shd w:val="clear"/>
            <w:noWrap/>
            <w:vAlign w:val="center"/>
          </w:tcPr>
          <w:p w14:paraId="211A3BFD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凸透镜成像规律及应用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6F426A57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中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4AB5DBF2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4</w:t>
            </w:r>
          </w:p>
        </w:tc>
      </w:tr>
      <w:tr w14:paraId="171BE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restart"/>
            <w:shd w:val="clear"/>
            <w:noWrap/>
            <w:vAlign w:val="center"/>
          </w:tcPr>
          <w:p w14:paraId="29EFCA9A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力学</w:t>
            </w:r>
          </w:p>
        </w:tc>
        <w:tc>
          <w:tcPr>
            <w:tcW w:w="926" w:type="dxa"/>
            <w:vMerge w:val="restart"/>
            <w:shd w:val="clear"/>
            <w:noWrap/>
            <w:vAlign w:val="center"/>
          </w:tcPr>
          <w:p w14:paraId="295CB03A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28</w:t>
            </w:r>
          </w:p>
        </w:tc>
        <w:tc>
          <w:tcPr>
            <w:tcW w:w="5148" w:type="dxa"/>
            <w:shd w:val="clear"/>
            <w:noWrap/>
            <w:vAlign w:val="center"/>
          </w:tcPr>
          <w:p w14:paraId="462564C8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长度、质量、温度等物理量估测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2472431F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易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57B3870C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3</w:t>
            </w:r>
          </w:p>
        </w:tc>
      </w:tr>
      <w:tr w14:paraId="16CF7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continue"/>
            <w:tcBorders/>
            <w:shd w:val="clear"/>
            <w:noWrap/>
            <w:vAlign w:val="center"/>
          </w:tcPr>
          <w:p w14:paraId="16E6B42B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926" w:type="dxa"/>
            <w:vMerge w:val="continue"/>
            <w:tcBorders/>
            <w:shd w:val="clear"/>
            <w:noWrap/>
            <w:vAlign w:val="center"/>
          </w:tcPr>
          <w:p w14:paraId="13A4252F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5148" w:type="dxa"/>
            <w:shd w:val="clear"/>
            <w:noWrap/>
            <w:vAlign w:val="center"/>
          </w:tcPr>
          <w:p w14:paraId="6C4D2D9C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参照物与运动状态判断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390C7AC7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易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3E251C88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3</w:t>
            </w:r>
          </w:p>
        </w:tc>
      </w:tr>
      <w:tr w14:paraId="21A21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continue"/>
            <w:tcBorders/>
            <w:shd w:val="clear"/>
            <w:noWrap/>
            <w:vAlign w:val="center"/>
          </w:tcPr>
          <w:p w14:paraId="377870A4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926" w:type="dxa"/>
            <w:vMerge w:val="continue"/>
            <w:tcBorders/>
            <w:shd w:val="clear"/>
            <w:noWrap/>
            <w:vAlign w:val="center"/>
          </w:tcPr>
          <w:p w14:paraId="69E64FFD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5148" w:type="dxa"/>
            <w:shd w:val="clear"/>
            <w:noWrap/>
            <w:vAlign w:val="center"/>
          </w:tcPr>
          <w:p w14:paraId="63BFCF08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速度计算（平均速度）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28FE3938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中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51970893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4</w:t>
            </w:r>
          </w:p>
        </w:tc>
      </w:tr>
      <w:tr w14:paraId="7A5F5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continue"/>
            <w:tcBorders/>
            <w:shd w:val="clear"/>
            <w:noWrap/>
            <w:vAlign w:val="center"/>
          </w:tcPr>
          <w:p w14:paraId="3D86BE42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926" w:type="dxa"/>
            <w:vMerge w:val="continue"/>
            <w:tcBorders/>
            <w:shd w:val="clear"/>
            <w:noWrap/>
            <w:vAlign w:val="center"/>
          </w:tcPr>
          <w:p w14:paraId="10195289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5148" w:type="dxa"/>
            <w:shd w:val="clear"/>
            <w:noWrap/>
            <w:vAlign w:val="center"/>
          </w:tcPr>
          <w:p w14:paraId="27E16763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质量与体积的关系、密度计算及测量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356A3EBB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中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45A19F02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18</w:t>
            </w:r>
          </w:p>
        </w:tc>
      </w:tr>
      <w:tr w14:paraId="0B6E8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restart"/>
            <w:shd w:val="clear"/>
            <w:noWrap/>
            <w:vAlign w:val="center"/>
          </w:tcPr>
          <w:p w14:paraId="77E32230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其他（实验设计、跨学科实践等）</w:t>
            </w:r>
          </w:p>
        </w:tc>
        <w:tc>
          <w:tcPr>
            <w:tcW w:w="926" w:type="dxa"/>
            <w:vMerge w:val="restart"/>
            <w:shd w:val="clear"/>
            <w:noWrap/>
            <w:vAlign w:val="center"/>
          </w:tcPr>
          <w:p w14:paraId="5A431074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30</w:t>
            </w:r>
          </w:p>
        </w:tc>
        <w:tc>
          <w:tcPr>
            <w:tcW w:w="5148" w:type="dxa"/>
            <w:shd w:val="clear"/>
            <w:noWrap/>
            <w:vAlign w:val="center"/>
          </w:tcPr>
          <w:p w14:paraId="03723EA3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实验设计与优化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68BC77F9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难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2A704AED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8</w:t>
            </w:r>
          </w:p>
        </w:tc>
      </w:tr>
      <w:tr w14:paraId="27C4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continue"/>
            <w:tcBorders/>
            <w:shd w:val="clear"/>
            <w:noWrap/>
            <w:vAlign w:val="center"/>
          </w:tcPr>
          <w:p w14:paraId="35180A38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926" w:type="dxa"/>
            <w:vMerge w:val="continue"/>
            <w:tcBorders/>
            <w:shd w:val="clear"/>
            <w:noWrap/>
            <w:vAlign w:val="center"/>
          </w:tcPr>
          <w:p w14:paraId="491E63DE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5148" w:type="dxa"/>
            <w:shd w:val="clear"/>
            <w:noWrap/>
            <w:vAlign w:val="center"/>
          </w:tcPr>
          <w:p w14:paraId="52DEB11E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跨学科实践（简易望远镜制作）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7D5A1314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中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3C728833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10</w:t>
            </w:r>
          </w:p>
        </w:tc>
      </w:tr>
      <w:tr w14:paraId="2BCEB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9" w:type="dxa"/>
            <w:vMerge w:val="continue"/>
            <w:tcBorders/>
            <w:shd w:val="clear"/>
            <w:noWrap/>
            <w:vAlign w:val="center"/>
          </w:tcPr>
          <w:p w14:paraId="75F36E3F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926" w:type="dxa"/>
            <w:vMerge w:val="continue"/>
            <w:tcBorders/>
            <w:shd w:val="clear"/>
            <w:noWrap/>
            <w:vAlign w:val="center"/>
          </w:tcPr>
          <w:p w14:paraId="748BABB1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</w:p>
        </w:tc>
        <w:tc>
          <w:tcPr>
            <w:tcW w:w="5148" w:type="dxa"/>
            <w:shd w:val="clear"/>
            <w:noWrap/>
            <w:vAlign w:val="center"/>
          </w:tcPr>
          <w:p w14:paraId="1D1BBFBF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综合应用题（光路图绘制、密度相关实际应用）</w:t>
            </w:r>
          </w:p>
        </w:tc>
        <w:tc>
          <w:tcPr>
            <w:tcW w:w="1405" w:type="dxa"/>
            <w:shd w:val="clear"/>
            <w:noWrap/>
            <w:vAlign w:val="center"/>
          </w:tcPr>
          <w:p w14:paraId="2BEBCE04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中</w:t>
            </w:r>
          </w:p>
        </w:tc>
        <w:tc>
          <w:tcPr>
            <w:tcW w:w="868" w:type="dxa"/>
            <w:shd w:val="clear"/>
            <w:noWrap/>
            <w:vAlign w:val="center"/>
          </w:tcPr>
          <w:p w14:paraId="6CC25A15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4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12</w:t>
            </w:r>
          </w:p>
        </w:tc>
      </w:tr>
    </w:tbl>
    <w:p w14:paraId="4A9B0913">
      <w:pPr>
        <w:numPr>
          <w:numId w:val="0"/>
        </w:numPr>
        <w:tabs>
          <w:tab w:val="left" w:pos="3565"/>
        </w:tabs>
        <w:spacing w:line="360" w:lineRule="auto"/>
        <w:ind w:leftChars="0"/>
        <w:rPr>
          <w:rFonts w:hint="default" w:ascii="微软雅黑" w:hAnsi="微软雅黑" w:eastAsia="微软雅黑"/>
          <w:sz w:val="24"/>
          <w:szCs w:val="24"/>
          <w:lang w:val="en-US" w:eastAsia="zh-CN"/>
        </w:rPr>
      </w:pPr>
    </w:p>
    <w:p w14:paraId="10C35E14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四</w:t>
      </w:r>
      <w:r>
        <w:rPr>
          <w:rFonts w:hint="eastAsia" w:ascii="微软雅黑" w:hAnsi="微软雅黑" w:eastAsia="微软雅黑"/>
          <w:sz w:val="24"/>
          <w:szCs w:val="24"/>
        </w:rPr>
        <w:t>、试卷总评</w:t>
      </w:r>
    </w:p>
    <w:p w14:paraId="0F5CF809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本次为八年级物理期末学业诊断卷，整体结构清晰，难度中等。覆盖了八年级上学期物理的核心知识点，考察内容围绕声学、热学、光学、力学四大模块展开，命题严格遵循“从生活走向物理，从物理走向社会”的理念，情景贴合学生生活实际（如篮球运球、空中加油、糖画制作等）。试卷注重基础知识的全面考查，同时通过实验探究题和综合应用题，侧重检测学生的实验操作、数据处理、逻辑推理及实际应用能力。</w:t>
      </w:r>
    </w:p>
    <w:p w14:paraId="2111A0CB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1. 选择题（1-10题）</w:t>
      </w:r>
    </w:p>
    <w:p w14:paraId="5DA74114">
      <w:pPr>
        <w:numPr>
          <w:ilvl w:val="0"/>
          <w:numId w:val="2"/>
        </w:numPr>
        <w:tabs>
          <w:tab w:val="left" w:pos="3565"/>
        </w:tabs>
        <w:spacing w:line="360" w:lineRule="auto"/>
        <w:ind w:left="420" w:leftChars="0" w:hanging="420" w:firstLineChars="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难度：前6题为基础题，侧重概念记忆与简单应用；后4题难度稍升，涉及实验原理和规律分析。</w:t>
      </w:r>
    </w:p>
    <w:p w14:paraId="59123BED">
      <w:pPr>
        <w:numPr>
          <w:ilvl w:val="0"/>
          <w:numId w:val="2"/>
        </w:numPr>
        <w:tabs>
          <w:tab w:val="left" w:pos="3565"/>
        </w:tabs>
        <w:spacing w:line="360" w:lineRule="auto"/>
        <w:ind w:left="420" w:leftChars="0" w:hanging="420" w:firstLineChars="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易错点：</w:t>
      </w:r>
    </w:p>
    <w:p w14:paraId="08285795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- 第3题：糖浆凝固图像分析，易混淆晶体与非晶体凝固特点。</w:t>
      </w:r>
    </w:p>
    <w:p w14:paraId="0D9C8837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- 第9题：光的反射定律应用，对反射角计算、入射光线与反射光线的动态关系理解不透彻。</w:t>
      </w:r>
    </w:p>
    <w:p w14:paraId="78A6504A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- 第10题：密度图像分析，易误判不同物质密度大小及组成关系。</w:t>
      </w:r>
    </w:p>
    <w:p w14:paraId="4A5B6441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2. 实验与探究题（11-15题）</w:t>
      </w:r>
    </w:p>
    <w:p w14:paraId="4A9435FA">
      <w:pPr>
        <w:numPr>
          <w:ilvl w:val="0"/>
          <w:numId w:val="2"/>
        </w:numPr>
        <w:tabs>
          <w:tab w:val="left" w:pos="3565"/>
        </w:tabs>
        <w:spacing w:line="360" w:lineRule="auto"/>
        <w:ind w:left="420" w:leftChars="0" w:hanging="420" w:firstLineChars="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难度：中等偏难，重点考查实验操作规范、数据解读、误差分析及实验设计能力。</w:t>
      </w:r>
    </w:p>
    <w:p w14:paraId="55969F4F">
      <w:pPr>
        <w:numPr>
          <w:ilvl w:val="0"/>
          <w:numId w:val="2"/>
        </w:numPr>
        <w:tabs>
          <w:tab w:val="left" w:pos="3565"/>
        </w:tabs>
        <w:spacing w:line="360" w:lineRule="auto"/>
        <w:ind w:left="420" w:leftChars="0" w:hanging="420" w:firstLineChars="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易错点：</w:t>
      </w:r>
    </w:p>
    <w:p w14:paraId="594C9379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- 第12题：凸透镜成像规律应用，对物距、像距与像的大小关系及实际应用场景对应错误。</w:t>
      </w:r>
    </w:p>
    <w:p w14:paraId="26AE16D4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- 第13题：密度测量实验，平衡螺母调节方向、实验步骤优化及误差分析容易出错。</w:t>
      </w:r>
    </w:p>
    <w:p w14:paraId="2CDD850E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- 第15题：平面镜成像实验设计，对控制变量法的应用和实验结论的推导逻辑不清晰。</w:t>
      </w:r>
    </w:p>
    <w:p w14:paraId="67B26E71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3. 综合与应用题（16-25题）</w:t>
      </w:r>
    </w:p>
    <w:p w14:paraId="1C3009AF">
      <w:pPr>
        <w:numPr>
          <w:ilvl w:val="0"/>
          <w:numId w:val="2"/>
        </w:numPr>
        <w:tabs>
          <w:tab w:val="left" w:pos="3565"/>
        </w:tabs>
        <w:spacing w:line="360" w:lineRule="auto"/>
        <w:ind w:left="420" w:leftChars="0" w:hanging="420" w:firstLineChars="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难度：跨度较大，从基础概念应用到综合计算与实践操作均有涉及。</w:t>
      </w:r>
    </w:p>
    <w:p w14:paraId="1A969E6C">
      <w:pPr>
        <w:numPr>
          <w:ilvl w:val="0"/>
          <w:numId w:val="2"/>
        </w:numPr>
        <w:tabs>
          <w:tab w:val="left" w:pos="3565"/>
        </w:tabs>
        <w:spacing w:line="360" w:lineRule="auto"/>
        <w:ind w:left="420" w:leftChars="0" w:hanging="420" w:firstLineChars="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易错点：</w:t>
      </w:r>
    </w:p>
    <w:p w14:paraId="2EC010EC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- 第21、22题：光路图绘制，忽略光的折射规律或凸透镜对平行光的会聚特点。</w:t>
      </w:r>
    </w:p>
    <w:p w14:paraId="2CBE7900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- 第24题：速度计算，单位换算错误或平均速度公式应用不当。</w:t>
      </w:r>
    </w:p>
    <w:p w14:paraId="2FF95EE3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- 第25题：密度相关综合计算，体积比例关系及质量公式变形应用失误。</w:t>
      </w:r>
    </w:p>
    <w:p w14:paraId="1FB0A716">
      <w:pPr>
        <w:tabs>
          <w:tab w:val="left" w:pos="3565"/>
        </w:tabs>
        <w:spacing w:line="360" w:lineRule="auto"/>
        <w:ind w:firstLine="480" w:firstLineChars="200"/>
        <w:rPr>
          <w:rFonts w:hint="eastAsia"/>
        </w:rPr>
      </w:pPr>
      <w:r>
        <w:rPr>
          <w:rFonts w:hint="eastAsia" w:ascii="微软雅黑" w:hAnsi="微软雅黑" w:eastAsia="微软雅黑"/>
          <w:sz w:val="24"/>
          <w:szCs w:val="24"/>
        </w:rPr>
        <w:t>五、教学与复习建议</w:t>
      </w:r>
    </w:p>
    <w:p w14:paraId="0B938B9A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🎯 85分以上</w:t>
      </w:r>
    </w:p>
    <w:p w14:paraId="3E45D653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• 现状分析：基础扎实，能熟练掌握光现象、物态变化、密度计算等核心知识，在综合实验和创新题型上表现突出。</w:t>
      </w:r>
    </w:p>
    <w:p w14:paraId="1B5B95AA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• 复习建议</w:t>
      </w:r>
    </w:p>
    <w:p w14:paraId="62EBC2D2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1. 专题突破：重点攻克试卷中的跨学科实践题（如第20题望远镜制作、第25题“黄河铁牛”模型计算）、动态光学作图（第21题、22题）和密度复杂推导题（第19题）。</w:t>
      </w:r>
    </w:p>
    <w:p w14:paraId="7F1A4CAF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2. 拓展延伸：接触竞赛级别的物理模型，如复杂光路设计、密度混合计算、相对运动的进阶应用，提升知识迁移能力。</w:t>
      </w:r>
    </w:p>
    <w:p w14:paraId="7021B5D8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3. 错题深挖：整理试卷中所有失分点，分析是计算失误还是思路偏差，建立“错题+变式”训练集。</w:t>
      </w:r>
    </w:p>
    <w:p w14:paraId="5877F402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4. 教学互动：鼓励这类学生参与课堂难题讲解，通过“教”强化自身理解，同时带动班级学习氛围。</w:t>
      </w:r>
    </w:p>
    <w:p w14:paraId="23964910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🎯 76-84分</w:t>
      </w:r>
    </w:p>
    <w:p w14:paraId="42E26D24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• 现状分析：对主干知识掌握较好，但在细节处理、实验探究的严谨性和中等难度综合题上存在漏洞。</w:t>
      </w:r>
    </w:p>
    <w:p w14:paraId="6721E970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• 复习建议</w:t>
      </w:r>
    </w:p>
    <w:p w14:paraId="02BB976F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1. 查漏补缺：针对试卷中实验题（如第11题水沸腾实验、第12题凸透镜成像）的步骤疏漏、公式适用条件混淆等问题进行专项训练。</w:t>
      </w:r>
    </w:p>
    <w:p w14:paraId="6AA95EC9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2. 规范表达：强化计算题的公式书写、单位换算和实验题的术语表达，减少非知识性失分。</w:t>
      </w:r>
    </w:p>
    <w:p w14:paraId="426CA71C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3. 中档题强化：每周完成2-3套试卷的中档综合题（如第14题气球运动平均速度、第16题“透火焙干”原理），总结解题模板。</w:t>
      </w:r>
    </w:p>
    <w:p w14:paraId="7C0E756A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4. 教学侧重：课堂上增加实验探究的细节提问，引导学生梳理实验原理与步骤的对应关系。</w:t>
      </w:r>
    </w:p>
    <w:p w14:paraId="29F08D81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🎯 68-75分</w:t>
      </w:r>
    </w:p>
    <w:p w14:paraId="77934872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• 现状分析：基础知识点有明显短板，如光学作图不规范、密度公式应用模糊，对稍复杂的推理题感到吃力。</w:t>
      </w:r>
    </w:p>
    <w:p w14:paraId="106EE135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• 复习建议</w:t>
      </w:r>
    </w:p>
    <w:p w14:paraId="09716533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1. 基础夯实：重新梳理光现象（反射、折射规律）、物态变化（吸放热判断）、密度计算的核心公式和概念，通过每日10道基础题强化记忆。</w:t>
      </w:r>
    </w:p>
    <w:p w14:paraId="296376C0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2. 题型拆解：将试卷中的综合题拆解为基础小问，比如把第19题的冰密度推导拆成“质量不变→体积变化→密度计算”的步骤训练。</w:t>
      </w:r>
    </w:p>
    <w:p w14:paraId="558AF77F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3. 实验专项：重点突破课本基础实验（如水沸腾、凸透镜成像）的原理、器材和误差分析，确保实验题得分率≥80%。</w:t>
      </w:r>
    </w:p>
    <w:p w14:paraId="4E3EFDDF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🎯 60-67分</w:t>
      </w:r>
    </w:p>
    <w:p w14:paraId="4ACBEFBB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• 现状分析：基础薄弱，存在大量概念混淆（如凸透镜成像规律、物态变化吸放热），简单计算也易出错。</w:t>
      </w:r>
    </w:p>
    <w:p w14:paraId="77BB84B1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• 复习建议</w:t>
      </w:r>
      <w:bookmarkStart w:id="0" w:name="_GoBack"/>
      <w:bookmarkEnd w:id="0"/>
    </w:p>
    <w:p w14:paraId="16FE4BF0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1. 概念清零：用1-2周时间逐章过课本，结合试卷错题（如第3题物态变化图像、第9题光的反射定律），整理“概念误区清单”。</w:t>
      </w:r>
    </w:p>
    <w:p w14:paraId="4C7B76BE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2. 公式专项：整理所有必背公式，每天默写+代入简单数值计算，确保公式应用不混淆。</w:t>
      </w:r>
    </w:p>
    <w:p w14:paraId="134F6C85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3. 保底训练：聚焦试卷中选择题前8题、实验题前2小问、计算题第1问等基础分值，保证会的题不丢分。</w:t>
      </w:r>
    </w:p>
    <w:p w14:paraId="2DDD6088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🎯 60分以下</w:t>
      </w:r>
    </w:p>
    <w:p w14:paraId="3CB8467E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• 现状分析：对物理基本概念和公式缺乏理解，无法独立完成基础题，课堂参与度低。</w:t>
      </w:r>
    </w:p>
    <w:p w14:paraId="54AC87B9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• 复习建议</w:t>
      </w:r>
    </w:p>
    <w:p w14:paraId="6F1168E4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1. 兴趣激活：从生活中的物理现象入手（如试卷中第6题定向音响、第16题“透火焙干”），降低学习门槛。</w:t>
      </w:r>
    </w:p>
    <w:p w14:paraId="72205193">
      <w:pPr>
        <w:tabs>
          <w:tab w:val="left" w:pos="3565"/>
        </w:tabs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2. 最小单元突破：每天只攻克1个小知识点（如“光的反射定律”），配套3-5道对应基础题，确保学一点会一点</w:t>
      </w:r>
    </w:p>
    <w:p w14:paraId="0B80369B">
      <w:pPr>
        <w:tabs>
          <w:tab w:val="left" w:pos="3565"/>
        </w:tabs>
        <w:spacing w:line="360" w:lineRule="auto"/>
        <w:ind w:firstLine="640" w:firstLineChars="200"/>
        <w:rPr>
          <w:rFonts w:hint="eastAsia" w:ascii="微软雅黑" w:hAnsi="微软雅黑" w:eastAsia="微软雅黑" w:cs="微软雅黑"/>
          <w:sz w:val="32"/>
          <w:szCs w:val="32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86DB3">
    <w:pPr>
      <w:pStyle w:val="4"/>
      <w:jc w:val="center"/>
      <w:rPr>
        <w:sz w:val="21"/>
        <w:szCs w:val="21"/>
      </w:rPr>
    </w:pPr>
    <w:r>
      <w:rPr>
        <w:rFonts w:ascii="微软雅黑" w:hAnsi="微软雅黑" w:eastAsia="微软雅黑" w:cs="MS Mincho"/>
        <w:b/>
        <w:bCs/>
        <w:color w:val="00B0F0"/>
        <w:kern w:val="0"/>
        <w:sz w:val="21"/>
        <w:szCs w:val="21"/>
      </w:rPr>
      <w:t>核心价</w:t>
    </w:r>
    <w:r>
      <w:rPr>
        <w:rFonts w:ascii="微软雅黑" w:hAnsi="微软雅黑" w:eastAsia="微软雅黑"/>
        <w:b/>
        <w:bCs/>
        <w:color w:val="00B0F0"/>
        <w:kern w:val="0"/>
        <w:sz w:val="21"/>
        <w:szCs w:val="21"/>
      </w:rPr>
      <w:t>值观</w:t>
    </w:r>
    <w:r>
      <w:rPr>
        <w:rFonts w:ascii="微软雅黑" w:hAnsi="微软雅黑" w:eastAsia="微软雅黑" w:cs="MS Mincho"/>
        <w:b/>
        <w:bCs/>
        <w:color w:val="00B0F0"/>
        <w:kern w:val="0"/>
        <w:sz w:val="21"/>
        <w:szCs w:val="21"/>
      </w:rPr>
      <w:t>：成就客</w:t>
    </w:r>
    <w:r>
      <w:rPr>
        <w:rFonts w:ascii="微软雅黑" w:hAnsi="微软雅黑" w:eastAsia="微软雅黑"/>
        <w:b/>
        <w:bCs/>
        <w:color w:val="00B0F0"/>
        <w:kern w:val="0"/>
        <w:sz w:val="21"/>
        <w:szCs w:val="21"/>
      </w:rPr>
      <w:t>户</w:t>
    </w:r>
    <w:r>
      <w:rPr>
        <w:rFonts w:ascii="微软雅黑" w:hAnsi="微软雅黑" w:eastAsia="微软雅黑" w:cs="Arial"/>
        <w:b/>
        <w:bCs/>
        <w:color w:val="00B0F0"/>
        <w:kern w:val="0"/>
        <w:sz w:val="21"/>
        <w:szCs w:val="21"/>
      </w:rPr>
      <w:t xml:space="preserve"> </w:t>
    </w:r>
    <w:r>
      <w:rPr>
        <w:rFonts w:hint="eastAsia" w:ascii="微软雅黑" w:hAnsi="微软雅黑" w:eastAsia="微软雅黑" w:cs="Arial"/>
        <w:b/>
        <w:bCs/>
        <w:color w:val="00B0F0"/>
        <w:kern w:val="0"/>
        <w:sz w:val="21"/>
        <w:szCs w:val="21"/>
      </w:rPr>
      <w:t xml:space="preserve"> </w:t>
    </w:r>
    <w:r>
      <w:rPr>
        <w:rFonts w:ascii="微软雅黑" w:hAnsi="微软雅黑" w:eastAsia="微软雅黑" w:cs="Arial"/>
        <w:b/>
        <w:bCs/>
        <w:color w:val="00B0F0"/>
        <w:kern w:val="0"/>
        <w:sz w:val="21"/>
        <w:szCs w:val="21"/>
      </w:rPr>
      <w:t>|  </w:t>
    </w:r>
    <w:r>
      <w:rPr>
        <w:rFonts w:ascii="微软雅黑" w:hAnsi="微软雅黑" w:eastAsia="微软雅黑"/>
        <w:b/>
        <w:bCs/>
        <w:color w:val="00B0F0"/>
        <w:kern w:val="0"/>
        <w:sz w:val="21"/>
        <w:szCs w:val="21"/>
      </w:rPr>
      <w:t>诚信</w:t>
    </w:r>
    <w:r>
      <w:rPr>
        <w:rFonts w:ascii="微软雅黑" w:hAnsi="微软雅黑" w:eastAsia="微软雅黑" w:cs="Arial"/>
        <w:b/>
        <w:bCs/>
        <w:color w:val="00B0F0"/>
        <w:kern w:val="0"/>
        <w:sz w:val="21"/>
        <w:szCs w:val="21"/>
      </w:rPr>
      <w:t xml:space="preserve">  |  </w:t>
    </w:r>
    <w:r>
      <w:rPr>
        <w:rFonts w:ascii="微软雅黑" w:hAnsi="微软雅黑" w:eastAsia="微软雅黑"/>
        <w:b/>
        <w:bCs/>
        <w:color w:val="00B0F0"/>
        <w:kern w:val="0"/>
        <w:sz w:val="21"/>
        <w:szCs w:val="21"/>
      </w:rPr>
      <w:t>务实</w:t>
    </w:r>
    <w:r>
      <w:rPr>
        <w:rFonts w:ascii="微软雅黑" w:hAnsi="微软雅黑" w:eastAsia="微软雅黑" w:cs="Arial"/>
        <w:b/>
        <w:bCs/>
        <w:color w:val="00B0F0"/>
        <w:kern w:val="0"/>
        <w:sz w:val="21"/>
        <w:szCs w:val="21"/>
      </w:rPr>
      <w:t xml:space="preserve">  |  </w:t>
    </w:r>
    <w:r>
      <w:rPr>
        <w:rFonts w:ascii="微软雅黑" w:hAnsi="微软雅黑" w:eastAsia="微软雅黑"/>
        <w:b/>
        <w:bCs/>
        <w:color w:val="00B0F0"/>
        <w:kern w:val="0"/>
        <w:sz w:val="21"/>
        <w:szCs w:val="21"/>
      </w:rPr>
      <w:t>协作</w:t>
    </w:r>
    <w:r>
      <w:rPr>
        <w:rFonts w:ascii="微软雅黑" w:hAnsi="微软雅黑" w:eastAsia="微软雅黑" w:cs="Arial"/>
        <w:b/>
        <w:bCs/>
        <w:color w:val="00B0F0"/>
        <w:kern w:val="0"/>
        <w:sz w:val="21"/>
        <w:szCs w:val="21"/>
      </w:rPr>
      <w:t xml:space="preserve"> |  </w:t>
    </w:r>
    <w:r>
      <w:rPr>
        <w:rFonts w:ascii="微软雅黑" w:hAnsi="微软雅黑" w:eastAsia="微软雅黑"/>
        <w:b/>
        <w:bCs/>
        <w:color w:val="00B0F0"/>
        <w:kern w:val="0"/>
        <w:sz w:val="21"/>
        <w:szCs w:val="21"/>
      </w:rPr>
      <w:t>创</w:t>
    </w:r>
    <w:r>
      <w:rPr>
        <w:rFonts w:ascii="微软雅黑" w:hAnsi="微软雅黑" w:eastAsia="微软雅黑" w:cs="MS Mincho"/>
        <w:b/>
        <w:bCs/>
        <w:color w:val="00B0F0"/>
        <w:kern w:val="0"/>
        <w:sz w:val="21"/>
        <w:szCs w:val="21"/>
      </w:rPr>
      <w:t>新</w:t>
    </w:r>
  </w:p>
  <w:p w14:paraId="55151ADB">
    <w:pPr>
      <w:pStyle w:val="4"/>
      <w:framePr w:wrap="around" w:vAnchor="text" w:hAnchor="page" w:x="5740" w:y="53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 PAGE </w:instrText>
    </w:r>
    <w:r>
      <w:rPr>
        <w:rStyle w:val="11"/>
      </w:rPr>
      <w:fldChar w:fldCharType="separate"/>
    </w:r>
    <w:r>
      <w:rPr>
        <w:rStyle w:val="11"/>
      </w:rPr>
      <w:t>- 1 -</w:t>
    </w:r>
    <w:r>
      <w:rPr>
        <w:rStyle w:val="11"/>
      </w:rPr>
      <w:fldChar w:fldCharType="end"/>
    </w:r>
  </w:p>
  <w:p w14:paraId="25B4318E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0001B">
    <w:pPr>
      <w:pStyle w:val="4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63C0B2EB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0830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0DF0F">
    <w:pPr>
      <w:pStyle w:val="5"/>
      <w:pBdr>
        <w:bottom w:val="single" w:color="auto" w:sz="4" w:space="1"/>
      </w:pBdr>
      <w:ind w:right="720"/>
      <w:rPr>
        <w:b/>
        <w:bCs/>
      </w:rPr>
    </w:pPr>
    <w:r>
      <w:rPr>
        <w:b/>
        <w:bCs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4236720</wp:posOffset>
          </wp:positionH>
          <wp:positionV relativeFrom="paragraph">
            <wp:posOffset>23495</wp:posOffset>
          </wp:positionV>
          <wp:extent cx="1828800" cy="243840"/>
          <wp:effectExtent l="0" t="0" r="0" b="3810"/>
          <wp:wrapSquare wrapText="bothSides"/>
          <wp:docPr id="41773290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732905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" cy="243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1126490" cy="286385"/>
          <wp:effectExtent l="0" t="0" r="3810" b="571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2649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b/>
        <w:bCs/>
      </w:rPr>
      <w:t xml:space="preserve">                                            </w:t>
    </w:r>
  </w:p>
  <w:p w14:paraId="47B367CB">
    <w:pPr>
      <w:pStyle w:val="5"/>
      <w:pBdr>
        <w:bottom w:val="single" w:color="auto" w:sz="4" w:space="1"/>
      </w:pBdr>
      <w:ind w:right="720"/>
    </w:pPr>
    <w:r>
      <w:rPr>
        <w:rFonts w:hint="eastAsia"/>
        <w:b/>
        <w:bCs/>
      </w:rPr>
      <w:t xml:space="preserve">                    </w:t>
    </w:r>
    <w:r>
      <w:rPr>
        <w:b/>
        <w:bCs/>
      </w:rPr>
      <w:t xml:space="preserve">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63122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5CBC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3421ED80"/>
    <w:multiLevelType w:val="singleLevel"/>
    <w:tmpl w:val="3421ED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535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Times New Roman" w:hAnsi="Times New Roman" w:eastAsia="Times New Roman" w:cs="Times New Roman"/>
      <w:sz w:val="20"/>
      <w:szCs w:val="20"/>
    </w:rPr>
  </w:style>
  <w:style w:type="paragraph" w:styleId="3">
    <w:name w:val="Plain Text"/>
    <w:basedOn w:val="1"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</w:rPr>
  </w:style>
  <w:style w:type="character" w:styleId="11">
    <w:name w:val="page number"/>
    <w:basedOn w:val="9"/>
    <w:qFormat/>
    <w:uiPriority w:val="0"/>
  </w:style>
  <w:style w:type="character" w:customStyle="1" w:styleId="12">
    <w:name w:val="页脚 字符"/>
    <w:link w:val="4"/>
    <w:qFormat/>
    <w:uiPriority w:val="0"/>
    <w:rPr>
      <w:kern w:val="2"/>
      <w:sz w:val="18"/>
      <w:szCs w:val="22"/>
    </w:rPr>
  </w:style>
  <w:style w:type="paragraph" w:customStyle="1" w:styleId="13">
    <w:name w:val="列表段落1"/>
    <w:basedOn w:val="1"/>
    <w:qFormat/>
    <w:uiPriority w:val="99"/>
    <w:pPr>
      <w:ind w:firstLine="420" w:firstLineChars="200"/>
    </w:pPr>
  </w:style>
  <w:style w:type="paragraph" w:customStyle="1" w:styleId="14">
    <w:name w:val="_Style 2"/>
    <w:basedOn w:val="1"/>
    <w:qFormat/>
    <w:uiPriority w:val="99"/>
    <w:pPr>
      <w:ind w:firstLine="420" w:firstLineChars="200"/>
    </w:pPr>
  </w:style>
  <w:style w:type="paragraph" w:customStyle="1" w:styleId="15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324</Words>
  <Characters>358</Characters>
  <Lines>1515</Lines>
  <Paragraphs>742</Paragraphs>
  <TotalTime>5</TotalTime>
  <ScaleCrop>false</ScaleCrop>
  <LinksUpToDate>false</LinksUpToDate>
  <CharactersWithSpaces>358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2025-11-20T14:42:00Z</dcterms:created>
  <dc:creator>Administrator</dc:creator>
  <cp:lastModifiedBy>小强</cp:lastModifiedBy>
  <dcterms:modified xsi:type="dcterms:W3CDTF">2026-01-31T04:13:25Z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66AA96DA03254C6B977590EC40A0235B_13</vt:lpwstr>
  </property>
  <property fmtid="{D5CDD505-2E9C-101B-9397-08002B2CF9AE}" pid="4" name="KSOTemplateDocerSaveRecord">
    <vt:lpwstr>eyJoZGlkIjoiYTg2YWRmZGU0MDUxMGY0NWQyMTNhNjJiOTc3NzFiMjIiLCJ1c2VySWQiOiIyNTE2MjYyNTkifQ==</vt:lpwstr>
  </property>
</Properties>
</file>