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0132F">
      <w:pPr>
        <w:jc w:val="center"/>
        <w:textAlignment w:val="center"/>
        <w:rPr>
          <w:rFonts w:ascii="宋体" w:hAnsi="宋体" w:eastAsia="宋体" w:cs="宋体"/>
          <w:b/>
          <w:i w:val="0"/>
          <w:color w:val="000000"/>
          <w:sz w:val="30"/>
        </w:rPr>
      </w:pP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
                    <a:stretch>
                      <a:fillRect/>
                    </a:stretch>
                  </pic:blipFill>
                  <pic:spPr>
                    <a:xfrm>
                      <a:off x="0" y="0"/>
                      <a:ext cx="12700" cy="12700"/>
                    </a:xfrm>
                    <a:prstGeom prst="rect">
                      <a:avLst/>
                    </a:prstGeom>
                  </pic:spPr>
                </pic:pic>
              </a:graphicData>
            </a:graphic>
          </wp:inline>
        </w:drawing>
      </w:r>
      <w:r>
        <w:rPr>
          <w:rFonts w:ascii="宋体" w:hAnsi="宋体" w:eastAsia="宋体" w:cs="宋体"/>
          <w:b/>
          <w:i w:val="0"/>
          <w:color w:val="000000"/>
          <w:sz w:val="30"/>
        </w:rPr>
        <w:t>2026年全日制2月第4周英语周测</w:t>
      </w:r>
    </w:p>
    <w:p w14:paraId="3C11C3E0">
      <w:pPr>
        <w:jc w:val="center"/>
        <w:textAlignment w:val="center"/>
        <w:rPr>
          <w:rFonts w:ascii="Calibri" w:hAnsi="Calibri" w:eastAsia="Calibri" w:cs="Calibri"/>
          <w:b w:val="0"/>
          <w:i w:val="0"/>
          <w:color w:val="000000"/>
          <w:sz w:val="21"/>
        </w:rPr>
      </w:pPr>
      <w:r>
        <w:rPr>
          <w:rFonts w:ascii="Calibri" w:hAnsi="Calibri" w:eastAsia="Calibri" w:cs="Calibri"/>
          <w:b w:val="0"/>
          <w:i w:val="0"/>
          <w:color w:val="000000"/>
          <w:sz w:val="21"/>
        </w:rPr>
        <w:t>学校:___________姓名：___________班级：___________考号：___________</w:t>
      </w:r>
    </w:p>
    <w:p w14:paraId="43188CF4">
      <w:pPr>
        <w:jc w:val="center"/>
        <w:textAlignment w:val="center"/>
        <w:rPr>
          <w:rFonts w:ascii="黑体" w:hAnsi="黑体" w:eastAsia="黑体" w:cs="黑体"/>
          <w:b/>
          <w:i w:val="0"/>
          <w:color w:val="000000"/>
          <w:sz w:val="30"/>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0"/>
        <w:gridCol w:w="1478"/>
      </w:tblGrid>
      <w:tr w14:paraId="30BDA4C8">
        <w:tc>
          <w:tcPr>
            <w:tcW w:w="2000" w:type="dxa"/>
            <w:tcBorders>
              <w:top w:val="nil"/>
              <w:left w:val="nil"/>
              <w:bottom w:val="nil"/>
              <w:right w:val="nil"/>
            </w:tcBorders>
          </w:tcPr>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81"/>
              <w:gridCol w:w="788"/>
            </w:tblGrid>
            <w:tr w14:paraId="04C1116B">
              <w:trPr>
                <w:trHeight w:val="400" w:hRule="atLeast"/>
              </w:trPr>
              <w:tc>
                <w:tcPr>
                  <w:tcW w:w="1000" w:type="dxa"/>
                  <w:tcBorders>
                    <w:top w:val="single" w:color="auto" w:sz="12" w:space="0"/>
                    <w:left w:val="single" w:color="auto" w:sz="12" w:space="0"/>
                    <w:bottom w:val="single" w:color="auto" w:sz="12" w:space="0"/>
                    <w:right w:val="single" w:color="auto" w:sz="12" w:space="0"/>
                  </w:tcBorders>
                  <w:vAlign w:val="center"/>
                </w:tcPr>
                <w:p w14:paraId="012E34A4">
                  <w:pPr>
                    <w:pBdr>
                      <w:top w:val="none" w:color="auto" w:sz="0" w:space="0"/>
                      <w:left w:val="none" w:color="auto" w:sz="0" w:space="0"/>
                      <w:bottom w:val="none" w:color="auto" w:sz="0" w:space="0"/>
                      <w:right w:val="none" w:color="auto" w:sz="0" w:space="0"/>
                      <w:between w:val="none" w:color="auto" w:sz="0" w:space="0"/>
                    </w:pBdr>
                    <w:jc w:val="center"/>
                    <w:textAlignment w:val="center"/>
                    <w:rPr>
                      <w:b w:val="0"/>
                      <w:sz w:val="21"/>
                    </w:rPr>
                  </w:pPr>
                  <w:r>
                    <w:rPr>
                      <w:b w:val="0"/>
                      <w:sz w:val="21"/>
                    </w:rPr>
                    <w:t>评卷人</w:t>
                  </w:r>
                </w:p>
              </w:tc>
              <w:tc>
                <w:tcPr>
                  <w:tcW w:w="800" w:type="dxa"/>
                  <w:tcBorders>
                    <w:top w:val="single" w:color="auto" w:sz="12" w:space="0"/>
                    <w:left w:val="single" w:color="auto" w:sz="12" w:space="0"/>
                    <w:bottom w:val="single" w:color="auto" w:sz="12" w:space="0"/>
                    <w:right w:val="single" w:color="auto" w:sz="12" w:space="0"/>
                  </w:tcBorders>
                  <w:vAlign w:val="center"/>
                </w:tcPr>
                <w:p w14:paraId="4831814D">
                  <w:pPr>
                    <w:pBdr>
                      <w:top w:val="none" w:color="auto" w:sz="0" w:space="0"/>
                      <w:left w:val="none" w:color="auto" w:sz="0" w:space="0"/>
                      <w:bottom w:val="none" w:color="auto" w:sz="0" w:space="0"/>
                      <w:right w:val="none" w:color="auto" w:sz="0" w:space="0"/>
                      <w:between w:val="none" w:color="auto" w:sz="0" w:space="0"/>
                    </w:pBdr>
                    <w:jc w:val="center"/>
                    <w:textAlignment w:val="center"/>
                    <w:rPr>
                      <w:b w:val="0"/>
                      <w:sz w:val="21"/>
                    </w:rPr>
                  </w:pPr>
                  <w:r>
                    <w:rPr>
                      <w:b w:val="0"/>
                      <w:sz w:val="21"/>
                    </w:rPr>
                    <w:t>得分</w:t>
                  </w:r>
                </w:p>
              </w:tc>
            </w:tr>
            <w:tr w14:paraId="3C2A76EE">
              <w:trPr>
                <w:trHeight w:val="500" w:hRule="atLeast"/>
              </w:trPr>
              <w:tc>
                <w:tcPr>
                  <w:tcW w:w="800" w:type="dxa"/>
                  <w:tcBorders>
                    <w:top w:val="single" w:color="auto" w:sz="12" w:space="0"/>
                    <w:left w:val="single" w:color="auto" w:sz="12" w:space="0"/>
                    <w:bottom w:val="single" w:color="auto" w:sz="12" w:space="0"/>
                    <w:right w:val="single" w:color="auto" w:sz="12" w:space="0"/>
                  </w:tcBorders>
                  <w:vAlign w:val="center"/>
                </w:tcPr>
                <w:p w14:paraId="4373E050">
                  <w:pPr>
                    <w:pBdr>
                      <w:top w:val="none" w:color="auto" w:sz="0" w:space="0"/>
                      <w:left w:val="none" w:color="auto" w:sz="0" w:space="0"/>
                      <w:bottom w:val="none" w:color="auto" w:sz="0" w:space="0"/>
                      <w:right w:val="none" w:color="auto" w:sz="0" w:space="0"/>
                      <w:between w:val="none" w:color="auto" w:sz="0" w:space="0"/>
                    </w:pBdr>
                    <w:jc w:val="center"/>
                    <w:textAlignment w:val="center"/>
                    <w:rPr>
                      <w:b w:val="0"/>
                      <w:sz w:val="21"/>
                    </w:rPr>
                  </w:pPr>
                </w:p>
              </w:tc>
              <w:tc>
                <w:tcPr>
                  <w:tcW w:w="800" w:type="dxa"/>
                  <w:tcBorders>
                    <w:top w:val="single" w:color="auto" w:sz="12" w:space="0"/>
                    <w:left w:val="single" w:color="auto" w:sz="12" w:space="0"/>
                    <w:bottom w:val="single" w:color="auto" w:sz="12" w:space="0"/>
                    <w:right w:val="single" w:color="auto" w:sz="12" w:space="0"/>
                  </w:tcBorders>
                  <w:vAlign w:val="center"/>
                </w:tcPr>
                <w:p w14:paraId="021D20A2">
                  <w:pPr>
                    <w:pBdr>
                      <w:top w:val="none" w:color="auto" w:sz="0" w:space="0"/>
                      <w:left w:val="none" w:color="auto" w:sz="0" w:space="0"/>
                      <w:bottom w:val="none" w:color="auto" w:sz="0" w:space="0"/>
                      <w:right w:val="none" w:color="auto" w:sz="0" w:space="0"/>
                      <w:between w:val="none" w:color="auto" w:sz="0" w:space="0"/>
                    </w:pBdr>
                    <w:jc w:val="center"/>
                    <w:textAlignment w:val="center"/>
                    <w:rPr>
                      <w:b w:val="0"/>
                      <w:sz w:val="21"/>
                    </w:rPr>
                  </w:pPr>
                </w:p>
              </w:tc>
            </w:tr>
          </w:tbl>
          <w:p w14:paraId="0508A4F5"/>
        </w:tc>
        <w:tc>
          <w:tcPr>
            <w:tcW w:w="0" w:type="auto"/>
            <w:tcBorders>
              <w:top w:val="nil"/>
              <w:left w:val="nil"/>
              <w:bottom w:val="nil"/>
              <w:right w:val="nil"/>
            </w:tcBorders>
            <w:vAlign w:val="center"/>
          </w:tcPr>
          <w:p w14:paraId="7B2DA77F">
            <w:pPr>
              <w:pBdr>
                <w:top w:val="none" w:color="auto" w:sz="0" w:space="0"/>
                <w:left w:val="none" w:color="auto" w:sz="0" w:space="0"/>
                <w:bottom w:val="none" w:color="auto" w:sz="0" w:space="0"/>
                <w:right w:val="none" w:color="auto" w:sz="0" w:space="0"/>
                <w:between w:val="none" w:color="auto" w:sz="0" w:space="0"/>
              </w:pBdr>
              <w:jc w:val="left"/>
              <w:textAlignment w:val="center"/>
              <w:rPr>
                <w:b/>
                <w:sz w:val="21"/>
              </w:rPr>
            </w:pPr>
            <w:r>
              <w:rPr>
                <w:b/>
                <w:sz w:val="21"/>
              </w:rPr>
              <w:t>一、阅读理解</w:t>
            </w:r>
          </w:p>
        </w:tc>
      </w:tr>
    </w:tbl>
    <w:p w14:paraId="3F1F0D91">
      <w:pPr>
        <w:shd w:val="clear" w:color="auto" w:fill="auto"/>
        <w:spacing w:line="360" w:lineRule="auto"/>
        <w:jc w:val="left"/>
        <w:textAlignment w:val="center"/>
        <w:rPr>
          <w:sz w:val="21"/>
        </w:rPr>
      </w:pPr>
      <w:r>
        <w:rPr>
          <w:sz w:val="21"/>
        </w:rPr>
        <w:t xml:space="preserve">Founded in 1753 and opened its doors in 1759, the British Museum was the first national museum to cover all fields of human knowledge, open to visitors from across the world. Here is some detailed information for you to refer to. </w:t>
      </w:r>
    </w:p>
    <w:p w14:paraId="6CBDC815">
      <w:pPr>
        <w:shd w:val="clear" w:color="auto" w:fill="auto"/>
        <w:spacing w:line="360" w:lineRule="auto"/>
        <w:jc w:val="left"/>
        <w:textAlignment w:val="center"/>
        <w:rPr>
          <w:b/>
          <w:sz w:val="21"/>
        </w:rPr>
      </w:pPr>
      <w:r>
        <w:rPr>
          <w:b/>
          <w:sz w:val="21"/>
        </w:rPr>
        <w:t>Must-See Galleries</w:t>
      </w:r>
    </w:p>
    <w:p w14:paraId="6731FF4B">
      <w:pPr>
        <w:shd w:val="clear" w:color="auto" w:fill="auto"/>
        <w:spacing w:line="360" w:lineRule="auto"/>
        <w:jc w:val="both"/>
        <w:textAlignment w:val="center"/>
        <w:rPr>
          <w:b/>
          <w:sz w:val="21"/>
        </w:rPr>
      </w:pPr>
      <w:r>
        <w:rPr>
          <w:sz w:val="21"/>
        </w:rPr>
        <w:t>Lower Floor: Room 25</w:t>
      </w:r>
    </w:p>
    <w:p w14:paraId="53259FB6">
      <w:pPr>
        <w:shd w:val="clear" w:color="auto" w:fill="auto"/>
        <w:spacing w:line="360" w:lineRule="auto"/>
        <w:jc w:val="both"/>
        <w:textAlignment w:val="center"/>
        <w:rPr>
          <w:b/>
          <w:sz w:val="21"/>
        </w:rPr>
      </w:pPr>
      <w:r>
        <w:rPr>
          <w:sz w:val="21"/>
        </w:rPr>
        <w:t xml:space="preserve">It showcases the unique cultural relics and traditional customs of African tribes and ancient kingdoms. </w:t>
      </w:r>
    </w:p>
    <w:p w14:paraId="1E7777EC">
      <w:pPr>
        <w:shd w:val="clear" w:color="auto" w:fill="auto"/>
        <w:spacing w:line="360" w:lineRule="auto"/>
        <w:jc w:val="both"/>
        <w:textAlignment w:val="center"/>
        <w:rPr>
          <w:b/>
          <w:sz w:val="21"/>
        </w:rPr>
      </w:pPr>
      <w:r>
        <w:rPr>
          <w:sz w:val="21"/>
        </w:rPr>
        <w:t>Ground Floor: Rooms 1-27</w:t>
      </w:r>
    </w:p>
    <w:p w14:paraId="1CD47358">
      <w:pPr>
        <w:shd w:val="clear" w:color="auto" w:fill="auto"/>
        <w:spacing w:line="360" w:lineRule="auto"/>
        <w:jc w:val="both"/>
        <w:textAlignment w:val="center"/>
        <w:rPr>
          <w:b/>
          <w:sz w:val="21"/>
        </w:rPr>
      </w:pPr>
      <w:r>
        <w:rPr>
          <w:sz w:val="21"/>
        </w:rPr>
        <w:t xml:space="preserve">It focuses on enlightenment-themed exhibits and treasures of ancient civilizations. Must-visit galleries include Room 1 (Enlightenment), Room 4 (Egyptian Sculpture) and Room 18 (Greece: Parthenon). </w:t>
      </w:r>
    </w:p>
    <w:p w14:paraId="736A2739">
      <w:pPr>
        <w:shd w:val="clear" w:color="auto" w:fill="auto"/>
        <w:spacing w:line="360" w:lineRule="auto"/>
        <w:jc w:val="both"/>
        <w:textAlignment w:val="center"/>
        <w:rPr>
          <w:b/>
          <w:sz w:val="21"/>
        </w:rPr>
      </w:pPr>
      <w:r>
        <w:rPr>
          <w:sz w:val="21"/>
        </w:rPr>
        <w:t>Upper Floor: Rooms 33-95</w:t>
      </w:r>
    </w:p>
    <w:p w14:paraId="59D570B1">
      <w:pPr>
        <w:shd w:val="clear" w:color="auto" w:fill="auto"/>
        <w:spacing w:line="360" w:lineRule="auto"/>
        <w:jc w:val="left"/>
        <w:textAlignment w:val="center"/>
        <w:rPr>
          <w:b/>
          <w:sz w:val="21"/>
        </w:rPr>
      </w:pPr>
      <w:r>
        <w:rPr>
          <w:sz w:val="21"/>
        </w:rPr>
        <w:t xml:space="preserve">It features diverse collections of global civilizations and specialized artworks. Highlights are Room 33 (China and South Asia), Room 33b (Chinese Jade) and Room 95 (Chinese Ceramics). </w:t>
      </w:r>
      <w:r>
        <w:rPr>
          <w:b/>
          <w:sz w:val="21"/>
        </w:rPr>
        <w:t>Opening hours</w:t>
      </w:r>
    </w:p>
    <w:p w14:paraId="583DD741">
      <w:pPr>
        <w:shd w:val="clear" w:color="auto" w:fill="auto"/>
        <w:spacing w:line="360" w:lineRule="auto"/>
        <w:jc w:val="left"/>
        <w:textAlignment w:val="center"/>
        <w:rPr>
          <w:sz w:val="21"/>
        </w:rPr>
      </w:pPr>
      <w:r>
        <w:rPr>
          <w:sz w:val="21"/>
        </w:rPr>
        <w:t xml:space="preserve">The Museum is open daily from 10:00 to 17:00 (until 20:30 on Fridays). Last entry is 16:45 (20:15 on Fridays). It is closed on 24-26 December. </w:t>
      </w:r>
    </w:p>
    <w:p w14:paraId="4323953C">
      <w:pPr>
        <w:shd w:val="clear" w:color="auto" w:fill="auto"/>
        <w:spacing w:line="360" w:lineRule="auto"/>
        <w:jc w:val="left"/>
        <w:textAlignment w:val="center"/>
        <w:rPr>
          <w:b/>
          <w:sz w:val="21"/>
        </w:rPr>
      </w:pPr>
      <w:r>
        <w:rPr>
          <w:b/>
          <w:sz w:val="21"/>
        </w:rPr>
        <w:t>How to book</w:t>
      </w:r>
    </w:p>
    <w:p w14:paraId="482FBADE">
      <w:pPr>
        <w:shd w:val="clear" w:color="auto" w:fill="auto"/>
        <w:spacing w:line="360" w:lineRule="auto"/>
        <w:jc w:val="left"/>
        <w:textAlignment w:val="center"/>
        <w:rPr>
          <w:sz w:val="21"/>
        </w:rPr>
      </w:pPr>
      <w:r>
        <w:rPr>
          <w:sz w:val="21"/>
        </w:rPr>
        <w:t xml:space="preserve">Visitors are advised to book a free ticket in advance online or by calling the Box Office, which allows them to receive key information and updates before their visit and priority entry during busy periods. But if the date or time you wish to visit is fully booked, you may still gain entry from the Montague Place entrance, where you may experience a longer queue when visitor numbers are very high. </w:t>
      </w:r>
    </w:p>
    <w:p w14:paraId="71DE5E35">
      <w:pPr>
        <w:shd w:val="clear" w:color="auto" w:fill="auto"/>
        <w:spacing w:line="360" w:lineRule="auto"/>
        <w:jc w:val="left"/>
        <w:textAlignment w:val="center"/>
        <w:rPr>
          <w:b/>
          <w:sz w:val="21"/>
        </w:rPr>
      </w:pPr>
      <w:r>
        <w:rPr>
          <w:b/>
          <w:sz w:val="21"/>
        </w:rPr>
        <w:t>Restricted items</w:t>
      </w:r>
    </w:p>
    <w:p w14:paraId="31047224">
      <w:pPr>
        <w:shd w:val="clear" w:color="auto" w:fill="auto"/>
        <w:spacing w:line="360" w:lineRule="auto"/>
        <w:jc w:val="both"/>
        <w:textAlignment w:val="center"/>
        <w:rPr>
          <w:b/>
          <w:sz w:val="21"/>
        </w:rPr>
      </w:pPr>
      <w:r>
        <w:rPr>
          <w:sz w:val="21"/>
        </w:rPr>
        <w:t>For security reasons, no large items of luggage can be brought into the Museum (bigger than 40cm×40cm×50cm and heavier than 8kg). Folding bicycles, musical instruments and wheeled cases are not permitted regardless of their size and weight. You can carry a pushchair with you. And dangerous chemicals, offensive weapons and other suspicious items like drones will be temporarily kept before entry is granted.</w:t>
      </w:r>
    </w:p>
    <w:p w14:paraId="7F435B1A">
      <w:pPr>
        <w:shd w:val="clear" w:color="auto" w:fill="auto"/>
        <w:spacing w:line="360" w:lineRule="auto"/>
        <w:jc w:val="left"/>
        <w:textAlignment w:val="center"/>
        <w:rPr>
          <w:sz w:val="21"/>
        </w:rPr>
      </w:pPr>
      <w:r>
        <w:rPr>
          <w:sz w:val="21"/>
        </w:rPr>
        <w:t>1．Where should you go if you want to explore Chinese jade?</w:t>
      </w:r>
    </w:p>
    <w:p w14:paraId="2C86BDC6">
      <w:pPr>
        <w:shd w:val="clear" w:color="auto" w:fill="auto"/>
        <w:tabs>
          <w:tab w:val="left" w:pos="2078"/>
          <w:tab w:val="left" w:pos="4156"/>
          <w:tab w:val="left" w:pos="6234"/>
        </w:tabs>
        <w:spacing w:line="360" w:lineRule="auto"/>
        <w:ind w:left="300"/>
        <w:jc w:val="left"/>
        <w:textAlignment w:val="center"/>
        <w:rPr>
          <w:sz w:val="21"/>
        </w:rPr>
      </w:pPr>
      <w:r>
        <w:rPr>
          <w:sz w:val="21"/>
        </w:rPr>
        <w:t>A．Room 33b.</w:t>
      </w:r>
      <w:r>
        <w:rPr>
          <w:sz w:val="21"/>
        </w:rPr>
        <w:tab/>
      </w:r>
      <w:r>
        <w:rPr>
          <w:sz w:val="21"/>
        </w:rPr>
        <w:t>B．Room 18.</w:t>
      </w:r>
      <w:r>
        <w:rPr>
          <w:sz w:val="21"/>
        </w:rPr>
        <w:tab/>
      </w:r>
      <w:r>
        <w:rPr>
          <w:sz w:val="21"/>
        </w:rPr>
        <w:t>C．Room 25.</w:t>
      </w:r>
      <w:r>
        <w:rPr>
          <w:sz w:val="21"/>
        </w:rPr>
        <w:tab/>
      </w:r>
      <w:r>
        <w:rPr>
          <w:sz w:val="21"/>
        </w:rPr>
        <w:t>D．Room 95.</w:t>
      </w:r>
    </w:p>
    <w:p w14:paraId="4776DBCF">
      <w:pPr>
        <w:shd w:val="clear" w:color="auto" w:fill="auto"/>
        <w:spacing w:line="360" w:lineRule="auto"/>
        <w:jc w:val="left"/>
        <w:textAlignment w:val="center"/>
        <w:rPr>
          <w:sz w:val="21"/>
        </w:rPr>
      </w:pPr>
      <w:r>
        <w:rPr>
          <w:sz w:val="21"/>
        </w:rPr>
        <w:t>2．What may visitors without bookings encounter during peak times?</w:t>
      </w:r>
    </w:p>
    <w:p w14:paraId="69785523">
      <w:pPr>
        <w:shd w:val="clear" w:color="auto" w:fill="auto"/>
        <w:tabs>
          <w:tab w:val="left" w:pos="2078"/>
          <w:tab w:val="left" w:pos="4156"/>
          <w:tab w:val="left" w:pos="6234"/>
        </w:tabs>
        <w:spacing w:line="360" w:lineRule="auto"/>
        <w:ind w:left="300"/>
        <w:jc w:val="left"/>
        <w:textAlignment w:val="center"/>
        <w:rPr>
          <w:sz w:val="21"/>
        </w:rPr>
      </w:pPr>
      <w:r>
        <w:rPr>
          <w:sz w:val="21"/>
        </w:rPr>
        <w:t>A．Priority entry.</w:t>
      </w:r>
      <w:r>
        <w:rPr>
          <w:sz w:val="21"/>
        </w:rPr>
        <w:tab/>
      </w:r>
      <w:r>
        <w:rPr>
          <w:sz w:val="21"/>
        </w:rPr>
        <w:t>B．Longer waiting.</w:t>
      </w:r>
      <w:r>
        <w:rPr>
          <w:sz w:val="21"/>
        </w:rPr>
        <w:tab/>
      </w:r>
      <w:r>
        <w:rPr>
          <w:sz w:val="21"/>
        </w:rPr>
        <w:t>C．Extra charge.</w:t>
      </w:r>
      <w:r>
        <w:rPr>
          <w:sz w:val="21"/>
        </w:rPr>
        <w:tab/>
      </w:r>
      <w:r>
        <w:rPr>
          <w:sz w:val="21"/>
        </w:rPr>
        <w:t>D．No access.</w:t>
      </w:r>
    </w:p>
    <w:p w14:paraId="25B91BDB">
      <w:pPr>
        <w:shd w:val="clear" w:color="auto" w:fill="auto"/>
        <w:spacing w:line="360" w:lineRule="auto"/>
        <w:jc w:val="left"/>
        <w:textAlignment w:val="center"/>
        <w:rPr>
          <w:sz w:val="21"/>
        </w:rPr>
      </w:pPr>
      <w:r>
        <w:rPr>
          <w:sz w:val="21"/>
        </w:rPr>
        <w:t>3．Which of the following items is allowed inside the museum?</w:t>
      </w:r>
    </w:p>
    <w:p w14:paraId="3BC5D10C">
      <w:pPr>
        <w:shd w:val="clear" w:color="auto" w:fill="auto"/>
        <w:tabs>
          <w:tab w:val="left" w:pos="2078"/>
          <w:tab w:val="left" w:pos="4156"/>
          <w:tab w:val="left" w:pos="6234"/>
        </w:tabs>
        <w:spacing w:line="360" w:lineRule="auto"/>
        <w:ind w:left="300"/>
        <w:jc w:val="left"/>
        <w:textAlignment w:val="center"/>
        <w:rPr>
          <w:sz w:val="21"/>
        </w:rPr>
      </w:pPr>
      <w:r>
        <w:rPr>
          <w:sz w:val="21"/>
        </w:rPr>
        <w:t>A．A drone.</w:t>
      </w:r>
      <w:r>
        <w:rPr>
          <w:sz w:val="21"/>
        </w:rPr>
        <w:tab/>
      </w:r>
      <w:r>
        <w:rPr>
          <w:sz w:val="21"/>
        </w:rPr>
        <w:t>B．A guitar.</w:t>
      </w:r>
      <w:r>
        <w:rPr>
          <w:sz w:val="21"/>
        </w:rPr>
        <w:tab/>
      </w:r>
      <w:r>
        <w:rPr>
          <w:sz w:val="21"/>
        </w:rPr>
        <w:t>C．A pushchair.</w:t>
      </w:r>
      <w:r>
        <w:rPr>
          <w:sz w:val="21"/>
        </w:rPr>
        <w:tab/>
      </w:r>
      <w:r>
        <w:rPr>
          <w:sz w:val="21"/>
        </w:rPr>
        <w:t>D．A 5kg wheeled case.</w:t>
      </w:r>
    </w:p>
    <w:p w14:paraId="74442FB1">
      <w:pPr>
        <w:shd w:val="clear" w:color="auto" w:fill="auto"/>
        <w:tabs>
          <w:tab w:val="left" w:pos="2078"/>
          <w:tab w:val="left" w:pos="4156"/>
          <w:tab w:val="left" w:pos="6234"/>
        </w:tabs>
        <w:spacing w:line="360" w:lineRule="auto"/>
        <w:ind w:left="300"/>
        <w:jc w:val="left"/>
        <w:textAlignment w:val="center"/>
        <w:rPr>
          <w:sz w:val="21"/>
        </w:rPr>
      </w:pPr>
    </w:p>
    <w:p w14:paraId="03157471">
      <w:pPr>
        <w:shd w:val="clear" w:color="auto" w:fill="auto"/>
        <w:spacing w:line="360" w:lineRule="auto"/>
        <w:ind w:firstLine="560"/>
        <w:jc w:val="both"/>
        <w:textAlignment w:val="center"/>
        <w:rPr>
          <w:sz w:val="21"/>
        </w:rPr>
      </w:pPr>
      <w:r>
        <w:rPr>
          <w:sz w:val="21"/>
        </w:rPr>
        <w:t>Students at Franklin Middle School not only got to play carnival (狂欢节) games during school hours, but also raised money for a good cause. The eighth-graders from Phillip Whitworth’s classes did this by selling tickets for admission to the Annual Carnival Fundraiser, where they packed into the school’s gymnasium and played a huge variety of carnival games. The funds raised go toward a charitable organization that drills water wells in Africa.</w:t>
      </w:r>
    </w:p>
    <w:p w14:paraId="2756C2AD">
      <w:pPr>
        <w:shd w:val="clear" w:color="auto" w:fill="auto"/>
        <w:spacing w:line="360" w:lineRule="auto"/>
        <w:ind w:firstLine="560"/>
        <w:jc w:val="both"/>
        <w:textAlignment w:val="center"/>
        <w:rPr>
          <w:sz w:val="21"/>
        </w:rPr>
      </w:pPr>
      <w:r>
        <w:rPr>
          <w:sz w:val="21"/>
        </w:rPr>
        <w:t xml:space="preserve">“Knowledge is useless without action,” Phillip said of the event, which was started by Phillip and his wife in 2019, inspired by a book read in the school district called </w:t>
      </w:r>
      <w:r>
        <w:rPr>
          <w:rFonts w:ascii="Times New Roman" w:hAnsi="Times New Roman" w:eastAsia="Times New Roman" w:cs="Times New Roman"/>
          <w:i/>
          <w:sz w:val="21"/>
        </w:rPr>
        <w:t>A Long Walk to Water</w:t>
      </w:r>
      <w:r>
        <w:rPr>
          <w:sz w:val="21"/>
        </w:rPr>
        <w:t>. The novel tells the story of a fictional character named Nya, an 11-year-old South Sudanese girl who has to walk eight hours a day to bring home water, and the real-life Salva Dut, who founded an organization called Water for South Sudan.</w:t>
      </w:r>
    </w:p>
    <w:p w14:paraId="789C9735">
      <w:pPr>
        <w:shd w:val="clear" w:color="auto" w:fill="auto"/>
        <w:spacing w:line="360" w:lineRule="auto"/>
        <w:ind w:firstLine="560"/>
        <w:jc w:val="both"/>
        <w:textAlignment w:val="center"/>
        <w:rPr>
          <w:sz w:val="21"/>
        </w:rPr>
      </w:pPr>
      <w:r>
        <w:rPr>
          <w:sz w:val="21"/>
        </w:rPr>
        <w:t>To raise money, the Whitworths and Phillip’s students organized the school’s first annual carnival in 2019. Every year, the students choose the games that most people like and sell tickets to their classmates, and get donations from businesses and personal connections.</w:t>
      </w:r>
    </w:p>
    <w:p w14:paraId="04486DA4">
      <w:pPr>
        <w:shd w:val="clear" w:color="auto" w:fill="auto"/>
        <w:spacing w:line="360" w:lineRule="auto"/>
        <w:ind w:firstLine="560"/>
        <w:jc w:val="both"/>
        <w:textAlignment w:val="center"/>
        <w:rPr>
          <w:sz w:val="21"/>
        </w:rPr>
      </w:pPr>
      <w:r>
        <w:rPr>
          <w:sz w:val="21"/>
        </w:rPr>
        <w:t>Camryn Robinson, an eighth-grader, found the experience of gathering donations stressful but added that it helped improve her communication skills. “A lot of people don’t take children seriously at first. But if you show people that it’s not just a carnival — it’s something that’s bigger than that, they will listen,” Camryn said.</w:t>
      </w:r>
    </w:p>
    <w:p w14:paraId="194285E0">
      <w:pPr>
        <w:shd w:val="clear" w:color="auto" w:fill="auto"/>
        <w:spacing w:line="360" w:lineRule="auto"/>
        <w:ind w:firstLine="560"/>
        <w:jc w:val="both"/>
        <w:textAlignment w:val="center"/>
        <w:rPr>
          <w:sz w:val="21"/>
        </w:rPr>
      </w:pPr>
      <w:r>
        <w:rPr>
          <w:sz w:val="21"/>
        </w:rPr>
        <w:t>Over the years, the students have raised money to drill three new wells and repair another three in South Sudan. This year, the students sold a little over 700 tickets for $5 each, so they raised around $3,500. But when factoring in business and personal donations, the students have raised more than $10,000, with donations still coming in.</w:t>
      </w:r>
    </w:p>
    <w:p w14:paraId="5AC758B2">
      <w:pPr>
        <w:shd w:val="clear" w:color="auto" w:fill="auto"/>
        <w:spacing w:line="360" w:lineRule="auto"/>
        <w:ind w:firstLine="560"/>
        <w:jc w:val="both"/>
        <w:textAlignment w:val="center"/>
        <w:rPr>
          <w:sz w:val="21"/>
        </w:rPr>
      </w:pPr>
      <w:r>
        <w:rPr>
          <w:sz w:val="21"/>
        </w:rPr>
        <w:t>“We might not be able to solve the whole problem, but we can absolutely make a difference for some people,” Phillip said.</w:t>
      </w:r>
    </w:p>
    <w:p w14:paraId="556A935F">
      <w:pPr>
        <w:shd w:val="clear" w:color="auto" w:fill="auto"/>
        <w:spacing w:line="360" w:lineRule="auto"/>
        <w:jc w:val="left"/>
        <w:textAlignment w:val="center"/>
        <w:rPr>
          <w:sz w:val="21"/>
        </w:rPr>
      </w:pPr>
      <w:r>
        <w:rPr>
          <w:sz w:val="21"/>
        </w:rPr>
        <w:t xml:space="preserve">4．What role did </w:t>
      </w:r>
      <w:r>
        <w:rPr>
          <w:rFonts w:ascii="Times New Roman" w:hAnsi="Times New Roman" w:eastAsia="Times New Roman" w:cs="Times New Roman"/>
          <w:i/>
          <w:sz w:val="21"/>
        </w:rPr>
        <w:t xml:space="preserve">A Long Walk to Water </w:t>
      </w:r>
      <w:r>
        <w:rPr>
          <w:sz w:val="21"/>
        </w:rPr>
        <w:t>play in the fundraising campaign?</w:t>
      </w:r>
    </w:p>
    <w:p w14:paraId="520716DD">
      <w:pPr>
        <w:shd w:val="clear" w:color="auto" w:fill="auto"/>
        <w:tabs>
          <w:tab w:val="left" w:pos="4156"/>
        </w:tabs>
        <w:spacing w:line="360" w:lineRule="auto"/>
        <w:ind w:left="300"/>
        <w:jc w:val="left"/>
        <w:textAlignment w:val="center"/>
        <w:rPr>
          <w:sz w:val="21"/>
        </w:rPr>
      </w:pPr>
      <w:r>
        <w:rPr>
          <w:sz w:val="21"/>
        </w:rPr>
        <w:t>A．It inspired Salva Dut to join the mission.</w:t>
      </w:r>
      <w:r>
        <w:rPr>
          <w:sz w:val="21"/>
        </w:rPr>
        <w:tab/>
      </w:r>
      <w:r>
        <w:rPr>
          <w:sz w:val="21"/>
        </w:rPr>
        <w:t>B．It taught students to organize a carnival.</w:t>
      </w:r>
    </w:p>
    <w:p w14:paraId="502E3541">
      <w:pPr>
        <w:shd w:val="clear" w:color="auto" w:fill="auto"/>
        <w:tabs>
          <w:tab w:val="left" w:pos="4156"/>
        </w:tabs>
        <w:spacing w:line="360" w:lineRule="auto"/>
        <w:ind w:left="300"/>
        <w:jc w:val="left"/>
        <w:textAlignment w:val="center"/>
        <w:rPr>
          <w:sz w:val="21"/>
        </w:rPr>
      </w:pPr>
      <w:r>
        <w:rPr>
          <w:sz w:val="21"/>
        </w:rPr>
        <w:t>C．It led to the start of the charitable cause.</w:t>
      </w:r>
      <w:r>
        <w:rPr>
          <w:sz w:val="21"/>
        </w:rPr>
        <w:tab/>
      </w:r>
      <w:r>
        <w:rPr>
          <w:sz w:val="21"/>
        </w:rPr>
        <w:t>D．It motivated businesses to donate money.</w:t>
      </w:r>
    </w:p>
    <w:p w14:paraId="32D3BE2B">
      <w:pPr>
        <w:shd w:val="clear" w:color="auto" w:fill="auto"/>
        <w:spacing w:line="360" w:lineRule="auto"/>
        <w:jc w:val="left"/>
        <w:textAlignment w:val="center"/>
        <w:rPr>
          <w:sz w:val="21"/>
        </w:rPr>
      </w:pPr>
      <w:r>
        <w:rPr>
          <w:sz w:val="21"/>
        </w:rPr>
        <w:t>5．What do Phillip’s students do for the annual carnival?</w:t>
      </w:r>
    </w:p>
    <w:p w14:paraId="36F12471">
      <w:pPr>
        <w:shd w:val="clear" w:color="auto" w:fill="auto"/>
        <w:tabs>
          <w:tab w:val="left" w:pos="4156"/>
        </w:tabs>
        <w:spacing w:line="360" w:lineRule="auto"/>
        <w:ind w:left="300"/>
        <w:jc w:val="left"/>
        <w:textAlignment w:val="center"/>
        <w:rPr>
          <w:sz w:val="21"/>
        </w:rPr>
      </w:pPr>
      <w:r>
        <w:rPr>
          <w:sz w:val="21"/>
        </w:rPr>
        <w:t>A．They drill wells in person.</w:t>
      </w:r>
      <w:r>
        <w:rPr>
          <w:sz w:val="21"/>
        </w:rPr>
        <w:tab/>
      </w:r>
      <w:r>
        <w:rPr>
          <w:sz w:val="21"/>
        </w:rPr>
        <w:t>B．They organize some games.</w:t>
      </w:r>
    </w:p>
    <w:p w14:paraId="59625CE7">
      <w:pPr>
        <w:shd w:val="clear" w:color="auto" w:fill="auto"/>
        <w:tabs>
          <w:tab w:val="left" w:pos="4156"/>
        </w:tabs>
        <w:spacing w:line="360" w:lineRule="auto"/>
        <w:ind w:left="300"/>
        <w:jc w:val="left"/>
        <w:textAlignment w:val="center"/>
        <w:rPr>
          <w:sz w:val="21"/>
        </w:rPr>
      </w:pPr>
      <w:r>
        <w:rPr>
          <w:sz w:val="21"/>
        </w:rPr>
        <w:t>C．They work at different companies.</w:t>
      </w:r>
      <w:r>
        <w:rPr>
          <w:sz w:val="21"/>
        </w:rPr>
        <w:tab/>
      </w:r>
      <w:r>
        <w:rPr>
          <w:sz w:val="21"/>
        </w:rPr>
        <w:t>D．They collect tickets from cinemas.</w:t>
      </w:r>
    </w:p>
    <w:p w14:paraId="73AE42CD">
      <w:pPr>
        <w:shd w:val="clear" w:color="auto" w:fill="auto"/>
        <w:spacing w:line="360" w:lineRule="auto"/>
        <w:jc w:val="left"/>
        <w:textAlignment w:val="center"/>
        <w:rPr>
          <w:sz w:val="21"/>
        </w:rPr>
      </w:pPr>
      <w:r>
        <w:rPr>
          <w:sz w:val="21"/>
        </w:rPr>
        <w:t>6．What did Camryn Robinson say about gathering donations?</w:t>
      </w:r>
    </w:p>
    <w:p w14:paraId="24B06B52">
      <w:pPr>
        <w:shd w:val="clear" w:color="auto" w:fill="auto"/>
        <w:tabs>
          <w:tab w:val="left" w:pos="4156"/>
        </w:tabs>
        <w:spacing w:line="360" w:lineRule="auto"/>
        <w:ind w:left="300"/>
        <w:jc w:val="left"/>
        <w:textAlignment w:val="center"/>
        <w:rPr>
          <w:sz w:val="21"/>
        </w:rPr>
      </w:pPr>
      <w:r>
        <w:rPr>
          <w:sz w:val="21"/>
        </w:rPr>
        <w:t>A．It was very rewarding.</w:t>
      </w:r>
      <w:r>
        <w:rPr>
          <w:sz w:val="21"/>
        </w:rPr>
        <w:tab/>
      </w:r>
      <w:r>
        <w:rPr>
          <w:sz w:val="21"/>
        </w:rPr>
        <w:t>B．It was unchallenging.</w:t>
      </w:r>
    </w:p>
    <w:p w14:paraId="781CF491">
      <w:pPr>
        <w:shd w:val="clear" w:color="auto" w:fill="auto"/>
        <w:tabs>
          <w:tab w:val="left" w:pos="4156"/>
        </w:tabs>
        <w:spacing w:line="360" w:lineRule="auto"/>
        <w:ind w:left="300"/>
        <w:jc w:val="left"/>
        <w:textAlignment w:val="center"/>
        <w:rPr>
          <w:sz w:val="21"/>
        </w:rPr>
      </w:pPr>
      <w:r>
        <w:rPr>
          <w:sz w:val="21"/>
        </w:rPr>
        <w:t>C．Kids shouldn’t get involved.</w:t>
      </w:r>
      <w:r>
        <w:rPr>
          <w:sz w:val="21"/>
        </w:rPr>
        <w:tab/>
      </w:r>
      <w:r>
        <w:rPr>
          <w:sz w:val="21"/>
        </w:rPr>
        <w:t>D．Most people initially supported it.</w:t>
      </w:r>
    </w:p>
    <w:p w14:paraId="6E737929">
      <w:pPr>
        <w:shd w:val="clear" w:color="auto" w:fill="auto"/>
        <w:spacing w:line="360" w:lineRule="auto"/>
        <w:jc w:val="left"/>
        <w:textAlignment w:val="center"/>
        <w:rPr>
          <w:sz w:val="21"/>
        </w:rPr>
      </w:pPr>
      <w:r>
        <w:rPr>
          <w:sz w:val="21"/>
        </w:rPr>
        <w:t>7．What is paragraph 5 mainly about?</w:t>
      </w:r>
    </w:p>
    <w:p w14:paraId="44683BD5">
      <w:pPr>
        <w:shd w:val="clear" w:color="auto" w:fill="auto"/>
        <w:tabs>
          <w:tab w:val="left" w:pos="4156"/>
        </w:tabs>
        <w:spacing w:line="360" w:lineRule="auto"/>
        <w:ind w:left="300"/>
        <w:jc w:val="left"/>
        <w:textAlignment w:val="center"/>
        <w:rPr>
          <w:sz w:val="21"/>
        </w:rPr>
      </w:pPr>
      <w:r>
        <w:rPr>
          <w:sz w:val="21"/>
        </w:rPr>
        <w:t>A．Phillip’s objective comments.</w:t>
      </w:r>
      <w:r>
        <w:rPr>
          <w:sz w:val="21"/>
        </w:rPr>
        <w:tab/>
      </w:r>
      <w:r>
        <w:rPr>
          <w:sz w:val="21"/>
        </w:rPr>
        <w:t>B．Dramatic changes in South Sudan.</w:t>
      </w:r>
    </w:p>
    <w:p w14:paraId="2E57A84F">
      <w:pPr>
        <w:shd w:val="clear" w:color="auto" w:fill="auto"/>
        <w:tabs>
          <w:tab w:val="left" w:pos="4156"/>
        </w:tabs>
        <w:spacing w:line="360" w:lineRule="auto"/>
        <w:ind w:left="300"/>
        <w:jc w:val="left"/>
        <w:textAlignment w:val="center"/>
        <w:rPr>
          <w:sz w:val="21"/>
        </w:rPr>
      </w:pPr>
      <w:r>
        <w:rPr>
          <w:sz w:val="21"/>
        </w:rPr>
        <w:t>C．The outcome of the students’ efforts.</w:t>
      </w:r>
      <w:r>
        <w:rPr>
          <w:sz w:val="21"/>
        </w:rPr>
        <w:tab/>
      </w:r>
      <w:r>
        <w:rPr>
          <w:sz w:val="21"/>
        </w:rPr>
        <w:t>D．Donations from all over the world.</w:t>
      </w:r>
    </w:p>
    <w:p w14:paraId="52C95DBB">
      <w:pPr>
        <w:shd w:val="clear" w:color="auto" w:fill="auto"/>
        <w:tabs>
          <w:tab w:val="left" w:pos="4156"/>
        </w:tabs>
        <w:spacing w:line="360" w:lineRule="auto"/>
        <w:ind w:left="300"/>
        <w:jc w:val="left"/>
        <w:textAlignment w:val="center"/>
        <w:rPr>
          <w:sz w:val="21"/>
        </w:rPr>
      </w:pPr>
    </w:p>
    <w:p w14:paraId="3935230B">
      <w:pPr>
        <w:shd w:val="clear" w:color="auto" w:fill="auto"/>
        <w:spacing w:line="360" w:lineRule="auto"/>
        <w:ind w:firstLine="560"/>
        <w:jc w:val="both"/>
        <w:textAlignment w:val="center"/>
        <w:rPr>
          <w:sz w:val="21"/>
        </w:rPr>
      </w:pPr>
      <w:r>
        <w:rPr>
          <w:sz w:val="21"/>
        </w:rPr>
        <w:t>Deep in the forests of Uganda, Dr. Gladys Kalema-Zikusoka does something extraordinary: she protects mountain gorillas. For 27 years, she has been working with mountain gorillas, pursuing her dream job, which gave her the title of Uganda’s first wildlife vet.</w:t>
      </w:r>
    </w:p>
    <w:p w14:paraId="72BBD84C">
      <w:pPr>
        <w:shd w:val="clear" w:color="auto" w:fill="auto"/>
        <w:spacing w:line="360" w:lineRule="auto"/>
        <w:ind w:firstLine="560"/>
        <w:jc w:val="both"/>
        <w:textAlignment w:val="center"/>
        <w:rPr>
          <w:sz w:val="21"/>
        </w:rPr>
      </w:pPr>
      <w:r>
        <w:rPr>
          <w:sz w:val="21"/>
        </w:rPr>
        <w:t>Today, she is standing on the front lines of a growing crisis: climate change. The gorillas’ habitat in Bwindi Impenetrable National Park is growing warmer and drier, and water is becoming scarce. “When droughts come,” she explains, “the gorillas will struggle.”</w:t>
      </w:r>
    </w:p>
    <w:p w14:paraId="2AB55988">
      <w:pPr>
        <w:shd w:val="clear" w:color="auto" w:fill="auto"/>
        <w:spacing w:line="360" w:lineRule="auto"/>
        <w:ind w:firstLine="560"/>
        <w:jc w:val="both"/>
        <w:textAlignment w:val="center"/>
        <w:rPr>
          <w:sz w:val="21"/>
        </w:rPr>
      </w:pPr>
      <w:r>
        <w:rPr>
          <w:sz w:val="21"/>
        </w:rPr>
        <w:t>Climate change also fuels the spread of infectious diseases, posing severe risks to both local communities and wildlife. Dr. Gladys and her team work closely with village health teams or community health workers who they train to do conservation work. They monitor the gorillas’ health and provide treatment. Each month, they collect fecal (粪便)samples from all 26 habituated gorilla groups, to screen for viruses that could be transmitted from people or livestock.</w:t>
      </w:r>
    </w:p>
    <w:p w14:paraId="28AE8055">
      <w:pPr>
        <w:shd w:val="clear" w:color="auto" w:fill="auto"/>
        <w:spacing w:line="360" w:lineRule="auto"/>
        <w:ind w:firstLine="560"/>
        <w:jc w:val="both"/>
        <w:textAlignment w:val="center"/>
        <w:rPr>
          <w:sz w:val="21"/>
        </w:rPr>
      </w:pPr>
      <w:r>
        <w:rPr>
          <w:sz w:val="21"/>
        </w:rPr>
        <w:t>Society does not always encourage women to enter daring — even dangerous — fields; often, it discourages them. “But I did just that,” says Dr. Gladys. When she started, few women worked in conservation. Now, more are joining. “We still have a long way to go,” she says, “but things are changing.”</w:t>
      </w:r>
    </w:p>
    <w:p w14:paraId="51FE3B7A">
      <w:pPr>
        <w:shd w:val="clear" w:color="auto" w:fill="auto"/>
        <w:spacing w:line="360" w:lineRule="auto"/>
        <w:ind w:firstLine="560"/>
        <w:jc w:val="both"/>
        <w:textAlignment w:val="center"/>
        <w:rPr>
          <w:sz w:val="21"/>
        </w:rPr>
      </w:pPr>
      <w:r>
        <w:rPr>
          <w:sz w:val="21"/>
        </w:rPr>
        <w:t>Thanks to her work, mountain gorillas are no longer classified as critically endangered. Their population has risen from about 300 to over 500 since she started. “At times, I feel hopeless,” she admits. “But what keeps me going is knowing that something can be done. Working with gorillas gives me a lot of hope. It really does.”</w:t>
      </w:r>
    </w:p>
    <w:p w14:paraId="3A087306">
      <w:pPr>
        <w:shd w:val="clear" w:color="auto" w:fill="auto"/>
        <w:spacing w:line="360" w:lineRule="auto"/>
        <w:jc w:val="left"/>
        <w:textAlignment w:val="center"/>
        <w:rPr>
          <w:sz w:val="21"/>
        </w:rPr>
      </w:pPr>
      <w:r>
        <w:rPr>
          <w:sz w:val="21"/>
        </w:rPr>
        <w:t>8．What is a major threat to the survival of mountain gorillas?</w:t>
      </w:r>
    </w:p>
    <w:p w14:paraId="25CF2A5B">
      <w:pPr>
        <w:shd w:val="clear" w:color="auto" w:fill="auto"/>
        <w:tabs>
          <w:tab w:val="left" w:pos="2078"/>
          <w:tab w:val="left" w:pos="4156"/>
          <w:tab w:val="left" w:pos="6234"/>
        </w:tabs>
        <w:spacing w:line="360" w:lineRule="auto"/>
        <w:ind w:left="300"/>
        <w:jc w:val="left"/>
        <w:textAlignment w:val="center"/>
        <w:rPr>
          <w:sz w:val="21"/>
        </w:rPr>
      </w:pPr>
      <w:r>
        <w:rPr>
          <w:sz w:val="21"/>
        </w:rPr>
        <w:t>A．The chaos of war.</w:t>
      </w:r>
      <w:r>
        <w:rPr>
          <w:rFonts w:hint="eastAsia"/>
          <w:sz w:val="21"/>
          <w:lang w:val="en-US" w:eastAsia="zh-CN"/>
        </w:rPr>
        <w:t xml:space="preserve">  </w:t>
      </w:r>
      <w:r>
        <w:rPr>
          <w:sz w:val="21"/>
        </w:rPr>
        <w:t>B．Deforestation.</w:t>
      </w:r>
      <w:r>
        <w:rPr>
          <w:sz w:val="21"/>
        </w:rPr>
        <w:tab/>
      </w:r>
      <w:r>
        <w:rPr>
          <w:sz w:val="21"/>
        </w:rPr>
        <w:t>C．Climate change.</w:t>
      </w:r>
      <w:r>
        <w:rPr>
          <w:sz w:val="21"/>
        </w:rPr>
        <w:tab/>
      </w:r>
      <w:r>
        <w:rPr>
          <w:sz w:val="21"/>
        </w:rPr>
        <w:t>D．Water pollution.</w:t>
      </w:r>
    </w:p>
    <w:p w14:paraId="0682A52D">
      <w:pPr>
        <w:shd w:val="clear" w:color="auto" w:fill="auto"/>
        <w:spacing w:line="360" w:lineRule="auto"/>
        <w:jc w:val="left"/>
        <w:textAlignment w:val="center"/>
        <w:rPr>
          <w:sz w:val="21"/>
        </w:rPr>
      </w:pPr>
      <w:r>
        <w:rPr>
          <w:sz w:val="21"/>
        </w:rPr>
        <w:t>9．How does Dr. Gladys’ team monitor the health of the mountain gorillas?</w:t>
      </w:r>
    </w:p>
    <w:p w14:paraId="635AAF3F">
      <w:pPr>
        <w:shd w:val="clear" w:color="auto" w:fill="auto"/>
        <w:tabs>
          <w:tab w:val="left" w:pos="4156"/>
        </w:tabs>
        <w:spacing w:line="360" w:lineRule="auto"/>
        <w:ind w:left="300"/>
        <w:jc w:val="left"/>
        <w:textAlignment w:val="center"/>
        <w:rPr>
          <w:sz w:val="21"/>
        </w:rPr>
      </w:pPr>
      <w:r>
        <w:rPr>
          <w:sz w:val="21"/>
        </w:rPr>
        <w:t>A．By giving regular physical exams.</w:t>
      </w:r>
      <w:r>
        <w:rPr>
          <w:sz w:val="21"/>
        </w:rPr>
        <w:tab/>
      </w:r>
      <w:r>
        <w:rPr>
          <w:sz w:val="21"/>
        </w:rPr>
        <w:t>B．By treating them in local clinics.</w:t>
      </w:r>
    </w:p>
    <w:p w14:paraId="4A060293">
      <w:pPr>
        <w:shd w:val="clear" w:color="auto" w:fill="auto"/>
        <w:tabs>
          <w:tab w:val="left" w:pos="4156"/>
        </w:tabs>
        <w:spacing w:line="360" w:lineRule="auto"/>
        <w:ind w:left="300"/>
        <w:jc w:val="left"/>
        <w:textAlignment w:val="center"/>
        <w:rPr>
          <w:sz w:val="21"/>
        </w:rPr>
      </w:pPr>
      <w:r>
        <w:rPr>
          <w:sz w:val="21"/>
        </w:rPr>
        <w:t>C．By analyzing their fecal samples.</w:t>
      </w:r>
      <w:r>
        <w:rPr>
          <w:sz w:val="21"/>
        </w:rPr>
        <w:tab/>
      </w:r>
      <w:r>
        <w:rPr>
          <w:sz w:val="21"/>
        </w:rPr>
        <w:t>D．By controlling infectious diseases.</w:t>
      </w:r>
    </w:p>
    <w:p w14:paraId="450EC770">
      <w:pPr>
        <w:shd w:val="clear" w:color="auto" w:fill="auto"/>
        <w:spacing w:line="360" w:lineRule="auto"/>
        <w:jc w:val="left"/>
        <w:textAlignment w:val="center"/>
        <w:rPr>
          <w:sz w:val="21"/>
        </w:rPr>
      </w:pPr>
      <w:r>
        <w:rPr>
          <w:sz w:val="21"/>
        </w:rPr>
        <w:t>10．Which of the following best describes Dr. Gladys’job?</w:t>
      </w:r>
    </w:p>
    <w:p w14:paraId="7FDB64AB">
      <w:pPr>
        <w:shd w:val="clear" w:color="auto" w:fill="auto"/>
        <w:tabs>
          <w:tab w:val="left" w:pos="2078"/>
          <w:tab w:val="left" w:pos="4156"/>
          <w:tab w:val="left" w:pos="6234"/>
        </w:tabs>
        <w:spacing w:line="360" w:lineRule="auto"/>
        <w:ind w:left="380"/>
        <w:jc w:val="left"/>
        <w:textAlignment w:val="center"/>
        <w:rPr>
          <w:sz w:val="21"/>
        </w:rPr>
      </w:pPr>
      <w:r>
        <w:rPr>
          <w:sz w:val="21"/>
        </w:rPr>
        <w:t>A．Challenging.</w:t>
      </w:r>
      <w:r>
        <w:rPr>
          <w:sz w:val="21"/>
        </w:rPr>
        <w:tab/>
      </w:r>
      <w:r>
        <w:rPr>
          <w:sz w:val="21"/>
        </w:rPr>
        <w:t>B．Amazing.</w:t>
      </w:r>
      <w:r>
        <w:rPr>
          <w:sz w:val="21"/>
        </w:rPr>
        <w:tab/>
      </w:r>
      <w:r>
        <w:rPr>
          <w:sz w:val="21"/>
        </w:rPr>
        <w:t>C．Boring.</w:t>
      </w:r>
      <w:r>
        <w:rPr>
          <w:sz w:val="21"/>
        </w:rPr>
        <w:tab/>
      </w:r>
      <w:r>
        <w:rPr>
          <w:sz w:val="21"/>
        </w:rPr>
        <w:t>D．Well-paid.</w:t>
      </w:r>
    </w:p>
    <w:p w14:paraId="71B38373">
      <w:pPr>
        <w:shd w:val="clear" w:color="auto" w:fill="auto"/>
        <w:spacing w:line="360" w:lineRule="auto"/>
        <w:jc w:val="left"/>
        <w:textAlignment w:val="center"/>
        <w:rPr>
          <w:sz w:val="21"/>
        </w:rPr>
      </w:pPr>
      <w:r>
        <w:rPr>
          <w:sz w:val="21"/>
        </w:rPr>
        <w:t>11．What can we learn about Dr. Gladys’ work from the last paragraph?</w:t>
      </w:r>
    </w:p>
    <w:p w14:paraId="562CE507">
      <w:pPr>
        <w:shd w:val="clear" w:color="auto" w:fill="auto"/>
        <w:tabs>
          <w:tab w:val="left" w:pos="4156"/>
        </w:tabs>
        <w:spacing w:line="360" w:lineRule="auto"/>
        <w:ind w:left="380"/>
        <w:jc w:val="left"/>
        <w:textAlignment w:val="center"/>
        <w:rPr>
          <w:sz w:val="21"/>
        </w:rPr>
      </w:pPr>
      <w:r>
        <w:rPr>
          <w:sz w:val="21"/>
        </w:rPr>
        <w:t>A．It turns out ineffective.</w:t>
      </w:r>
      <w:r>
        <w:rPr>
          <w:sz w:val="21"/>
        </w:rPr>
        <w:tab/>
      </w:r>
      <w:r>
        <w:rPr>
          <w:sz w:val="21"/>
        </w:rPr>
        <w:t>B．It is quite fruitful.</w:t>
      </w:r>
    </w:p>
    <w:p w14:paraId="0078EF64">
      <w:pPr>
        <w:shd w:val="clear" w:color="auto" w:fill="auto"/>
        <w:tabs>
          <w:tab w:val="left" w:pos="4156"/>
        </w:tabs>
        <w:spacing w:line="360" w:lineRule="auto"/>
        <w:ind w:left="380"/>
        <w:jc w:val="left"/>
        <w:textAlignment w:val="center"/>
        <w:rPr>
          <w:sz w:val="21"/>
        </w:rPr>
      </w:pPr>
      <w:r>
        <w:rPr>
          <w:sz w:val="21"/>
        </w:rPr>
        <w:t>C．It lacks official support.</w:t>
      </w:r>
      <w:r>
        <w:rPr>
          <w:sz w:val="21"/>
        </w:rPr>
        <w:tab/>
      </w:r>
      <w:r>
        <w:rPr>
          <w:sz w:val="21"/>
        </w:rPr>
        <w:t>D．It is very hopeless.</w:t>
      </w:r>
    </w:p>
    <w:p w14:paraId="541D4257">
      <w:pPr>
        <w:shd w:val="clear" w:color="auto" w:fill="auto"/>
        <w:tabs>
          <w:tab w:val="left" w:pos="4156"/>
        </w:tabs>
        <w:spacing w:line="360" w:lineRule="auto"/>
        <w:ind w:left="380"/>
        <w:jc w:val="left"/>
        <w:textAlignment w:val="center"/>
        <w:rPr>
          <w:sz w:val="21"/>
        </w:rPr>
      </w:pPr>
    </w:p>
    <w:p w14:paraId="61C2A184">
      <w:pPr>
        <w:shd w:val="clear" w:color="auto" w:fill="auto"/>
        <w:spacing w:line="360" w:lineRule="auto"/>
        <w:ind w:firstLine="560"/>
        <w:jc w:val="both"/>
        <w:textAlignment w:val="center"/>
        <w:rPr>
          <w:sz w:val="21"/>
        </w:rPr>
      </w:pPr>
      <w:r>
        <w:rPr>
          <w:sz w:val="21"/>
        </w:rPr>
        <w:t>Though positivity isn’t what everyone is born with, we can grow more positive with practice. Here are practical ways to help you do so.</w:t>
      </w:r>
    </w:p>
    <w:p w14:paraId="7C43F824">
      <w:pPr>
        <w:shd w:val="clear" w:color="auto" w:fill="auto"/>
        <w:spacing w:line="360" w:lineRule="auto"/>
        <w:ind w:firstLine="560"/>
        <w:jc w:val="both"/>
        <w:textAlignment w:val="center"/>
        <w:rPr>
          <w:sz w:val="21"/>
        </w:rPr>
      </w:pPr>
      <w:r>
        <w:rPr>
          <w:sz w:val="21"/>
        </w:rPr>
        <w:t xml:space="preserve">Learn to reframe negative experiences. One of the mistakes people make is trying to avoid or ignore negative experiences. </w:t>
      </w:r>
      <w:r>
        <w:rPr>
          <w:rFonts w:ascii="Times New Roman" w:hAnsi="Times New Roman" w:eastAsia="Times New Roman" w:cs="Times New Roman"/>
          <w:b w:val="0"/>
          <w:sz w:val="21"/>
          <w:u w:val="single"/>
        </w:rPr>
        <w:t xml:space="preserve">    12    </w:t>
      </w:r>
      <w:r>
        <w:rPr>
          <w:sz w:val="21"/>
        </w:rPr>
        <w:t>. However, trying to avoid or ignore these experiences actually damages your ability to deal with them. Instead, consider how you can reframe these experiences. Try to learn from them or view them differently.</w:t>
      </w:r>
    </w:p>
    <w:p w14:paraId="1D2766B1">
      <w:pPr>
        <w:shd w:val="clear" w:color="auto" w:fill="auto"/>
        <w:spacing w:line="360" w:lineRule="auto"/>
        <w:ind w:firstLine="560"/>
        <w:jc w:val="both"/>
        <w:textAlignment w:val="center"/>
        <w:rPr>
          <w:sz w:val="21"/>
        </w:rPr>
      </w:pPr>
      <w:r>
        <w:rPr>
          <w:rFonts w:ascii="Times New Roman" w:hAnsi="Times New Roman" w:eastAsia="Times New Roman" w:cs="Times New Roman"/>
          <w:b w:val="0"/>
          <w:sz w:val="21"/>
          <w:u w:val="single"/>
        </w:rPr>
        <w:t xml:space="preserve">    13    </w:t>
      </w:r>
      <w:r>
        <w:rPr>
          <w:sz w:val="21"/>
        </w:rPr>
        <w:t xml:space="preserve">. Your body and your mind are connected. If you’re struggling to feel positive, it could be because your body is working against you. Social psychologist Amy Cuddy has shown that your posture can affect the levels of stress hormones in your body. Try standing up straight. Hold your shoulders back and your chest forward. Hold your gaze in front of you. </w:t>
      </w:r>
      <w:r>
        <w:rPr>
          <w:rFonts w:ascii="Times New Roman" w:hAnsi="Times New Roman" w:eastAsia="Times New Roman" w:cs="Times New Roman"/>
          <w:b w:val="0"/>
          <w:sz w:val="21"/>
          <w:u w:val="single"/>
        </w:rPr>
        <w:t xml:space="preserve">    14    </w:t>
      </w:r>
      <w:r>
        <w:rPr>
          <w:sz w:val="21"/>
        </w:rPr>
        <w:t>.</w:t>
      </w:r>
    </w:p>
    <w:p w14:paraId="6869AAF7">
      <w:pPr>
        <w:shd w:val="clear" w:color="auto" w:fill="auto"/>
        <w:spacing w:line="360" w:lineRule="auto"/>
        <w:ind w:firstLine="560"/>
        <w:jc w:val="both"/>
        <w:textAlignment w:val="center"/>
        <w:rPr>
          <w:sz w:val="21"/>
        </w:rPr>
      </w:pPr>
      <w:r>
        <w:rPr>
          <w:sz w:val="21"/>
        </w:rPr>
        <w:t xml:space="preserve">Show compassion to others. Compassion is doing something kind for someone else, especially if that person is less fortunate than you are. It can really boost your positivity. </w:t>
      </w:r>
      <w:r>
        <w:rPr>
          <w:rFonts w:ascii="Times New Roman" w:hAnsi="Times New Roman" w:eastAsia="Times New Roman" w:cs="Times New Roman"/>
          <w:b w:val="0"/>
          <w:sz w:val="21"/>
          <w:u w:val="single"/>
        </w:rPr>
        <w:t xml:space="preserve">    15    </w:t>
      </w:r>
      <w:r>
        <w:rPr>
          <w:sz w:val="21"/>
        </w:rPr>
        <w:t>, whether it’s on an individual level or in your community, and practice showing compassion. Not only is it good for others, it’s even good for your health!</w:t>
      </w:r>
    </w:p>
    <w:p w14:paraId="0C50F67F">
      <w:pPr>
        <w:shd w:val="clear" w:color="auto" w:fill="auto"/>
        <w:spacing w:line="360" w:lineRule="auto"/>
        <w:ind w:firstLine="560"/>
        <w:jc w:val="both"/>
        <w:textAlignment w:val="center"/>
        <w:rPr>
          <w:sz w:val="21"/>
        </w:rPr>
      </w:pPr>
      <w:r>
        <w:rPr>
          <w:sz w:val="21"/>
        </w:rPr>
        <w:t xml:space="preserve">See a therapist (治疗师). A common misperception is that people only need to see a therapist when there’s something wrong. </w:t>
      </w:r>
      <w:r>
        <w:rPr>
          <w:rFonts w:ascii="Times New Roman" w:hAnsi="Times New Roman" w:eastAsia="Times New Roman" w:cs="Times New Roman"/>
          <w:b w:val="0"/>
          <w:sz w:val="21"/>
          <w:u w:val="single"/>
        </w:rPr>
        <w:t xml:space="preserve">    16    </w:t>
      </w:r>
      <w:r>
        <w:rPr>
          <w:sz w:val="21"/>
        </w:rPr>
        <w:t>. Similarly, seeing a therapist can also be a helpful preventive technique. And if you want to learn how to think and behave more positively, a therapist can help you identify unhelpful patterns in your thinking and develop new positive strategies.</w:t>
      </w:r>
    </w:p>
    <w:p w14:paraId="05917BD1">
      <w:pPr>
        <w:shd w:val="clear" w:color="auto" w:fill="auto"/>
        <w:spacing w:line="360" w:lineRule="auto"/>
        <w:jc w:val="left"/>
        <w:textAlignment w:val="center"/>
        <w:rPr>
          <w:sz w:val="21"/>
        </w:rPr>
      </w:pPr>
      <w:r>
        <w:rPr>
          <w:sz w:val="21"/>
        </w:rPr>
        <w:t>A．Use your body</w:t>
      </w:r>
    </w:p>
    <w:p w14:paraId="65F81072">
      <w:pPr>
        <w:shd w:val="clear" w:color="auto" w:fill="auto"/>
        <w:spacing w:line="360" w:lineRule="auto"/>
        <w:jc w:val="left"/>
        <w:textAlignment w:val="center"/>
        <w:rPr>
          <w:sz w:val="21"/>
        </w:rPr>
      </w:pPr>
      <w:r>
        <w:rPr>
          <w:sz w:val="21"/>
        </w:rPr>
        <w:t>B．Do exercise to keep physically fit</w:t>
      </w:r>
    </w:p>
    <w:p w14:paraId="6E725EB8">
      <w:pPr>
        <w:shd w:val="clear" w:color="auto" w:fill="auto"/>
        <w:spacing w:line="360" w:lineRule="auto"/>
        <w:jc w:val="left"/>
        <w:textAlignment w:val="center"/>
        <w:rPr>
          <w:sz w:val="21"/>
        </w:rPr>
      </w:pPr>
      <w:r>
        <w:rPr>
          <w:sz w:val="21"/>
        </w:rPr>
        <w:t>C．Learn from positive people around you</w:t>
      </w:r>
    </w:p>
    <w:p w14:paraId="5DC94962">
      <w:pPr>
        <w:shd w:val="clear" w:color="auto" w:fill="auto"/>
        <w:spacing w:line="360" w:lineRule="auto"/>
        <w:jc w:val="left"/>
        <w:textAlignment w:val="center"/>
        <w:rPr>
          <w:sz w:val="21"/>
        </w:rPr>
      </w:pPr>
      <w:r>
        <w:rPr>
          <w:sz w:val="21"/>
        </w:rPr>
        <w:t>D．Think of ways that you can serve others</w:t>
      </w:r>
    </w:p>
    <w:p w14:paraId="55BBE32E">
      <w:pPr>
        <w:shd w:val="clear" w:color="auto" w:fill="auto"/>
        <w:spacing w:line="360" w:lineRule="auto"/>
        <w:jc w:val="left"/>
        <w:textAlignment w:val="center"/>
        <w:rPr>
          <w:sz w:val="21"/>
        </w:rPr>
      </w:pPr>
      <w:r>
        <w:rPr>
          <w:sz w:val="21"/>
        </w:rPr>
        <w:t>E．This makes sense, on some level, because they’re painful</w:t>
      </w:r>
    </w:p>
    <w:p w14:paraId="3CE71CBD">
      <w:pPr>
        <w:shd w:val="clear" w:color="auto" w:fill="auto"/>
        <w:spacing w:line="360" w:lineRule="auto"/>
        <w:jc w:val="left"/>
        <w:textAlignment w:val="center"/>
        <w:rPr>
          <w:sz w:val="21"/>
        </w:rPr>
      </w:pPr>
      <w:r>
        <w:rPr>
          <w:sz w:val="21"/>
        </w:rPr>
        <w:t>F．These “power poses” can help you feel more confident and optimistic</w:t>
      </w:r>
    </w:p>
    <w:p w14:paraId="1D4A38A6">
      <w:pPr>
        <w:shd w:val="clear" w:color="auto" w:fill="auto"/>
        <w:spacing w:line="360" w:lineRule="auto"/>
        <w:jc w:val="left"/>
        <w:textAlignment w:val="center"/>
        <w:rPr>
          <w:sz w:val="21"/>
        </w:rPr>
      </w:pPr>
      <w:r>
        <w:rPr>
          <w:sz w:val="21"/>
        </w:rPr>
        <w:t>G．Actually, you go to the doctor for annual checkups even if you’re not sick</w:t>
      </w:r>
    </w:p>
    <w:p w14:paraId="151EC468">
      <w:pPr>
        <w:shd w:val="clear" w:color="auto" w:fill="auto"/>
        <w:spacing w:line="360" w:lineRule="auto"/>
        <w:jc w:val="left"/>
        <w:textAlignment w:val="center"/>
        <w:rPr>
          <w:sz w:val="21"/>
        </w:rPr>
      </w:pPr>
    </w:p>
    <w:p w14:paraId="01EB1EC9">
      <w:pPr>
        <w:jc w:val="center"/>
        <w:textAlignment w:val="center"/>
        <w:rPr>
          <w:rFonts w:ascii="黑体" w:hAnsi="黑体" w:eastAsia="黑体" w:cs="黑体"/>
          <w:b/>
          <w:i w:val="0"/>
          <w:color w:val="000000"/>
          <w:sz w:val="30"/>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0"/>
        <w:gridCol w:w="1478"/>
      </w:tblGrid>
      <w:tr w14:paraId="04567254">
        <w:tc>
          <w:tcPr>
            <w:tcW w:w="2000" w:type="dxa"/>
            <w:tcBorders>
              <w:top w:val="nil"/>
              <w:left w:val="nil"/>
              <w:bottom w:val="nil"/>
              <w:right w:val="nil"/>
            </w:tcBorders>
          </w:tcPr>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81"/>
              <w:gridCol w:w="788"/>
            </w:tblGrid>
            <w:tr w14:paraId="4E033D25">
              <w:trPr>
                <w:trHeight w:val="400" w:hRule="atLeast"/>
              </w:trPr>
              <w:tc>
                <w:tcPr>
                  <w:tcW w:w="1000" w:type="dxa"/>
                  <w:tcBorders>
                    <w:top w:val="single" w:color="auto" w:sz="12" w:space="0"/>
                    <w:left w:val="single" w:color="auto" w:sz="12" w:space="0"/>
                    <w:bottom w:val="single" w:color="auto" w:sz="12" w:space="0"/>
                    <w:right w:val="single" w:color="auto" w:sz="12" w:space="0"/>
                  </w:tcBorders>
                  <w:vAlign w:val="center"/>
                </w:tcPr>
                <w:p w14:paraId="352DBF1F">
                  <w:pPr>
                    <w:pBdr>
                      <w:top w:val="none" w:color="auto" w:sz="0" w:space="0"/>
                      <w:left w:val="none" w:color="auto" w:sz="0" w:space="0"/>
                      <w:bottom w:val="none" w:color="auto" w:sz="0" w:space="0"/>
                      <w:right w:val="none" w:color="auto" w:sz="0" w:space="0"/>
                      <w:between w:val="none" w:color="auto" w:sz="0" w:space="0"/>
                    </w:pBdr>
                    <w:jc w:val="center"/>
                    <w:textAlignment w:val="center"/>
                    <w:rPr>
                      <w:b w:val="0"/>
                      <w:sz w:val="21"/>
                    </w:rPr>
                  </w:pPr>
                  <w:r>
                    <w:rPr>
                      <w:b w:val="0"/>
                      <w:sz w:val="21"/>
                    </w:rPr>
                    <w:t>评卷人</w:t>
                  </w:r>
                </w:p>
              </w:tc>
              <w:tc>
                <w:tcPr>
                  <w:tcW w:w="800" w:type="dxa"/>
                  <w:tcBorders>
                    <w:top w:val="single" w:color="auto" w:sz="12" w:space="0"/>
                    <w:left w:val="single" w:color="auto" w:sz="12" w:space="0"/>
                    <w:bottom w:val="single" w:color="auto" w:sz="12" w:space="0"/>
                    <w:right w:val="single" w:color="auto" w:sz="12" w:space="0"/>
                  </w:tcBorders>
                  <w:vAlign w:val="center"/>
                </w:tcPr>
                <w:p w14:paraId="7794E86B">
                  <w:pPr>
                    <w:pBdr>
                      <w:top w:val="none" w:color="auto" w:sz="0" w:space="0"/>
                      <w:left w:val="none" w:color="auto" w:sz="0" w:space="0"/>
                      <w:bottom w:val="none" w:color="auto" w:sz="0" w:space="0"/>
                      <w:right w:val="none" w:color="auto" w:sz="0" w:space="0"/>
                      <w:between w:val="none" w:color="auto" w:sz="0" w:space="0"/>
                    </w:pBdr>
                    <w:jc w:val="center"/>
                    <w:textAlignment w:val="center"/>
                    <w:rPr>
                      <w:b w:val="0"/>
                      <w:sz w:val="21"/>
                    </w:rPr>
                  </w:pPr>
                  <w:r>
                    <w:rPr>
                      <w:b w:val="0"/>
                      <w:sz w:val="21"/>
                    </w:rPr>
                    <w:t>得分</w:t>
                  </w:r>
                </w:p>
              </w:tc>
            </w:tr>
            <w:tr w14:paraId="7D5BA88E">
              <w:trPr>
                <w:trHeight w:val="500" w:hRule="atLeast"/>
              </w:trPr>
              <w:tc>
                <w:tcPr>
                  <w:tcW w:w="800" w:type="dxa"/>
                  <w:tcBorders>
                    <w:top w:val="single" w:color="auto" w:sz="12" w:space="0"/>
                    <w:left w:val="single" w:color="auto" w:sz="12" w:space="0"/>
                    <w:bottom w:val="single" w:color="auto" w:sz="12" w:space="0"/>
                    <w:right w:val="single" w:color="auto" w:sz="12" w:space="0"/>
                  </w:tcBorders>
                  <w:vAlign w:val="center"/>
                </w:tcPr>
                <w:p w14:paraId="2AECE724">
                  <w:pPr>
                    <w:pBdr>
                      <w:top w:val="none" w:color="auto" w:sz="0" w:space="0"/>
                      <w:left w:val="none" w:color="auto" w:sz="0" w:space="0"/>
                      <w:bottom w:val="none" w:color="auto" w:sz="0" w:space="0"/>
                      <w:right w:val="none" w:color="auto" w:sz="0" w:space="0"/>
                      <w:between w:val="none" w:color="auto" w:sz="0" w:space="0"/>
                    </w:pBdr>
                    <w:jc w:val="center"/>
                    <w:textAlignment w:val="center"/>
                    <w:rPr>
                      <w:b w:val="0"/>
                      <w:sz w:val="21"/>
                    </w:rPr>
                  </w:pPr>
                </w:p>
              </w:tc>
              <w:tc>
                <w:tcPr>
                  <w:tcW w:w="800" w:type="dxa"/>
                  <w:tcBorders>
                    <w:top w:val="single" w:color="auto" w:sz="12" w:space="0"/>
                    <w:left w:val="single" w:color="auto" w:sz="12" w:space="0"/>
                    <w:bottom w:val="single" w:color="auto" w:sz="12" w:space="0"/>
                    <w:right w:val="single" w:color="auto" w:sz="12" w:space="0"/>
                  </w:tcBorders>
                  <w:vAlign w:val="center"/>
                </w:tcPr>
                <w:p w14:paraId="186E5B99">
                  <w:pPr>
                    <w:pBdr>
                      <w:top w:val="none" w:color="auto" w:sz="0" w:space="0"/>
                      <w:left w:val="none" w:color="auto" w:sz="0" w:space="0"/>
                      <w:bottom w:val="none" w:color="auto" w:sz="0" w:space="0"/>
                      <w:right w:val="none" w:color="auto" w:sz="0" w:space="0"/>
                      <w:between w:val="none" w:color="auto" w:sz="0" w:space="0"/>
                    </w:pBdr>
                    <w:jc w:val="center"/>
                    <w:textAlignment w:val="center"/>
                    <w:rPr>
                      <w:b w:val="0"/>
                      <w:sz w:val="21"/>
                    </w:rPr>
                  </w:pPr>
                </w:p>
              </w:tc>
            </w:tr>
          </w:tbl>
          <w:p w14:paraId="20FBAC01"/>
        </w:tc>
        <w:tc>
          <w:tcPr>
            <w:tcW w:w="0" w:type="auto"/>
            <w:tcBorders>
              <w:top w:val="nil"/>
              <w:left w:val="nil"/>
              <w:bottom w:val="nil"/>
              <w:right w:val="nil"/>
            </w:tcBorders>
            <w:vAlign w:val="center"/>
          </w:tcPr>
          <w:p w14:paraId="239070BC">
            <w:pPr>
              <w:pBdr>
                <w:top w:val="none" w:color="auto" w:sz="0" w:space="0"/>
                <w:left w:val="none" w:color="auto" w:sz="0" w:space="0"/>
                <w:bottom w:val="none" w:color="auto" w:sz="0" w:space="0"/>
                <w:right w:val="none" w:color="auto" w:sz="0" w:space="0"/>
                <w:between w:val="none" w:color="auto" w:sz="0" w:space="0"/>
              </w:pBdr>
              <w:jc w:val="left"/>
              <w:textAlignment w:val="center"/>
              <w:rPr>
                <w:b/>
                <w:sz w:val="21"/>
              </w:rPr>
            </w:pPr>
            <w:r>
              <w:rPr>
                <w:b/>
                <w:sz w:val="21"/>
              </w:rPr>
              <w:t>二、语法填空</w:t>
            </w:r>
          </w:p>
        </w:tc>
      </w:tr>
    </w:tbl>
    <w:p w14:paraId="496C8A1F">
      <w:pPr>
        <w:shd w:val="clear" w:color="auto" w:fill="auto"/>
        <w:spacing w:line="360" w:lineRule="auto"/>
        <w:jc w:val="left"/>
        <w:textAlignment w:val="center"/>
        <w:rPr>
          <w:sz w:val="21"/>
        </w:rPr>
      </w:pPr>
      <w:r>
        <w:rPr>
          <w:sz w:val="21"/>
        </w:rPr>
        <w:t>阅读下面短文，在空白处填入适当的单词或括号内单词的正确形式。</w:t>
      </w:r>
    </w:p>
    <w:p w14:paraId="34034F54">
      <w:pPr>
        <w:shd w:val="clear" w:color="auto" w:fill="auto"/>
        <w:spacing w:line="360" w:lineRule="auto"/>
        <w:ind w:firstLine="560"/>
        <w:jc w:val="both"/>
        <w:textAlignment w:val="center"/>
        <w:rPr>
          <w:sz w:val="21"/>
        </w:rPr>
      </w:pPr>
      <w:r>
        <w:rPr>
          <w:sz w:val="21"/>
        </w:rPr>
        <w:t>China has adopted a comprehensive approach to wetland protection by building the world’s</w:t>
      </w:r>
      <w:r>
        <w:rPr>
          <w:rFonts w:ascii="Times New Roman" w:hAnsi="Times New Roman" w:eastAsia="Times New Roman" w:cs="Times New Roman"/>
          <w:b w:val="0"/>
          <w:sz w:val="21"/>
          <w:u w:val="single"/>
        </w:rPr>
        <w:t xml:space="preserve">    17    </w:t>
      </w:r>
      <w:r>
        <w:rPr>
          <w:sz w:val="21"/>
        </w:rPr>
        <w:t>(large) number of international wetland cities and forming global partnerships. As</w:t>
      </w:r>
      <w:r>
        <w:rPr>
          <w:rFonts w:ascii="Times New Roman" w:hAnsi="Times New Roman" w:eastAsia="Times New Roman" w:cs="Times New Roman"/>
          <w:b w:val="0"/>
          <w:sz w:val="21"/>
          <w:u w:val="single"/>
        </w:rPr>
        <w:t xml:space="preserve">    18    </w:t>
      </w:r>
      <w:r>
        <w:rPr>
          <w:sz w:val="21"/>
        </w:rPr>
        <w:t>result, the success of its conservation efforts has benefited both its biodiversity and the health of cross-border ecosystems.</w:t>
      </w:r>
    </w:p>
    <w:p w14:paraId="52A07070">
      <w:pPr>
        <w:shd w:val="clear" w:color="auto" w:fill="auto"/>
        <w:spacing w:line="360" w:lineRule="auto"/>
        <w:ind w:firstLine="560"/>
        <w:jc w:val="both"/>
        <w:textAlignment w:val="center"/>
        <w:rPr>
          <w:sz w:val="21"/>
        </w:rPr>
      </w:pPr>
      <w:r>
        <w:rPr>
          <w:sz w:val="21"/>
        </w:rPr>
        <w:t>This work is visible in both the latest progress and long-term outcomes. China has</w:t>
      </w:r>
      <w:r>
        <w:rPr>
          <w:rFonts w:ascii="Times New Roman" w:hAnsi="Times New Roman" w:eastAsia="Times New Roman" w:cs="Times New Roman"/>
          <w:b w:val="0"/>
          <w:sz w:val="21"/>
          <w:u w:val="single"/>
        </w:rPr>
        <w:t xml:space="preserve">    19    </w:t>
      </w:r>
      <w:r>
        <w:rPr>
          <w:sz w:val="21"/>
        </w:rPr>
        <w:t>(recent) added 22 wetlands - including the Genheyuan Wetland in the Inner Mongolia Autonomous Region and the Jiushan Islands in Zhejiang Province - to its list of sites of national importance,</w:t>
      </w:r>
      <w:r>
        <w:rPr>
          <w:rFonts w:ascii="Times New Roman" w:hAnsi="Times New Roman" w:eastAsia="Times New Roman" w:cs="Times New Roman"/>
          <w:b w:val="0"/>
          <w:sz w:val="21"/>
          <w:u w:val="single"/>
        </w:rPr>
        <w:t xml:space="preserve">    20    </w:t>
      </w:r>
      <w:r>
        <w:rPr>
          <w:sz w:val="21"/>
        </w:rPr>
        <w:t>(bring) the total to 80. This expansion, alongside the introduction of China’s first specialized law on wetland protection, marks a significant milestone in its ecological efforts and</w:t>
      </w:r>
      <w:r>
        <w:rPr>
          <w:rFonts w:ascii="Times New Roman" w:hAnsi="Times New Roman" w:eastAsia="Times New Roman" w:cs="Times New Roman"/>
          <w:b w:val="0"/>
          <w:sz w:val="21"/>
          <w:u w:val="single"/>
        </w:rPr>
        <w:t xml:space="preserve">    21    </w:t>
      </w:r>
      <w:r>
        <w:rPr>
          <w:sz w:val="21"/>
        </w:rPr>
        <w:t>(reflect) its sustained dedication to conservation.</w:t>
      </w:r>
    </w:p>
    <w:p w14:paraId="0BEF6FB0">
      <w:pPr>
        <w:shd w:val="clear" w:color="auto" w:fill="auto"/>
        <w:spacing w:line="360" w:lineRule="auto"/>
        <w:ind w:firstLine="560"/>
        <w:jc w:val="both"/>
        <w:textAlignment w:val="center"/>
        <w:rPr>
          <w:sz w:val="21"/>
        </w:rPr>
      </w:pPr>
      <w:r>
        <w:rPr>
          <w:sz w:val="21"/>
        </w:rPr>
        <w:t>These measures have produced</w:t>
      </w:r>
      <w:r>
        <w:rPr>
          <w:rFonts w:ascii="Times New Roman" w:hAnsi="Times New Roman" w:eastAsia="Times New Roman" w:cs="Times New Roman"/>
          <w:b w:val="0"/>
          <w:sz w:val="21"/>
          <w:u w:val="single"/>
        </w:rPr>
        <w:t xml:space="preserve">    22    </w:t>
      </w:r>
      <w:r>
        <w:rPr>
          <w:sz w:val="21"/>
        </w:rPr>
        <w:t>(remark) results. China is now home to 82 wetlands</w:t>
      </w:r>
      <w:r>
        <w:rPr>
          <w:rFonts w:ascii="Times New Roman" w:hAnsi="Times New Roman" w:eastAsia="Times New Roman" w:cs="Times New Roman"/>
          <w:b w:val="0"/>
          <w:sz w:val="21"/>
          <w:u w:val="single"/>
        </w:rPr>
        <w:t xml:space="preserve">    23    </w:t>
      </w:r>
      <w:r>
        <w:rPr>
          <w:sz w:val="21"/>
        </w:rPr>
        <w:t>(recognize) as of international importance and 22 international wetland cities. Meanwhile, the country has added or restored more than 1 million hectares of wetlands nationwide.</w:t>
      </w:r>
    </w:p>
    <w:p w14:paraId="2A2539E7">
      <w:pPr>
        <w:shd w:val="clear" w:color="auto" w:fill="auto"/>
        <w:spacing w:line="360" w:lineRule="auto"/>
        <w:ind w:firstLine="560"/>
        <w:jc w:val="both"/>
        <w:textAlignment w:val="center"/>
        <w:rPr>
          <w:sz w:val="21"/>
        </w:rPr>
      </w:pPr>
      <w:r>
        <w:rPr>
          <w:sz w:val="21"/>
        </w:rPr>
        <w:t>Ultimately, through these actions, China is demonstrating to the world</w:t>
      </w:r>
      <w:r>
        <w:rPr>
          <w:rFonts w:ascii="Times New Roman" w:hAnsi="Times New Roman" w:eastAsia="Times New Roman" w:cs="Times New Roman"/>
          <w:b w:val="0"/>
          <w:sz w:val="21"/>
          <w:u w:val="single"/>
        </w:rPr>
        <w:t xml:space="preserve">    24    </w:t>
      </w:r>
      <w:r>
        <w:rPr>
          <w:sz w:val="21"/>
        </w:rPr>
        <w:t>to bring nature back into cities and design new urban areas</w:t>
      </w:r>
      <w:r>
        <w:rPr>
          <w:rFonts w:ascii="Times New Roman" w:hAnsi="Times New Roman" w:eastAsia="Times New Roman" w:cs="Times New Roman"/>
          <w:b w:val="0"/>
          <w:sz w:val="21"/>
          <w:u w:val="single"/>
        </w:rPr>
        <w:t xml:space="preserve">    25    </w:t>
      </w:r>
      <w:r>
        <w:rPr>
          <w:sz w:val="21"/>
        </w:rPr>
        <w:t xml:space="preserve">are better at absorbing rainwater, allowing the natural water cycle </w:t>
      </w:r>
      <w:r>
        <w:rPr>
          <w:rFonts w:ascii="Times New Roman" w:hAnsi="Times New Roman" w:eastAsia="Times New Roman" w:cs="Times New Roman"/>
          <w:b w:val="0"/>
          <w:sz w:val="21"/>
          <w:u w:val="single"/>
        </w:rPr>
        <w:t xml:space="preserve">     26     </w:t>
      </w:r>
      <w:r>
        <w:rPr>
          <w:sz w:val="21"/>
        </w:rPr>
        <w:t>(function).</w:t>
      </w:r>
    </w:p>
    <w:p w14:paraId="774D110B">
      <w:pPr>
        <w:shd w:val="clear" w:color="auto" w:fill="auto"/>
        <w:spacing w:line="360" w:lineRule="auto"/>
        <w:jc w:val="left"/>
        <w:textAlignment w:val="center"/>
        <w:rPr>
          <w:sz w:val="21"/>
        </w:rPr>
      </w:pPr>
    </w:p>
    <w:p w14:paraId="61B73B23">
      <w:pPr>
        <w:jc w:val="center"/>
        <w:textAlignment w:val="center"/>
        <w:rPr>
          <w:rFonts w:ascii="黑体" w:hAnsi="黑体" w:eastAsia="黑体" w:cs="黑体"/>
          <w:b/>
          <w:i w:val="0"/>
          <w:color w:val="000000"/>
          <w:sz w:val="30"/>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00"/>
        <w:gridCol w:w="1478"/>
      </w:tblGrid>
      <w:tr w14:paraId="60601C48">
        <w:tc>
          <w:tcPr>
            <w:tcW w:w="2000" w:type="dxa"/>
            <w:tcBorders>
              <w:top w:val="nil"/>
              <w:left w:val="nil"/>
              <w:bottom w:val="nil"/>
              <w:right w:val="nil"/>
            </w:tcBorders>
          </w:tcPr>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81"/>
              <w:gridCol w:w="788"/>
            </w:tblGrid>
            <w:tr w14:paraId="06E7AB21">
              <w:trPr>
                <w:trHeight w:val="400" w:hRule="atLeast"/>
              </w:trPr>
              <w:tc>
                <w:tcPr>
                  <w:tcW w:w="1000" w:type="dxa"/>
                  <w:tcBorders>
                    <w:top w:val="single" w:color="auto" w:sz="12" w:space="0"/>
                    <w:left w:val="single" w:color="auto" w:sz="12" w:space="0"/>
                    <w:bottom w:val="single" w:color="auto" w:sz="12" w:space="0"/>
                    <w:right w:val="single" w:color="auto" w:sz="12" w:space="0"/>
                  </w:tcBorders>
                  <w:vAlign w:val="center"/>
                </w:tcPr>
                <w:p w14:paraId="5D5AFC65">
                  <w:pPr>
                    <w:pBdr>
                      <w:top w:val="none" w:color="auto" w:sz="0" w:space="0"/>
                      <w:left w:val="none" w:color="auto" w:sz="0" w:space="0"/>
                      <w:bottom w:val="none" w:color="auto" w:sz="0" w:space="0"/>
                      <w:right w:val="none" w:color="auto" w:sz="0" w:space="0"/>
                      <w:between w:val="none" w:color="auto" w:sz="0" w:space="0"/>
                    </w:pBdr>
                    <w:jc w:val="center"/>
                    <w:textAlignment w:val="center"/>
                    <w:rPr>
                      <w:b w:val="0"/>
                      <w:sz w:val="21"/>
                    </w:rPr>
                  </w:pPr>
                  <w:r>
                    <w:rPr>
                      <w:b w:val="0"/>
                      <w:sz w:val="21"/>
                    </w:rPr>
                    <w:t>评卷人</w:t>
                  </w:r>
                </w:p>
              </w:tc>
              <w:tc>
                <w:tcPr>
                  <w:tcW w:w="800" w:type="dxa"/>
                  <w:tcBorders>
                    <w:top w:val="single" w:color="auto" w:sz="12" w:space="0"/>
                    <w:left w:val="single" w:color="auto" w:sz="12" w:space="0"/>
                    <w:bottom w:val="single" w:color="auto" w:sz="12" w:space="0"/>
                    <w:right w:val="single" w:color="auto" w:sz="12" w:space="0"/>
                  </w:tcBorders>
                  <w:vAlign w:val="center"/>
                </w:tcPr>
                <w:p w14:paraId="7805228B">
                  <w:pPr>
                    <w:pBdr>
                      <w:top w:val="none" w:color="auto" w:sz="0" w:space="0"/>
                      <w:left w:val="none" w:color="auto" w:sz="0" w:space="0"/>
                      <w:bottom w:val="none" w:color="auto" w:sz="0" w:space="0"/>
                      <w:right w:val="none" w:color="auto" w:sz="0" w:space="0"/>
                      <w:between w:val="none" w:color="auto" w:sz="0" w:space="0"/>
                    </w:pBdr>
                    <w:jc w:val="center"/>
                    <w:textAlignment w:val="center"/>
                    <w:rPr>
                      <w:b w:val="0"/>
                      <w:sz w:val="21"/>
                    </w:rPr>
                  </w:pPr>
                  <w:r>
                    <w:rPr>
                      <w:b w:val="0"/>
                      <w:sz w:val="21"/>
                    </w:rPr>
                    <w:t>得分</w:t>
                  </w:r>
                </w:p>
              </w:tc>
            </w:tr>
            <w:tr w14:paraId="042EFCAD">
              <w:trPr>
                <w:trHeight w:val="500" w:hRule="atLeast"/>
              </w:trPr>
              <w:tc>
                <w:tcPr>
                  <w:tcW w:w="800" w:type="dxa"/>
                  <w:tcBorders>
                    <w:top w:val="single" w:color="auto" w:sz="12" w:space="0"/>
                    <w:left w:val="single" w:color="auto" w:sz="12" w:space="0"/>
                    <w:bottom w:val="single" w:color="auto" w:sz="12" w:space="0"/>
                    <w:right w:val="single" w:color="auto" w:sz="12" w:space="0"/>
                  </w:tcBorders>
                  <w:vAlign w:val="center"/>
                </w:tcPr>
                <w:p w14:paraId="676329BF">
                  <w:pPr>
                    <w:pBdr>
                      <w:top w:val="none" w:color="auto" w:sz="0" w:space="0"/>
                      <w:left w:val="none" w:color="auto" w:sz="0" w:space="0"/>
                      <w:bottom w:val="none" w:color="auto" w:sz="0" w:space="0"/>
                      <w:right w:val="none" w:color="auto" w:sz="0" w:space="0"/>
                      <w:between w:val="none" w:color="auto" w:sz="0" w:space="0"/>
                    </w:pBdr>
                    <w:jc w:val="center"/>
                    <w:textAlignment w:val="center"/>
                    <w:rPr>
                      <w:b w:val="0"/>
                      <w:sz w:val="21"/>
                    </w:rPr>
                  </w:pPr>
                </w:p>
              </w:tc>
              <w:tc>
                <w:tcPr>
                  <w:tcW w:w="800" w:type="dxa"/>
                  <w:tcBorders>
                    <w:top w:val="single" w:color="auto" w:sz="12" w:space="0"/>
                    <w:left w:val="single" w:color="auto" w:sz="12" w:space="0"/>
                    <w:bottom w:val="single" w:color="auto" w:sz="12" w:space="0"/>
                    <w:right w:val="single" w:color="auto" w:sz="12" w:space="0"/>
                  </w:tcBorders>
                  <w:vAlign w:val="center"/>
                </w:tcPr>
                <w:p w14:paraId="02206D8C">
                  <w:pPr>
                    <w:pBdr>
                      <w:top w:val="none" w:color="auto" w:sz="0" w:space="0"/>
                      <w:left w:val="none" w:color="auto" w:sz="0" w:space="0"/>
                      <w:bottom w:val="none" w:color="auto" w:sz="0" w:space="0"/>
                      <w:right w:val="none" w:color="auto" w:sz="0" w:space="0"/>
                      <w:between w:val="none" w:color="auto" w:sz="0" w:space="0"/>
                    </w:pBdr>
                    <w:jc w:val="center"/>
                    <w:textAlignment w:val="center"/>
                    <w:rPr>
                      <w:b w:val="0"/>
                      <w:sz w:val="21"/>
                    </w:rPr>
                  </w:pPr>
                </w:p>
              </w:tc>
            </w:tr>
          </w:tbl>
          <w:p w14:paraId="7E7FFCB5"/>
        </w:tc>
        <w:tc>
          <w:tcPr>
            <w:tcW w:w="0" w:type="auto"/>
            <w:tcBorders>
              <w:top w:val="nil"/>
              <w:left w:val="nil"/>
              <w:bottom w:val="nil"/>
              <w:right w:val="nil"/>
            </w:tcBorders>
            <w:vAlign w:val="center"/>
          </w:tcPr>
          <w:p w14:paraId="683E34A5">
            <w:pPr>
              <w:pBdr>
                <w:top w:val="none" w:color="auto" w:sz="0" w:space="0"/>
                <w:left w:val="none" w:color="auto" w:sz="0" w:space="0"/>
                <w:bottom w:val="none" w:color="auto" w:sz="0" w:space="0"/>
                <w:right w:val="none" w:color="auto" w:sz="0" w:space="0"/>
                <w:between w:val="none" w:color="auto" w:sz="0" w:space="0"/>
              </w:pBdr>
              <w:jc w:val="left"/>
              <w:textAlignment w:val="center"/>
              <w:rPr>
                <w:b/>
                <w:sz w:val="21"/>
              </w:rPr>
            </w:pPr>
            <w:r>
              <w:rPr>
                <w:b/>
                <w:sz w:val="21"/>
              </w:rPr>
              <w:t>三、书信写作</w:t>
            </w:r>
          </w:p>
        </w:tc>
      </w:tr>
    </w:tbl>
    <w:p w14:paraId="5D68D3BE">
      <w:pPr>
        <w:shd w:val="clear" w:color="auto" w:fill="auto"/>
        <w:spacing w:line="360" w:lineRule="auto"/>
        <w:jc w:val="left"/>
        <w:textAlignment w:val="center"/>
        <w:rPr>
          <w:sz w:val="21"/>
        </w:rPr>
      </w:pPr>
      <w:r>
        <w:rPr>
          <w:sz w:val="21"/>
        </w:rPr>
        <w:t>27．假定你是李华，你的外国友人Peter要创办“中西方文化”在线学习小组，对于如何组织写信征求你的建议。请给Peter写一封邮件，内容包括：(1) 你的建议；(2) 说明理由。</w:t>
      </w:r>
    </w:p>
    <w:p w14:paraId="1949D1B5">
      <w:pPr>
        <w:shd w:val="clear" w:color="auto" w:fill="auto"/>
        <w:spacing w:line="360" w:lineRule="auto"/>
        <w:jc w:val="left"/>
        <w:textAlignment w:val="center"/>
        <w:rPr>
          <w:sz w:val="21"/>
        </w:rPr>
      </w:pPr>
      <w:r>
        <w:rPr>
          <w:sz w:val="21"/>
        </w:rPr>
        <w:t>注意：1. 写作词数应为100个左右；2. 请按如下格式在答题纸的相应位置作答。</w:t>
      </w:r>
    </w:p>
    <w:p w14:paraId="770DE910">
      <w:pPr>
        <w:shd w:val="clear" w:color="auto" w:fill="auto"/>
        <w:spacing w:line="360" w:lineRule="auto"/>
        <w:jc w:val="left"/>
        <w:textAlignment w:val="center"/>
        <w:rPr>
          <w:sz w:val="21"/>
        </w:rPr>
      </w:pPr>
      <w:r>
        <w:rPr>
          <w:sz w:val="21"/>
        </w:rPr>
        <w:t>Dear Peter,</w:t>
      </w:r>
    </w:p>
    <w:p w14:paraId="2CAA8C1A">
      <w:pPr>
        <w:shd w:val="clear" w:color="auto" w:fill="auto"/>
        <w:spacing w:line="360" w:lineRule="auto"/>
        <w:jc w:val="left"/>
        <w:textAlignment w:val="center"/>
        <w:rPr>
          <w:sz w:val="21"/>
        </w:rPr>
      </w:pPr>
      <w:r>
        <w:rPr>
          <w:sz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BE8F27">
      <w:pPr>
        <w:shd w:val="clear" w:color="auto" w:fill="auto"/>
        <w:spacing w:line="360" w:lineRule="auto"/>
        <w:jc w:val="right"/>
        <w:textAlignment w:val="center"/>
        <w:rPr>
          <w:sz w:val="21"/>
        </w:rPr>
      </w:pPr>
      <w:r>
        <w:rPr>
          <w:sz w:val="21"/>
        </w:rPr>
        <w:t>______________________________________________________________________________________________________________________________________________________________Yours,</w:t>
      </w:r>
    </w:p>
    <w:p w14:paraId="77F95E61">
      <w:pPr>
        <w:shd w:val="clear" w:color="auto" w:fill="auto"/>
        <w:spacing w:line="360" w:lineRule="auto"/>
        <w:jc w:val="right"/>
        <w:textAlignment w:val="center"/>
        <w:rPr>
          <w:rFonts w:hint="eastAsia"/>
          <w:sz w:val="21"/>
          <w:lang w:val="en-US" w:eastAsia="zh-CN"/>
        </w:rPr>
      </w:pPr>
      <w:r>
        <w:rPr>
          <w:sz w:val="21"/>
        </w:rPr>
        <w:t>Li Hu</w:t>
      </w:r>
      <w:r>
        <w:rPr>
          <w:rFonts w:hint="eastAsia"/>
          <w:sz w:val="21"/>
          <w:lang w:val="en-US" w:eastAsia="zh-CN"/>
        </w:rPr>
        <w:t>a</w:t>
      </w:r>
    </w:p>
    <w:p w14:paraId="7C90AC95">
      <w:pPr>
        <w:bidi w:val="0"/>
        <w:rPr>
          <w:rFonts w:hint="eastAsia" w:ascii="Times New Roman" w:hAnsi="Times New Roman" w:eastAsia="宋体" w:cs="Times New Roman"/>
          <w:kern w:val="2"/>
          <w:sz w:val="21"/>
          <w:szCs w:val="22"/>
          <w:lang w:val="en-US" w:eastAsia="zh-CN" w:bidi="ar-SA"/>
        </w:rPr>
      </w:pPr>
    </w:p>
    <w:p w14:paraId="651448B9">
      <w:pPr>
        <w:bidi w:val="0"/>
        <w:rPr>
          <w:rFonts w:hint="eastAsia"/>
          <w:lang w:val="en-US" w:eastAsia="zh-CN"/>
        </w:rPr>
      </w:pPr>
    </w:p>
    <w:p w14:paraId="4980E148">
      <w:pPr>
        <w:tabs>
          <w:tab w:val="left" w:pos="4872"/>
        </w:tabs>
        <w:bidi w:val="0"/>
        <w:jc w:val="left"/>
        <w:rPr>
          <w:rFonts w:hint="eastAsia"/>
          <w:lang w:val="en-US" w:eastAsia="zh-CN"/>
        </w:rPr>
        <w:sectPr>
          <w:footerReference r:id="rId3" w:type="default"/>
          <w:footerReference r:id="rId4" w:type="even"/>
          <w:pgSz w:w="11907" w:h="16839"/>
          <w:pgMar w:top="1440" w:right="1800" w:bottom="1440" w:left="1800" w:header="851" w:footer="425" w:gutter="0"/>
          <w:cols w:space="425" w:num="1" w:sep="1"/>
          <w:docGrid w:type="lines" w:linePitch="312" w:charSpace="0"/>
        </w:sectPr>
      </w:pPr>
      <w:bookmarkStart w:id="0" w:name="_GoBack"/>
      <w:bookmarkEnd w:id="0"/>
    </w:p>
    <w:p w14:paraId="3B001A42">
      <w:pPr>
        <w:shd w:val="clear" w:color="auto" w:fill="auto"/>
        <w:spacing w:line="360" w:lineRule="auto"/>
        <w:jc w:val="left"/>
        <w:textAlignment w:val="center"/>
        <w:rPr>
          <w:sz w:val="21"/>
        </w:rPr>
      </w:pPr>
    </w:p>
    <w:sectPr>
      <w:headerReference r:id="rId5" w:type="default"/>
      <w:footerReference r:id="rId7" w:type="default"/>
      <w:headerReference r:id="rId6" w:type="even"/>
      <w:footerReference r:id="rId8" w:type="even"/>
      <w:pgSz w:w="11907" w:h="16839"/>
      <w:pgMar w:top="1440" w:right="1800" w:bottom="1440" w:left="1800" w:header="851" w:footer="425"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D11E6">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1CD39">
    <w:pPr>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58B78"/>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3B75B"/>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F7D2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7B14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806B0"/>
    <w:rsid w:val="00E476EE"/>
    <w:rsid w:val="00EF035E"/>
    <w:rsid w:val="00F16B29"/>
    <w:rsid w:val="00FA429B"/>
    <w:rsid w:val="9FBF3A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2017-07-19T20:07:00Z</dcterms:created>
  <dc:creator>组卷网zujuan.xkw.com</dc:creator>
  <cp:lastModifiedBy>WPS_1559714312</cp:lastModifiedBy>
  <dcterms:modified xsi:type="dcterms:W3CDTF">2026-02-27T12:56:07Z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5830e88d06c5487796642f3d66bed649mtcznzu3ody0oq</vt:lpwstr>
  </property>
  <property fmtid="{D5CDD505-2E9C-101B-9397-08002B2CF9AE}" pid="4" name="KSOProductBuildVer">
    <vt:lpwstr>2052-12.1.24031.24031</vt:lpwstr>
  </property>
  <property fmtid="{D5CDD505-2E9C-101B-9397-08002B2CF9AE}" pid="5" name="ICV">
    <vt:lpwstr>B6E333448B5E8EE0E723A16998C98DCC_42</vt:lpwstr>
  </property>
</Properties>
</file>