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80" w:line="283" w:lineRule="auto"/>
      </w:pPr>
    </w:p>
    <w:p>
      <w:pPr>
        <w:pStyle w:val="CoverKicker"/>
        <w:widowControl/>
        <w:spacing w:before="1400" w:after="200"/>
        <w:jc w:val="center"/>
      </w:pPr>
      <w:r>
        <w:rPr>
          <w:rFonts w:ascii="BIZ UDPゴシック" w:hAnsi="BIZ UDPゴシック" w:eastAsia="BIZ UDPゴシック" w:cs="Yu Gothic"/>
          <w:b/>
          <w:color w:val="1F4E78"/>
          <w:sz w:val="22"/>
        </w:rPr>
        <w:t>新任者研修資料</w:t>
      </w:r>
    </w:p>
    <w:p>
      <w:pPr>
        <w:pStyle w:val="CoverTitle"/>
        <w:widowControl/>
        <w:spacing w:after="200"/>
        <w:jc w:val="center"/>
      </w:pPr>
      <w:r>
        <w:rPr>
          <w:rFonts w:ascii="BIZ UDPゴシック" w:hAnsi="BIZ UDPゴシック" w:eastAsia="BIZ UDPゴシック" w:cs="Yu Gothic"/>
          <w:b/>
          <w:color w:val="17365D"/>
          <w:sz w:val="50"/>
        </w:rPr>
        <w:t>相続税調査の法的根拠</w:t>
      </w:r>
    </w:p>
    <w:p>
      <w:pPr>
        <w:pStyle w:val="CoverSubtitle"/>
        <w:widowControl/>
        <w:spacing w:after="560"/>
        <w:jc w:val="center"/>
      </w:pPr>
      <w:r>
        <w:rPr>
          <w:rFonts w:ascii="BIZ UDPゴシック" w:hAnsi="BIZ UDPゴシック" w:eastAsia="BIZ UDPゴシック" w:cs="Yu Gothic"/>
          <w:b w:val="0"/>
          <w:color w:val="666666"/>
          <w:sz w:val="26"/>
        </w:rPr>
        <w:t>調査の開始から附帯税・期間制限まで</w:t>
      </w:r>
    </w:p>
    <w:p>
      <w:pPr>
        <w:widowControl/>
        <w:spacing w:before="0" w:after="80" w:line="283" w:lineRule="auto"/>
      </w:pPr>
    </w:p>
    <w:p>
      <w:pPr>
        <w:widowControl/>
        <w:spacing w:after="80" w:line="283" w:lineRule="auto"/>
        <w:jc w:val="center"/>
      </w:pPr>
      <w:r>
        <w:rPr>
          <w:rFonts w:ascii="BIZ UDPゴシック" w:hAnsi="BIZ UDPゴシック" w:eastAsia="BIZ UDPゴシック" w:cs="Yu Gothic"/>
          <w:b w:val="0"/>
          <w:color w:val="222222"/>
          <w:sz w:val="21"/>
        </w:rPr>
        <w:t>調査通知・事前通知　｜　質問検査・反面調査</w:t>
      </w:r>
    </w:p>
    <w:p>
      <w:pPr>
        <w:widowControl/>
        <w:spacing w:after="80" w:line="283" w:lineRule="auto"/>
        <w:jc w:val="center"/>
      </w:pPr>
      <w:r>
        <w:rPr>
          <w:rFonts w:ascii="BIZ UDPゴシック" w:hAnsi="BIZ UDPゴシック" w:eastAsia="BIZ UDPゴシック" w:cs="Yu Gothic"/>
          <w:b w:val="0"/>
          <w:color w:val="222222"/>
          <w:sz w:val="21"/>
        </w:rPr>
        <w:t>調査結果の説明　｜　加算税・延滞税　｜　期間制限</w:t>
      </w:r>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EAF1F7"/>
              <w:start w:val="single" w:sz="24" w:space="0" w:color="183B63"/>
              <w:left w:val="single" w:sz="5" w:color="C9D2DF"/>
              <w:right w:val="single" w:sz="5" w:color="C9D2DF"/>
            </w:tcBorders>
          </w:tcPr>
          <w:p>
            <w:pPr>
              <w:spacing w:before="0" w:after="0" w:line="259" w:lineRule="auto"/>
            </w:pPr>
            <w:r>
              <w:rPr>
                <w:rFonts w:ascii="BIZ UDPゴシック" w:hAnsi="BIZ UDPゴシック" w:eastAsia="BIZ UDPゴシック"/>
                <w:b/>
                <w:color w:val="17365D"/>
                <w:sz w:val="20"/>
              </w:rPr>
              <w:t>この資料で確認すること</w:t>
              <w:br/>
              <w:t>相続税の実地調査を初めて担当する職員が、調査の流れに沿って、各場面の目的、根拠となる条文、確認事項を理解するための資料です。条文は要点を整理して掲載しています。個別事案では、適用時点の法令、法令解釈通達、事務運営指針及び内部通達を必ず確認してください。</w:t>
            </w:r>
          </w:p>
        </w:tc>
      </w:tr>
    </w:tbl>
    <w:p>
      <w:pPr>
        <w:widowControl/>
        <w:spacing w:after="80" w:line="283" w:lineRule="auto"/>
      </w:pPr>
    </w:p>
    <w:p>
      <w:pPr>
        <w:widowControl/>
        <w:spacing w:before="0" w:after="80" w:line="283" w:lineRule="auto"/>
      </w:pPr>
    </w:p>
    <w:p>
      <w:pPr>
        <w:widowControl/>
        <w:spacing w:line="283" w:lineRule="auto" w:after="80"/>
        <w:sectPr>
          <w:headerReference w:type="default" r:id="rId9"/>
          <w:footerReference w:type="default" r:id="rId10"/>
          <w:headerReference w:type="first" r:id="rId21"/>
          <w:footerReference w:type="first" r:id="rId22"/>
          <w:pgSz w:w="11906" w:h="16838"/>
          <w:pgMar w:top="935" w:right="935" w:bottom="879" w:left="935" w:header="397" w:footer="397" w:gutter="0"/>
          <w:cols w:space="720"/>
          <w:titlePg/>
          <w:docGrid w:linePitch="360"/>
        </w:sectPr>
      </w:pPr>
    </w:p>
    <w:p>
      <w:pPr>
        <w:pStyle w:val="Heading1"/>
        <w:spacing w:before="160" w:after="140"/>
        <w:widowControl/>
        <w:pBdr>
          <w:bottom w:val="single" w:sz="10" w:space="6" w:color="183B63"/>
        </w:pBdr>
        <w:keepNext/>
        <w:pBdr>
          <w:bottom w:val="single" w:sz="16" w:space="4" w:color="2F5597"/>
        </w:pBdr>
      </w:pPr>
      <w:r>
        <w:rPr>
          <w:rFonts w:ascii="BIZ UDPゴシック" w:hAnsi="BIZ UDPゴシック" w:eastAsia="BIZ UDPゴシック" w:cs="Yu Gothic"/>
          <w:b/>
          <w:color w:val="17365D"/>
          <w:sz w:val="36"/>
        </w:rPr>
        <w:t>学習マップ</w:t>
      </w:r>
    </w:p>
    <w:p>
      <w:pPr>
        <w:pStyle w:val="SectionIntro"/>
        <w:keepLines/>
        <w:widowControl/>
        <w:spacing w:after="140" w:line="300" w:lineRule="auto"/>
      </w:pPr>
      <w:r>
        <w:rPr>
          <w:rFonts w:ascii="BIZ UDPゴシック" w:hAnsi="BIZ UDPゴシック" w:eastAsia="BIZ UDPゴシック"/>
          <w:b/>
          <w:color w:val="222222"/>
          <w:sz w:val="22"/>
        </w:rPr>
        <w:t>この資料では、相続税調査の流れに沿って、各場面の目的、根拠となる条文、確認すべき事項を整理しています。条文番号だけを覚えるのではなく、「どの場面で、なぜ確認する規定なのか」を意識して読み進めてください。</w:t>
      </w:r>
    </w:p>
    <w:p>
      <w:pPr>
        <w:pStyle w:val="Heading2"/>
        <w:keepNext/>
        <w:widowControl/>
        <w:spacing w:before="140" w:after="80"/>
      </w:pPr>
      <w:r>
        <w:rPr>
          <w:rFonts w:ascii="BIZ UDPゴシック" w:hAnsi="BIZ UDPゴシック" w:eastAsia="BIZ UDPゴシック" w:cs="Yu Gothic"/>
          <w:b/>
          <w:color w:val="1F4E78"/>
          <w:sz w:val="27"/>
        </w:rPr>
        <w:t>到達目標</w:t>
      </w:r>
    </w:p>
    <w:p>
      <w:pPr>
        <w:pStyle w:val="ListBullet"/>
        <w:widowControl/>
        <w:spacing w:after="40" w:line="276" w:lineRule="auto"/>
        <w:ind w:left="283" w:hanging="170"/>
        <w:jc w:val="left"/>
      </w:pPr>
      <w:r>
        <w:rPr>
          <w:rFonts w:ascii="BIZ UDPゴシック" w:hAnsi="BIZ UDPゴシック" w:eastAsia="BIZ UDPゴシック" w:cs="Yu Gothic"/>
          <w:b w:val="0"/>
          <w:color w:val="222222"/>
          <w:sz w:val="21"/>
        </w:rPr>
        <w:t>調査と行政指導、調査通知と事前通知、更正・決定の予知を区別できる。</w:t>
      </w:r>
    </w:p>
    <w:p>
      <w:pPr>
        <w:pStyle w:val="ListBullet"/>
        <w:widowControl/>
        <w:spacing w:after="40" w:line="276" w:lineRule="auto"/>
        <w:ind w:left="283" w:hanging="170"/>
        <w:jc w:val="left"/>
      </w:pPr>
      <w:r>
        <w:rPr>
          <w:rFonts w:ascii="BIZ UDPゴシック" w:hAnsi="BIZ UDPゴシック" w:eastAsia="BIZ UDPゴシック"/>
          <w:b w:val="0"/>
          <w:color w:val="222222"/>
          <w:sz w:val="21"/>
        </w:rPr>
        <w:t>質問・検査・提示・提出要求・留置きの範囲と手続を説明できる。</w:t>
      </w:r>
    </w:p>
    <w:p>
      <w:pPr>
        <w:pStyle w:val="ListBullet"/>
        <w:widowControl/>
        <w:spacing w:after="40" w:line="276" w:lineRule="auto"/>
        <w:ind w:left="283" w:hanging="170"/>
        <w:jc w:val="left"/>
      </w:pPr>
      <w:r>
        <w:rPr>
          <w:rFonts w:ascii="BIZ UDPゴシック" w:hAnsi="BIZ UDPゴシック" w:eastAsia="BIZ UDPゴシック" w:cs="Yu Gothic"/>
          <w:b w:val="0"/>
          <w:color w:val="222222"/>
          <w:sz w:val="21"/>
        </w:rPr>
        <w:t>反面調査・金融機関調査の必要性と対象範囲を事実に基づいて整理できる。</w:t>
      </w:r>
    </w:p>
    <w:p>
      <w:pPr>
        <w:pStyle w:val="ListBullet"/>
        <w:widowControl/>
        <w:spacing w:after="40" w:line="276" w:lineRule="auto"/>
        <w:ind w:left="283" w:hanging="170"/>
        <w:jc w:val="left"/>
      </w:pPr>
      <w:r>
        <w:rPr>
          <w:rFonts w:ascii="BIZ UDPゴシック" w:hAnsi="BIZ UDPゴシック" w:eastAsia="BIZ UDPゴシック" w:cs="Yu Gothic"/>
          <w:b w:val="0"/>
          <w:color w:val="222222"/>
          <w:sz w:val="21"/>
        </w:rPr>
        <w:t>調査結果の説明、修正申告の勧奨、終了手続を漏れなく行える。</w:t>
      </w:r>
    </w:p>
    <w:p>
      <w:pPr>
        <w:pStyle w:val="ListBullet"/>
        <w:widowControl/>
        <w:spacing w:after="40" w:line="276" w:lineRule="auto"/>
        <w:ind w:left="283" w:hanging="170"/>
        <w:jc w:val="left"/>
      </w:pPr>
      <w:r>
        <w:rPr>
          <w:rFonts w:ascii="BIZ UDPゴシック" w:hAnsi="BIZ UDPゴシック" w:eastAsia="BIZ UDPゴシック" w:cs="Yu Gothic"/>
          <w:b w:val="0"/>
          <w:color w:val="222222"/>
          <w:sz w:val="21"/>
        </w:rPr>
        <w:t>加算税の税率を通知時点と予知時点で判定し、期間制限を誤らず確認できる。</w:t>
      </w:r>
    </w:p>
    <w:p>
      <w:pPr>
        <w:pStyle w:val="Heading2"/>
        <w:keepNext/>
        <w:widowControl/>
        <w:spacing w:before="140" w:after="80"/>
      </w:pPr>
      <w:r>
        <w:rPr>
          <w:rFonts w:ascii="BIZ UDPゴシック" w:hAnsi="BIZ UDPゴシック" w:eastAsia="BIZ UDPゴシック"/>
          <w:b/>
          <w:color w:val="1F4E78"/>
          <w:sz w:val="27"/>
        </w:rPr>
        <w:t>調査の流れと確認事項</w:t>
      </w:r>
    </w:p>
    <w:tbl>
      <w:tblPr>
        <w:tblW w:type="dxa" w:w="9865"/>
        <w:tblLayout w:type="autofit"/>
        <w:tblLook w:firstColumn="1" w:firstRow="1" w:lastColumn="0" w:lastRow="0" w:noHBand="0" w:noVBand="1" w:val="04A0"/>
        <w:jc w:val="center"/>
        <w:tblInd w:w="120" w:type="dxa"/>
      </w:tblPr>
      <w:tblGrid>
        <w:gridCol w:w="792"/>
        <w:gridCol w:w="1656"/>
        <w:gridCol w:w="4536"/>
        <w:gridCol w:w="2881"/>
      </w:tblGrid>
      <w:tr>
        <w:trPr>
          <w:tblHeader w:val="true"/>
          <w:cantSplit/>
          <w:tblHeader w:val="true"/>
          <w:tblHeader w:val="true"/>
          <w:cantSplit/>
        </w:trPr>
        <w:tc>
          <w:tcPr>
            <w:tcW w:type="dxa" w:w="792"/>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段階</w:t>
            </w:r>
          </w:p>
        </w:tc>
        <w:tc>
          <w:tcPr>
            <w:tcW w:type="dxa" w:w="1656"/>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主な場面</w:t>
            </w:r>
          </w:p>
        </w:tc>
        <w:tc>
          <w:tcPr>
            <w:tcW w:type="dxa" w:w="4536"/>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確認すること</w:t>
            </w:r>
          </w:p>
        </w:tc>
        <w:tc>
          <w:tcPr>
            <w:tcW w:type="dxa" w:w="2881"/>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spacing w:before="0" w:after="0" w:line="259" w:lineRule="auto"/>
            </w:pPr>
            <w:r>
              <w:rPr>
                <w:rFonts w:ascii="BIZ UDPゴシック" w:hAnsi="BIZ UDPゴシック" w:eastAsia="BIZ UDPゴシック"/>
                <w:b/>
                <w:color w:val="FFFFFF"/>
                <w:sz w:val="20"/>
              </w:rPr>
              <w:t>確認・記録しておくこと</w:t>
            </w:r>
          </w:p>
        </w:tc>
      </w:tr>
      <w:tr>
        <w:trPr>
          <w:cantSplit/>
          <w:cantSplit/>
        </w:trPr>
        <w:tc>
          <w:tcPr>
            <w:tcW w:type="dxa" w:w="79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0</w:t>
            </w:r>
          </w:p>
        </w:tc>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着手前</w:t>
            </w:r>
          </w:p>
        </w:tc>
        <w:tc>
          <w:tcPr>
            <w:tcW w:type="dxa" w:w="453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調査か行政指導か／目的と必要性</w:t>
            </w:r>
          </w:p>
        </w:tc>
        <w:tc>
          <w:tcPr>
            <w:tcW w:type="dxa" w:w="2881"/>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選定理由と、調査で明らかにする事項</w:t>
            </w:r>
          </w:p>
        </w:tc>
      </w:tr>
      <w:tr>
        <w:trPr>
          <w:cantSplit/>
          <w:cantSplit/>
        </w:trPr>
        <w:tc>
          <w:tcPr>
            <w:tcW w:type="dxa" w:w="79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1</w:t>
            </w:r>
          </w:p>
        </w:tc>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通知</w:t>
            </w:r>
          </w:p>
        </w:tc>
        <w:tc>
          <w:tcPr>
            <w:tcW w:type="dxa" w:w="453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調査通知・事前通知・無予告の要件</w:t>
            </w:r>
          </w:p>
        </w:tc>
        <w:tc>
          <w:tcPr>
            <w:tcW w:type="dxa" w:w="2881"/>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通知した日時、相手方、方法、通知内容</w:t>
            </w:r>
          </w:p>
        </w:tc>
      </w:tr>
      <w:tr>
        <w:trPr>
          <w:cantSplit/>
          <w:cantSplit/>
        </w:trPr>
        <w:tc>
          <w:tcPr>
            <w:tcW w:type="dxa" w:w="79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2</w:t>
            </w:r>
          </w:p>
        </w:tc>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実地調査</w:t>
            </w:r>
          </w:p>
        </w:tc>
        <w:tc>
          <w:tcPr>
            <w:tcW w:type="dxa" w:w="453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質問検査の範囲、提示・提出、留置き</w:t>
            </w:r>
          </w:p>
        </w:tc>
        <w:tc>
          <w:tcPr>
            <w:tcW w:type="dxa" w:w="2881"/>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質問と回答、確認した資料、預かった物件</w:t>
            </w:r>
          </w:p>
        </w:tc>
      </w:tr>
      <w:tr>
        <w:trPr>
          <w:cantSplit/>
          <w:cantSplit/>
        </w:trPr>
        <w:tc>
          <w:tcPr>
            <w:tcW w:type="dxa" w:w="79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3</w:t>
            </w:r>
          </w:p>
        </w:tc>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外部確認</w:t>
            </w:r>
          </w:p>
        </w:tc>
        <w:tc>
          <w:tcPr>
            <w:tcW w:type="dxa" w:w="453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反面調査・金融機関調査の必要性と範囲</w:t>
            </w:r>
          </w:p>
        </w:tc>
        <w:tc>
          <w:tcPr>
            <w:tcW w:type="dxa" w:w="2881"/>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外部確認の目的、対象、期間、確認結果</w:t>
            </w:r>
          </w:p>
        </w:tc>
      </w:tr>
      <w:tr>
        <w:trPr>
          <w:cantSplit/>
          <w:cantSplit/>
        </w:trPr>
        <w:tc>
          <w:tcPr>
            <w:tcW w:type="dxa" w:w="79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4</w:t>
            </w:r>
          </w:p>
        </w:tc>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結果説明</w:t>
            </w:r>
          </w:p>
        </w:tc>
        <w:tc>
          <w:tcPr>
            <w:tcW w:type="dxa" w:w="453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非違の額・理由、修正申告の法的効果</w:t>
            </w:r>
          </w:p>
        </w:tc>
        <w:tc>
          <w:tcPr>
            <w:tcW w:type="dxa" w:w="2881"/>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説明した内容、相手方の主張、追加資料の検討結果</w:t>
            </w:r>
          </w:p>
        </w:tc>
      </w:tr>
      <w:tr>
        <w:trPr>
          <w:cantSplit/>
          <w:cantSplit/>
        </w:trPr>
        <w:tc>
          <w:tcPr>
            <w:tcW w:type="dxa" w:w="79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5</w:t>
            </w:r>
          </w:p>
        </w:tc>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賦課・期限</w:t>
            </w:r>
          </w:p>
        </w:tc>
        <w:tc>
          <w:tcPr>
            <w:tcW w:type="dxa" w:w="453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加算税、延滞税、期間制限</w:t>
            </w:r>
          </w:p>
        </w:tc>
        <w:tc>
          <w:tcPr>
            <w:tcW w:type="dxa" w:w="2881"/>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通知・予知の時点、適用税率、期間の満了日</w:t>
            </w:r>
          </w:p>
        </w:tc>
      </w:tr>
    </w:tbl>
    <w:p>
      <w:pPr>
        <w:widowControl/>
        <w:spacing w:after="80" w:line="283" w:lineRule="auto"/>
      </w:pPr>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FBEEEE"/>
              <w:start w:val="single" w:sz="24" w:space="0" w:color="8C2D2D"/>
              <w:left w:val="single" w:sz="5" w:color="C9D2DF"/>
              <w:right w:val="single" w:sz="5" w:color="C9D2DF"/>
            </w:tcBorders>
          </w:tcPr>
          <w:p>
            <w:pPr>
              <w:spacing w:before="0" w:after="0" w:line="259" w:lineRule="auto"/>
              <w:jc w:val="center"/>
            </w:pPr>
            <w:r>
              <w:rPr>
                <w:rFonts w:ascii="BIZ UDPゴシック" w:hAnsi="BIZ UDPゴシック" w:eastAsia="BIZ UDPゴシック"/>
                <w:b/>
                <w:color w:val="17365D"/>
                <w:sz w:val="20"/>
              </w:rPr>
            </w:r>
            <w:r>
              <w:rPr>
                <w:rFonts w:ascii="BIZ UDPゴシック" w:hAnsi="BIZ UDPゴシック" w:eastAsia="BIZ UDPゴシック"/>
                <w:b/>
                <w:color w:val="17365D"/>
                <w:sz w:val="20"/>
              </w:rPr>
              <w:t>最初に区別する三つの時点</w:t>
            </w:r>
          </w:p>
          <w:p>
            <w:pPr>
              <w:spacing w:before="0" w:after="0" w:line="259" w:lineRule="auto"/>
              <w:jc w:val="center"/>
            </w:pPr>
            <w:r>
              <w:rPr>
                <w:rFonts w:ascii="BIZ UDPゴシック" w:hAnsi="BIZ UDPゴシック" w:eastAsia="BIZ UDPゴシック"/>
                <w:b w:val="0"/>
                <w:color w:val="222222"/>
                <w:sz w:val="20"/>
              </w:rPr>
              <w:t>調査通知は加算税の税率を判定する上での区切り、事前通知は実地調査を始める前の手続、更正・決定の予知は納税者が調査による処分を見込んだかどうかを判定する区切りです。三つは別の時点であり、一致するとは限りません。</w:t>
            </w:r>
          </w:p>
        </w:tc>
      </w:tr>
    </w:tbl>
    <w:p>
      <w:pPr>
        <w:widowControl/>
        <w:spacing w:after="80" w:line="283" w:lineRule="auto"/>
      </w:pPr>
    </w:p>
    <w:p>
      <w:pPr>
        <w:pStyle w:val="Heading1"/>
        <w:pageBreakBefore/>
        <w:widowControl/>
        <w:pBdr>
          <w:bottom w:val="single" w:sz="10" w:space="6" w:color="183B63"/>
        </w:pBdr>
        <w:pageBreakBefore/>
        <w:keepNext/>
        <w:pBdr>
          <w:bottom w:val="single" w:sz="16" w:space="4" w:color="2F5597"/>
        </w:pBdr>
        <w:spacing w:before="160" w:after="140"/>
      </w:pPr>
      <w:r>
        <w:rPr>
          <w:rFonts w:ascii="BIZ UDPゴシック" w:hAnsi="BIZ UDPゴシック" w:eastAsia="BIZ UDPゴシック" w:cs="Yu Gothic"/>
          <w:b/>
          <w:color w:val="17365D"/>
          <w:sz w:val="36"/>
        </w:rPr>
        <w:t>1　調査の出発点</w:t>
      </w:r>
    </w:p>
    <w:p>
      <w:pPr>
        <w:pStyle w:val="Lead"/>
        <w:keepLines/>
        <w:spacing w:after="140" w:before="20" w:line="300" w:lineRule="auto"/>
        <w:ind w:left="227" w:right="227"/>
        <w:shd w:fill="EAF0F7"/>
        <w:widowControl/>
        <w:pBdr>
          <w:left w:val="single" w:sz="22" w:space="8" w:color="2F5597"/>
        </w:pBdr>
      </w:pPr>
      <w:r>
        <w:rPr>
          <w:rFonts w:ascii="BIZ UDPゴシック" w:hAnsi="BIZ UDPゴシック" w:eastAsia="BIZ UDPゴシック"/>
          <w:b/>
          <w:color w:val="222222"/>
          <w:sz w:val="22"/>
        </w:rPr>
        <w:t>質問検査権があるからといって、何でも強制的に確認できるわけではありません。まず調査の目的と確認の必要性を説明し、相手方の理解と協力を得ながら、必要な範囲で権限を行使します。</w:t>
      </w:r>
    </w:p>
    <w:p>
      <w:pPr>
        <w:pStyle w:val="LegalBasis"/>
        <w:spacing w:before="20" w:after="120" w:line="252" w:lineRule="auto"/>
        <w:ind w:left="227" w:right="227"/>
        <w:shd w:val="clear" w:color="auto" w:fill="FBEEEE"/>
        <w:widowControl/>
        <w:pBdr>
          <w:left w:val="single" w:sz="18" w:space="4" w:color="8C2D2D"/>
        </w:pBdr>
      </w:pPr>
      <w:r>
        <w:rPr>
          <w:rFonts w:ascii="BIZ UDPゴシック" w:hAnsi="BIZ UDPゴシック" w:eastAsia="BIZ UDPゴシック" w:cs="Yu Gothic"/>
          <w:b w:val="0"/>
          <w:color w:val="8C2F39"/>
          <w:sz w:val="19"/>
        </w:rPr>
        <w:t xml:space="preserve">主な根拠　</w:t>
      </w:r>
      <w:r>
        <w:rPr>
          <w:rFonts w:ascii="BIZ UDPゴシック" w:hAnsi="BIZ UDPゴシック" w:eastAsia="BIZ UDPゴシック" w:cs="Yu Gothic"/>
          <w:b w:val="0"/>
          <w:color w:val="8C2F39"/>
          <w:sz w:val="19"/>
        </w:rPr>
        <w:t>国税通則法74条の2～74条の6、128条／調査手続に関する法令解釈通達1-1・1-2</w:t>
      </w:r>
    </w:p>
    <w:p>
      <w:pPr>
        <w:pStyle w:val="Heading2"/>
        <w:keepNext/>
        <w:widowControl/>
        <w:spacing w:before="140" w:after="80"/>
      </w:pPr>
      <w:r>
        <w:rPr>
          <w:rFonts w:ascii="BIZ UDPゴシック" w:hAnsi="BIZ UDPゴシック" w:eastAsia="BIZ UDPゴシック" w:cs="Yu Gothic"/>
          <w:b/>
          <w:color w:val="1F4E78"/>
          <w:sz w:val="27"/>
        </w:rPr>
        <w:t>調査と行政指導を区別する</w:t>
      </w:r>
    </w:p>
    <w:tbl>
      <w:tblPr>
        <w:tblW w:type="dxa" w:w="9865"/>
        <w:tblLayout w:type="autofit"/>
        <w:tblLook w:firstColumn="1" w:firstRow="1" w:lastColumn="0" w:lastRow="0" w:noHBand="0" w:noVBand="1" w:val="04A0"/>
        <w:jc w:val="center"/>
        <w:tblInd w:w="120" w:type="dxa"/>
      </w:tblPr>
      <w:tblGrid>
        <w:gridCol w:w="1296"/>
        <w:gridCol w:w="3024"/>
        <w:gridCol w:w="3312"/>
        <w:gridCol w:w="2233"/>
      </w:tblGrid>
      <w:tr>
        <w:trPr>
          <w:tblHeader w:val="true"/>
          <w:cantSplit/>
          <w:tblHeader w:val="true"/>
          <w:tblHeader w:val="true"/>
          <w:cantSplit/>
        </w:trPr>
        <w:tc>
          <w:tcPr>
            <w:tcW w:type="dxa" w:w="1296"/>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区分</w:t>
            </w:r>
          </w:p>
        </w:tc>
        <w:tc>
          <w:tcPr>
            <w:tcW w:type="dxa" w:w="3024"/>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目的</w:t>
            </w:r>
          </w:p>
        </w:tc>
        <w:tc>
          <w:tcPr>
            <w:tcW w:type="dxa" w:w="3312"/>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典型的な行為</w:t>
            </w:r>
          </w:p>
        </w:tc>
        <w:tc>
          <w:tcPr>
            <w:tcW w:type="dxa" w:w="2233"/>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着手時の説明</w:t>
            </w:r>
          </w:p>
        </w:tc>
      </w:tr>
      <w:tr>
        <w:trPr>
          <w:cantSplit/>
          <w:cantSplit/>
        </w:trPr>
        <w:tc>
          <w:tcPr>
            <w:tcW w:type="dxa" w:w="129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w:t>
            </w:r>
          </w:p>
        </w:tc>
        <w:tc>
          <w:tcPr>
            <w:tcW w:type="dxa" w:w="302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課税標準・税額等を認定し、処分の要否を判断する</w:t>
            </w:r>
          </w:p>
        </w:tc>
        <w:tc>
          <w:tcPr>
            <w:tcW w:type="dxa" w:w="331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t>証拠収集、質問検査、事実認定、法令の解釈・適用</w:t>
            </w:r>
          </w:p>
        </w:tc>
        <w:tc>
          <w:tcPr>
            <w:tcW w:type="dxa" w:w="2233"/>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調査として行うことを明示する</w:t>
            </w:r>
          </w:p>
        </w:tc>
      </w:tr>
      <w:tr>
        <w:trPr>
          <w:cantSplit/>
          <w:cantSplit/>
        </w:trPr>
        <w:tc>
          <w:tcPr>
            <w:tcW w:type="dxa" w:w="129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行政指導</w:t>
            </w:r>
          </w:p>
        </w:tc>
        <w:tc>
          <w:tcPr>
            <w:tcW w:type="dxa" w:w="3024"/>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自発的な見直しや資料提供を求める</w:t>
            </w:r>
          </w:p>
        </w:tc>
        <w:tc>
          <w:tcPr>
            <w:tcW w:type="dxa" w:w="331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t>計算・転記誤り等の見直し依頼、任意の修正申告の依頼</w:t>
            </w:r>
          </w:p>
        </w:tc>
        <w:tc>
          <w:tcPr>
            <w:tcW w:type="dxa" w:w="2233"/>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行政指導であり任意の協力を求めることを明示する</w:t>
            </w:r>
          </w:p>
        </w:tc>
      </w:tr>
    </w:tbl>
    <w:p>
      <w:pPr>
        <w:widowControl/>
        <w:spacing w:after="80" w:line="283" w:lineRule="auto"/>
      </w:pPr>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EAF4F3"/>
              <w:start w:val="single" w:sz="24" w:space="0" w:color="2F6B73"/>
              <w:left w:val="single" w:sz="5" w:color="C9D2DF"/>
              <w:right w:val="single" w:sz="5" w:color="C9D2DF"/>
            </w:tcBorders>
          </w:tcPr>
          <w:p>
            <w:pPr>
              <w:spacing w:before="0" w:after="0" w:line="259" w:lineRule="auto"/>
              <w:jc w:val="center"/>
            </w:pPr>
            <w:r>
              <w:rPr>
                <w:rFonts w:ascii="BIZ UDPゴシック" w:hAnsi="BIZ UDPゴシック" w:eastAsia="BIZ UDPゴシック"/>
                <w:b/>
                <w:color w:val="17365D"/>
                <w:sz w:val="20"/>
              </w:rPr>
            </w:r>
            <w:r>
              <w:rPr>
                <w:rFonts w:ascii="BIZ UDPゴシック" w:hAnsi="BIZ UDPゴシック" w:eastAsia="BIZ UDPゴシック"/>
                <w:b/>
                <w:color w:val="17365D"/>
                <w:sz w:val="20"/>
              </w:rPr>
              <w:t>実務での注意</w:t>
            </w:r>
          </w:p>
          <w:p>
            <w:pPr>
              <w:spacing w:before="0" w:after="0" w:line="259" w:lineRule="auto"/>
              <w:jc w:val="center"/>
            </w:pPr>
            <w:r>
              <w:rPr>
                <w:rFonts w:ascii="BIZ UDPゴシック" w:hAnsi="BIZ UDPゴシック" w:eastAsia="BIZ UDPゴシック"/>
                <w:b w:val="0"/>
                <w:color w:val="222222"/>
                <w:sz w:val="20"/>
              </w:rPr>
              <w:t>電話、対面、書面のいずれで行う場合も、具体的な質問や資料要求に入る前に、調査として行うのか、行政指導として協力を求めるのかを明確に伝えます。区分が曖昧なまま手続を進めないようにします。</w:t>
            </w:r>
          </w:p>
        </w:tc>
      </w:tr>
    </w:tbl>
    <w:p>
      <w:pPr>
        <w:widowControl/>
        <w:spacing w:after="80" w:line="283" w:lineRule="auto"/>
      </w:pPr>
    </w:p>
    <w:p>
      <w:pPr>
        <w:pStyle w:val="Heading2"/>
        <w:keepNext/>
        <w:widowControl/>
        <w:spacing w:before="140" w:after="80"/>
      </w:pPr>
      <w:r>
        <w:rPr>
          <w:rFonts w:ascii="BIZ UDPゴシック" w:hAnsi="BIZ UDPゴシック" w:eastAsia="BIZ UDPゴシック" w:cs="Yu Gothic"/>
          <w:b/>
          <w:color w:val="1F4E78"/>
          <w:sz w:val="27"/>
        </w:rPr>
        <w:t>質問検査権の法的性格</w:t>
      </w:r>
    </w:p>
    <w:p>
      <w:pPr>
        <w:keepLines/>
        <w:widowControl/>
        <w:spacing w:line="283" w:lineRule="auto" w:after="80"/>
      </w:pPr>
      <w:r>
        <w:rPr>
          <w:rFonts w:ascii="BIZ UDPゴシック" w:hAnsi="BIZ UDPゴシック" w:eastAsia="BIZ UDPゴシック"/>
          <w:b w:val="0"/>
          <w:color w:val="222222"/>
          <w:sz w:val="21"/>
        </w:rPr>
        <w:t>質問検査権は、許可状に基づく臨検・捜索・差押えのように、実力で直接強制する権限ではありません。ただし、正当な理由のない不答弁や虚偽答弁、検査の拒否・妨害・忌避、虚偽の帳簿書類等の提示・提出には罰則があります。このため、実務上は「任意調査ではあるが、相手方に受忍義務がある」と整理します。</w:t>
      </w:r>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FBEEEE"/>
              <w:start w:val="single" w:sz="24" w:space="0" w:color="8C2D2D"/>
              <w:left w:val="single" w:sz="5" w:color="C9D2DF"/>
              <w:right w:val="single" w:sz="5" w:color="C9D2DF"/>
            </w:tcBorders>
          </w:tcPr>
          <w:p>
            <w:pPr>
              <w:spacing w:before="0" w:after="0" w:line="259" w:lineRule="auto"/>
              <w:jc w:val="center"/>
            </w:pPr>
            <w:r>
              <w:rPr>
                <w:rFonts w:ascii="BIZ UDPゴシック" w:hAnsi="BIZ UDPゴシック" w:eastAsia="BIZ UDPゴシック"/>
                <w:b/>
                <w:color w:val="17365D"/>
                <w:sz w:val="20"/>
              </w:rPr>
            </w:r>
            <w:r>
              <w:rPr>
                <w:rFonts w:ascii="BIZ UDPゴシック" w:hAnsi="BIZ UDPゴシック" w:eastAsia="BIZ UDPゴシック"/>
                <w:b/>
                <w:color w:val="17365D"/>
                <w:sz w:val="20"/>
              </w:rPr>
              <w:t>罰則の確認</w:t>
            </w:r>
          </w:p>
          <w:p>
            <w:pPr>
              <w:spacing w:before="0" w:after="0" w:line="259" w:lineRule="auto"/>
              <w:jc w:val="center"/>
            </w:pPr>
            <w:r>
              <w:rPr>
                <w:rFonts w:ascii="BIZ UDPゴシック" w:hAnsi="BIZ UDPゴシック" w:eastAsia="BIZ UDPゴシック"/>
                <w:b w:val="0"/>
                <w:color w:val="222222"/>
                <w:sz w:val="20"/>
              </w:rPr>
              <w:t>国税通則法128条により、一定の質問検査拒否等は、1年以下の拘禁刑又は50万円以下の罰金の対象となることがあります。ただし、罰則を威圧の材料にしてはいけません。求める確認の理由と必要性を丁寧に説明します。</w:t>
            </w:r>
          </w:p>
        </w:tc>
      </w:tr>
    </w:tbl>
    <w:p>
      <w:pPr>
        <w:widowControl/>
        <w:spacing w:after="80" w:line="283" w:lineRule="auto"/>
      </w:pPr>
    </w:p>
    <w:p>
      <w:pPr>
        <w:pStyle w:val="Heading2"/>
        <w:keepNext/>
        <w:widowControl/>
        <w:spacing w:before="140" w:after="80"/>
      </w:pPr>
      <w:r>
        <w:rPr>
          <w:rFonts w:ascii="BIZ UDPゴシック" w:hAnsi="BIZ UDPゴシック" w:eastAsia="BIZ UDPゴシック"/>
          <w:b/>
          <w:color w:val="1F4E78"/>
          <w:sz w:val="27"/>
        </w:rPr>
        <w:t>調査を進めるときの基本</w:t>
      </w:r>
    </w:p>
    <w:p>
      <w:pPr>
        <w:pStyle w:val="ListBullet"/>
        <w:widowControl/>
        <w:spacing w:after="40" w:line="276" w:lineRule="auto"/>
        <w:ind w:left="283" w:hanging="170"/>
        <w:jc w:val="left"/>
      </w:pPr>
      <w:r>
        <w:rPr>
          <w:rFonts w:ascii="BIZ UDPゴシック" w:hAnsi="BIZ UDPゴシック" w:eastAsia="BIZ UDPゴシック" w:cs="Yu Gothic"/>
          <w:b w:val="0"/>
          <w:color w:val="222222"/>
          <w:sz w:val="21"/>
        </w:rPr>
        <w:t>立証する事実と質問・確認項目を先に対応付ける。</w:t>
      </w:r>
    </w:p>
    <w:p>
      <w:pPr>
        <w:pStyle w:val="ListBullet"/>
        <w:widowControl/>
        <w:spacing w:after="40" w:line="276" w:lineRule="auto"/>
        <w:ind w:left="283" w:hanging="170"/>
        <w:jc w:val="left"/>
      </w:pPr>
      <w:r>
        <w:rPr>
          <w:rFonts w:ascii="BIZ UDPゴシック" w:hAnsi="BIZ UDPゴシック" w:eastAsia="BIZ UDPゴシック" w:cs="Yu Gothic"/>
          <w:b w:val="0"/>
          <w:color w:val="222222"/>
          <w:sz w:val="21"/>
        </w:rPr>
        <w:t>税目・期間・人物・財産・資料を必要最小限に絞り、説明・根拠・反対事情と判断変化を記録する。</w:t>
      </w:r>
    </w:p>
    <w:p>
      <w:pPr>
        <w:pStyle w:val="Heading1"/>
        <w:pageBreakBefore/>
        <w:widowControl/>
        <w:pBdr>
          <w:bottom w:val="single" w:sz="10" w:space="6" w:color="183B63"/>
        </w:pBdr>
        <w:pageBreakBefore/>
        <w:keepNext/>
        <w:pBdr>
          <w:bottom w:val="single" w:sz="16" w:space="4" w:color="2F5597"/>
        </w:pBdr>
        <w:spacing w:before="160" w:after="140"/>
      </w:pPr>
      <w:r>
        <w:rPr>
          <w:rFonts w:ascii="BIZ UDPゴシック" w:hAnsi="BIZ UDPゴシック" w:eastAsia="BIZ UDPゴシック" w:cs="Yu Gothic"/>
          <w:b/>
          <w:color w:val="17365D"/>
          <w:sz w:val="36"/>
        </w:rPr>
        <w:t>2　調査通知と事前通知</w:t>
      </w:r>
    </w:p>
    <w:p>
      <w:pPr>
        <w:pStyle w:val="Lead"/>
        <w:keepLines/>
        <w:spacing w:after="140" w:before="20" w:line="300" w:lineRule="auto"/>
        <w:ind w:left="227" w:right="227"/>
        <w:shd w:fill="EAF0F7"/>
        <w:widowControl/>
        <w:pBdr>
          <w:left w:val="single" w:sz="22" w:space="8" w:color="2F5597"/>
        </w:pBdr>
      </w:pPr>
      <w:r>
        <w:rPr>
          <w:rFonts w:ascii="BIZ UDPゴシック" w:hAnsi="BIZ UDPゴシック" w:eastAsia="BIZ UDPゴシック"/>
          <w:b/>
          <w:color w:val="222222"/>
          <w:sz w:val="22"/>
        </w:rPr>
        <w:t>「調査通知」と「事前通知」は名称が似ていますが、役割も法的効果も異なります。いつ、誰に、何を通知したのかを正確に記録することが、その後の調査手続と加算税の判定の土台になります。</w:t>
      </w:r>
    </w:p>
    <w:p>
      <w:pPr>
        <w:pStyle w:val="LegalBasis"/>
        <w:spacing w:before="20" w:after="120" w:line="252" w:lineRule="auto"/>
        <w:ind w:left="227" w:right="227"/>
        <w:shd w:val="clear" w:color="auto" w:fill="FBEEEE"/>
        <w:widowControl/>
        <w:pBdr>
          <w:left w:val="single" w:sz="18" w:space="4" w:color="8C2D2D"/>
        </w:pBdr>
      </w:pPr>
      <w:r>
        <w:rPr>
          <w:rFonts w:ascii="BIZ UDPゴシック" w:hAnsi="BIZ UDPゴシック" w:eastAsia="BIZ UDPゴシック" w:cs="Yu Gothic"/>
          <w:b w:val="0"/>
          <w:color w:val="8C2F39"/>
          <w:sz w:val="19"/>
        </w:rPr>
        <w:t xml:space="preserve">主な根拠　</w:t>
      </w:r>
      <w:r>
        <w:rPr>
          <w:rFonts w:ascii="BIZ UDPゴシック" w:hAnsi="BIZ UDPゴシック" w:eastAsia="BIZ UDPゴシック" w:cs="Yu Gothic"/>
          <w:b w:val="0"/>
          <w:color w:val="8C2F39"/>
          <w:sz w:val="19"/>
        </w:rPr>
        <w:t>国税通則法65条6項ほか（調査通知）、74条の9（事前通知）、74条の10（事前通知を要しない場合）</w:t>
      </w:r>
    </w:p>
    <w:p>
      <w:pPr>
        <w:pStyle w:val="Heading2"/>
        <w:keepNext/>
        <w:widowControl/>
        <w:spacing w:before="140" w:after="80"/>
      </w:pPr>
      <w:r>
        <w:rPr>
          <w:rFonts w:ascii="BIZ UDPゴシック" w:hAnsi="BIZ UDPゴシック" w:eastAsia="BIZ UDPゴシック" w:cs="Yu Gothic"/>
          <w:b/>
          <w:color w:val="1F4E78"/>
          <w:sz w:val="27"/>
        </w:rPr>
        <w:t>二つの通知を横並びで理解する</w:t>
      </w:r>
    </w:p>
    <w:tbl>
      <w:tblPr>
        <w:tblW w:type="dxa" w:w="9865"/>
        <w:tblLayout w:type="autofit"/>
        <w:tblLook w:firstColumn="1" w:firstRow="1" w:lastColumn="0" w:lastRow="0" w:noHBand="0" w:noVBand="1" w:val="04A0"/>
        <w:jc w:val="center"/>
        <w:tblInd w:w="120" w:type="dxa"/>
      </w:tblPr>
      <w:tblGrid>
        <w:gridCol w:w="1584"/>
        <w:gridCol w:w="3960"/>
        <w:gridCol w:w="4321"/>
      </w:tblGrid>
      <w:tr>
        <w:trPr>
          <w:tblHeader w:val="true"/>
          <w:cantSplit/>
          <w:tblHeader w:val="true"/>
          <w:tblHeader w:val="true"/>
          <w:cantSplit/>
        </w:trPr>
        <w:tc>
          <w:tcPr>
            <w:tcW w:type="dxa" w:w="1584"/>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比較項目</w:t>
            </w:r>
          </w:p>
        </w:tc>
        <w:tc>
          <w:tcPr>
            <w:tcW w:type="dxa" w:w="3960"/>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調査通知</w:t>
            </w:r>
          </w:p>
        </w:tc>
        <w:tc>
          <w:tcPr>
            <w:tcW w:type="dxa" w:w="4321"/>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事前通知</w:t>
            </w:r>
          </w:p>
        </w:tc>
      </w:tr>
      <w:tr>
        <w:trPr>
          <w:cantSplit/>
          <w:cantSplit/>
        </w:trPr>
        <w:tc>
          <w:tcPr>
            <w:tcW w:type="dxa" w:w="158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役割</w:t>
            </w:r>
          </w:p>
        </w:tc>
        <w:tc>
          <w:tcPr>
            <w:tcW w:type="dxa" w:w="3960"/>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加算税の税率判定に関わる区切り</w:t>
            </w:r>
          </w:p>
        </w:tc>
        <w:tc>
          <w:tcPr>
            <w:tcW w:type="dxa" w:w="4321"/>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実地調査を適正・円滑に開始するための手続</w:t>
            </w:r>
          </w:p>
        </w:tc>
      </w:tr>
      <w:tr>
        <w:trPr>
          <w:cantSplit/>
          <w:cantSplit/>
        </w:trPr>
        <w:tc>
          <w:tcPr>
            <w:tcW w:type="dxa" w:w="1584"/>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主な内容</w:t>
            </w:r>
          </w:p>
        </w:tc>
        <w:tc>
          <w:tcPr>
            <w:tcW w:type="dxa" w:w="3960"/>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実地調査を行う旨／対象税目／対象期間</w:t>
            </w:r>
          </w:p>
        </w:tc>
        <w:tc>
          <w:tcPr>
            <w:tcW w:type="dxa" w:w="4321"/>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開始日時・場所・目的・税目・期間・対象物件・担当者等</w:t>
            </w:r>
          </w:p>
        </w:tc>
      </w:tr>
      <w:tr>
        <w:trPr>
          <w:cantSplit/>
          <w:cantSplit/>
        </w:trPr>
        <w:tc>
          <w:tcPr>
            <w:tcW w:type="dxa" w:w="158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法的効果</w:t>
            </w:r>
          </w:p>
        </w:tc>
        <w:tc>
          <w:tcPr>
            <w:tcW w:type="dxa" w:w="3960"/>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通知後・更正等予知前の修正申告等に軽減税率が適用される</w:t>
            </w:r>
          </w:p>
        </w:tc>
        <w:tc>
          <w:tcPr>
            <w:tcW w:type="dxa" w:w="4321"/>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原則として実地調査前に必要。例外は74条の10</w:t>
            </w:r>
          </w:p>
        </w:tc>
      </w:tr>
      <w:tr>
        <w:trPr>
          <w:cantSplit/>
          <w:cantSplit/>
        </w:trPr>
        <w:tc>
          <w:tcPr>
            <w:tcW w:type="dxa" w:w="1584"/>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確認・記録</w:t>
            </w:r>
          </w:p>
        </w:tc>
        <w:tc>
          <w:tcPr>
            <w:tcW w:type="dxa" w:w="3960"/>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通知した日時、相手方、方法、三事項</w:t>
            </w:r>
          </w:p>
        </w:tc>
        <w:tc>
          <w:tcPr>
            <w:tcW w:type="dxa" w:w="4321"/>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通知した日時、相手方、各通知事項、日程調整の経過</w:t>
            </w:r>
          </w:p>
        </w:tc>
      </w:tr>
    </w:tbl>
    <w:p>
      <w:pPr>
        <w:widowControl/>
        <w:spacing w:after="80" w:line="283" w:lineRule="auto"/>
      </w:pPr>
    </w:p>
    <w:p>
      <w:pPr>
        <w:pStyle w:val="Heading2"/>
        <w:keepNext/>
        <w:widowControl/>
        <w:spacing w:before="140" w:after="80"/>
      </w:pPr>
      <w:r>
        <w:rPr>
          <w:rFonts w:ascii="BIZ UDPゴシック" w:hAnsi="BIZ UDPゴシック" w:eastAsia="BIZ UDPゴシック" w:cs="Yu Gothic"/>
          <w:b/>
          <w:color w:val="1F4E78"/>
          <w:sz w:val="27"/>
        </w:rPr>
        <w:t>事前通知で整理する主な事項</w:t>
      </w:r>
    </w:p>
    <w:tbl>
      <w:tblPr>
        <w:tblW w:type="dxa" w:w="9865"/>
        <w:tblLayout w:type="autofit"/>
        <w:tblLook w:firstColumn="1" w:firstRow="1" w:lastColumn="0" w:lastRow="0" w:noHBand="0" w:noVBand="1" w:val="04A0"/>
        <w:jc w:val="center"/>
        <w:tblInd w:w="120" w:type="dxa"/>
      </w:tblPr>
      <w:tblGrid>
        <w:gridCol w:w="1656"/>
        <w:gridCol w:w="8209"/>
      </w:tblGrid>
      <w:tr>
        <w:trPr>
          <w:tblHeader w:val="true"/>
          <w:cantSplit/>
          <w:tblHeader w:val="true"/>
          <w:tblHeader w:val="true"/>
          <w:cantSplit/>
        </w:trPr>
        <w:tc>
          <w:tcPr>
            <w:tcW w:type="dxa" w:w="1656"/>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項目</w:t>
            </w:r>
          </w:p>
        </w:tc>
        <w:tc>
          <w:tcPr>
            <w:tcW w:type="dxa" w:w="8209"/>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通知・確認する内容</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実施</w:t>
            </w:r>
          </w:p>
        </w:tc>
        <w:tc>
          <w:tcPr>
            <w:tcW w:type="dxa" w:w="8209"/>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実地の調査において質問検査等を行う旨</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日程</w:t>
            </w:r>
          </w:p>
        </w:tc>
        <w:tc>
          <w:tcPr>
            <w:tcW w:type="dxa" w:w="8209"/>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調査を開始する日時</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場所</w:t>
            </w:r>
          </w:p>
        </w:tc>
        <w:tc>
          <w:tcPr>
            <w:tcW w:type="dxa" w:w="8209"/>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実地の調査を行う場所</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目的</w:t>
            </w:r>
          </w:p>
        </w:tc>
        <w:tc>
          <w:tcPr>
            <w:tcW w:type="dxa" w:w="8209"/>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申告内容の確認など、調査の目的</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対象</w:t>
            </w:r>
          </w:p>
        </w:tc>
        <w:tc>
          <w:tcPr>
            <w:tcW w:type="dxa" w:w="8209"/>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税目、課税期間、帳簿書類その他の物件</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相手方</w:t>
            </w:r>
          </w:p>
        </w:tc>
        <w:tc>
          <w:tcPr>
            <w:tcW w:type="dxa" w:w="8209"/>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調査対象者の氏名又は名称、住所又は居所</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担当</w:t>
            </w:r>
          </w:p>
        </w:tc>
        <w:tc>
          <w:tcPr>
            <w:tcW w:type="dxa" w:w="8209"/>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代表する調査担当者の氏名・所属官署。複数臨場時は予定人数も連絡</w:t>
            </w:r>
          </w:p>
        </w:tc>
      </w:tr>
    </w:tbl>
    <w:p>
      <w:pPr>
        <w:widowControl/>
        <w:spacing w:after="80" w:line="283" w:lineRule="auto"/>
      </w:pPr>
    </w:p>
    <w:p>
      <w:pPr>
        <w:keepLines/>
        <w:widowControl/>
        <w:spacing w:line="283" w:lineRule="auto" w:after="80"/>
      </w:pPr>
      <w:r>
        <w:rPr>
          <w:rFonts w:ascii="BIZ UDPゴシック" w:hAnsi="BIZ UDPゴシック" w:eastAsia="BIZ UDPゴシック"/>
          <w:b w:val="0"/>
          <w:color w:val="222222"/>
          <w:sz w:val="21"/>
        </w:rPr>
        <w:t>事前通知は、原則として電話などにより口頭で行います。開始日時や場所の変更申出も口頭で差し支えありません。合理的な理由が示された場合は、納税義務者側の事情を踏まえつつ、調査を適正かつ円滑に行う必要性とのバランスを考えて判断します。</w:t>
      </w:r>
    </w:p>
    <w:p>
      <w:pPr>
        <w:pStyle w:val="Heading2"/>
        <w:keepNext/>
        <w:widowControl/>
        <w:spacing w:before="140" w:after="80"/>
      </w:pPr>
      <w:r>
        <w:rPr>
          <w:rFonts w:ascii="BIZ UDPゴシック" w:hAnsi="BIZ UDPゴシック" w:eastAsia="BIZ UDPゴシック" w:cs="Yu Gothic"/>
          <w:b/>
          <w:color w:val="1F4E78"/>
          <w:sz w:val="27"/>
        </w:rPr>
        <w:t>事前通知を行わない場合</w:t>
      </w:r>
    </w:p>
    <w:p>
      <w:pPr>
        <w:keepLines/>
        <w:widowControl/>
        <w:spacing w:line="283" w:lineRule="auto" w:after="80"/>
      </w:pPr>
      <w:r>
        <w:rPr>
          <w:rFonts w:ascii="BIZ UDPゴシック" w:hAnsi="BIZ UDPゴシック" w:eastAsia="BIZ UDPゴシック"/>
          <w:b w:val="0"/>
          <w:color w:val="222222"/>
          <w:sz w:val="21"/>
        </w:rPr>
        <w:t>保有している情報からみて、事前通知を行うことで違法・不当な行為を容易にし、正確な課税標準等の把握が難しくなるおそれがある場合や、調査の適正な遂行に支障が生じるおそれがある場合には、事前通知を行わないことができます。この判断は、納税義務者ごと、事案ごとに行います。</w:t>
      </w:r>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FBEEEE"/>
              <w:start w:val="single" w:sz="24" w:space="0" w:color="8C2D2D"/>
              <w:left w:val="single" w:sz="5" w:color="C9D2DF"/>
              <w:right w:val="single" w:sz="5" w:color="C9D2DF"/>
            </w:tcBorders>
          </w:tcPr>
          <w:p>
            <w:pPr>
              <w:spacing w:before="0" w:after="0" w:line="259" w:lineRule="auto"/>
              <w:jc w:val="center"/>
            </w:pPr>
            <w:r>
              <w:rPr>
                <w:rFonts w:ascii="BIZ UDPゴシック" w:hAnsi="BIZ UDPゴシック" w:eastAsia="BIZ UDPゴシック"/>
                <w:b/>
                <w:color w:val="17365D"/>
                <w:sz w:val="20"/>
              </w:rPr>
            </w:r>
            <w:r>
              <w:rPr>
                <w:rFonts w:ascii="BIZ UDPゴシック" w:hAnsi="BIZ UDPゴシック" w:eastAsia="BIZ UDPゴシック"/>
                <w:b/>
                <w:color w:val="17365D"/>
                <w:sz w:val="20"/>
              </w:rPr>
              <w:t>無予告とする場合の注意</w:t>
            </w:r>
          </w:p>
          <w:p>
            <w:pPr>
              <w:spacing w:before="0" w:after="0" w:line="259" w:lineRule="auto"/>
              <w:jc w:val="center"/>
            </w:pPr>
            <w:r>
              <w:rPr>
                <w:rFonts w:ascii="BIZ UDPゴシック" w:hAnsi="BIZ UDPゴシック" w:eastAsia="BIZ UDPゴシック"/>
                <w:b w:val="0"/>
                <w:color w:val="222222"/>
                <w:sz w:val="20"/>
              </w:rPr>
              <w:t>「現金取引が多い」といった抽象的な事情だけで判断してはいけません。把握しているどの情報から、どの証拠が失われるおそれがあるのか、又はどの調査が妨げられるおそれがあるのかを具体的に整理し、判断の過程を記録します。無予告で臨場した場合も、臨場後速やかに、税目、期間、目的、対象物件、担当者等を説明します。</w:t>
            </w:r>
          </w:p>
        </w:tc>
      </w:tr>
    </w:tbl>
    <w:p>
      <w:pPr>
        <w:widowControl/>
        <w:spacing w:after="80" w:line="283" w:lineRule="auto"/>
      </w:pPr>
    </w:p>
    <w:p>
      <w:pPr>
        <w:pStyle w:val="Heading2"/>
        <w:keepNext/>
        <w:widowControl/>
        <w:spacing w:before="140" w:after="80"/>
      </w:pPr>
      <w:r>
        <w:rPr>
          <w:rFonts w:ascii="BIZ UDPゴシック" w:hAnsi="BIZ UDPゴシック" w:eastAsia="BIZ UDPゴシック"/>
          <w:b/>
          <w:color w:val="1F4E78"/>
          <w:sz w:val="27"/>
        </w:rPr>
        <w:t>通知時に確認しておくこと</w:t>
      </w:r>
    </w:p>
    <w:p>
      <w:pPr>
        <w:pStyle w:val="ListBullet"/>
        <w:widowControl/>
        <w:spacing w:after="40" w:line="276" w:lineRule="auto"/>
        <w:ind w:left="283" w:hanging="170"/>
        <w:jc w:val="left"/>
      </w:pPr>
      <w:r>
        <w:rPr>
          <w:rFonts w:ascii="BIZ UDPゴシック" w:hAnsi="BIZ UDPゴシック" w:eastAsia="BIZ UDPゴシック" w:cs="Yu Gothic"/>
          <w:b w:val="0"/>
          <w:color w:val="222222"/>
          <w:sz w:val="21"/>
        </w:rPr>
        <w:t>通知した日時、手段、発信者、受領者を記録したか。</w:t>
      </w:r>
    </w:p>
    <w:p>
      <w:pPr>
        <w:pStyle w:val="ListBullet"/>
        <w:widowControl/>
        <w:spacing w:after="40" w:line="276" w:lineRule="auto"/>
        <w:ind w:left="283" w:hanging="170"/>
        <w:jc w:val="left"/>
      </w:pPr>
      <w:r>
        <w:rPr>
          <w:rFonts w:ascii="BIZ UDPゴシック" w:hAnsi="BIZ UDPゴシック" w:eastAsia="BIZ UDPゴシック" w:cs="Yu Gothic"/>
          <w:b w:val="0"/>
          <w:color w:val="222222"/>
          <w:sz w:val="21"/>
        </w:rPr>
        <w:t>調査通知の三事項と事前通知事項を区分して記録したか。</w:t>
      </w:r>
    </w:p>
    <w:p>
      <w:pPr>
        <w:pStyle w:val="ListBullet"/>
        <w:widowControl/>
        <w:spacing w:after="40" w:line="276" w:lineRule="auto"/>
        <w:ind w:left="283" w:hanging="170"/>
        <w:jc w:val="left"/>
      </w:pPr>
      <w:r>
        <w:rPr>
          <w:rFonts w:ascii="BIZ UDPゴシック" w:hAnsi="BIZ UDPゴシック" w:eastAsia="BIZ UDPゴシック" w:cs="Yu Gothic"/>
          <w:b w:val="0"/>
          <w:color w:val="222222"/>
          <w:sz w:val="21"/>
        </w:rPr>
        <w:t>税務代理人への通知で足りる同意・代表税務代理人の有無を確認したか。</w:t>
      </w:r>
    </w:p>
    <w:p>
      <w:pPr>
        <w:pStyle w:val="ListBullet"/>
        <w:widowControl/>
        <w:spacing w:after="40" w:line="276" w:lineRule="auto"/>
        <w:ind w:left="283" w:hanging="170"/>
        <w:jc w:val="left"/>
      </w:pPr>
      <w:r>
        <w:rPr>
          <w:rFonts w:ascii="BIZ UDPゴシック" w:hAnsi="BIZ UDPゴシック" w:eastAsia="BIZ UDPゴシック" w:cs="Yu Gothic"/>
          <w:b w:val="0"/>
          <w:color w:val="222222"/>
          <w:sz w:val="21"/>
        </w:rPr>
        <w:t>日程変更の申出、理由、協議内容、結論を記録したか。</w:t>
      </w:r>
    </w:p>
    <w:p>
      <w:pPr>
        <w:pStyle w:val="Heading1"/>
        <w:pageBreakBefore/>
        <w:widowControl/>
        <w:pBdr>
          <w:bottom w:val="single" w:sz="10" w:space="6" w:color="183B63"/>
        </w:pBdr>
        <w:pageBreakBefore/>
        <w:keepNext/>
        <w:pBdr>
          <w:bottom w:val="single" w:sz="16" w:space="4" w:color="2F5597"/>
        </w:pBdr>
        <w:spacing w:before="160" w:after="140"/>
      </w:pPr>
      <w:r>
        <w:rPr>
          <w:rFonts w:ascii="BIZ UDPゴシック" w:hAnsi="BIZ UDPゴシック" w:eastAsia="BIZ UDPゴシック" w:cs="Yu Gothic"/>
          <w:b/>
          <w:color w:val="17365D"/>
          <w:sz w:val="36"/>
        </w:rPr>
        <w:t>3　実地調査と質問検査権</w:t>
      </w:r>
    </w:p>
    <w:p>
      <w:pPr>
        <w:pStyle w:val="Lead"/>
        <w:keepLines/>
        <w:spacing w:after="140" w:before="20" w:line="300" w:lineRule="auto"/>
        <w:ind w:left="227" w:right="227"/>
        <w:shd w:fill="EAF0F7"/>
        <w:widowControl/>
        <w:pBdr>
          <w:left w:val="single" w:sz="22" w:space="8" w:color="2F5597"/>
        </w:pBdr>
      </w:pPr>
      <w:r>
        <w:rPr>
          <w:rFonts w:ascii="BIZ UDPゴシック" w:hAnsi="BIZ UDPゴシック" w:eastAsia="BIZ UDPゴシック"/>
          <w:b/>
          <w:color w:val="222222"/>
          <w:sz w:val="22"/>
        </w:rPr>
        <w:t>実地調査では、調査目的と立証すべき事実から、確認する範囲を組み立てます。質問、検査、提示・提出の要求、留置きはそれぞれ性質が異なるため、混同せず、必要性と経過を記録します。</w:t>
      </w:r>
    </w:p>
    <w:p>
      <w:pPr>
        <w:pStyle w:val="LegalBasis"/>
        <w:spacing w:before="20" w:after="120" w:line="252" w:lineRule="auto"/>
        <w:ind w:left="227" w:right="227"/>
        <w:shd w:val="clear" w:color="auto" w:fill="FBEEEE"/>
        <w:widowControl/>
        <w:pBdr>
          <w:left w:val="single" w:sz="18" w:space="4" w:color="8C2D2D"/>
        </w:pBdr>
      </w:pPr>
      <w:r>
        <w:rPr>
          <w:rFonts w:ascii="BIZ UDPゴシック" w:hAnsi="BIZ UDPゴシック" w:eastAsia="BIZ UDPゴシック" w:cs="Yu Gothic"/>
          <w:b w:val="0"/>
          <w:color w:val="8C2F39"/>
          <w:sz w:val="19"/>
        </w:rPr>
        <w:t xml:space="preserve">主な根拠　</w:t>
      </w:r>
      <w:r>
        <w:rPr>
          <w:rFonts w:ascii="BIZ UDPゴシック" w:hAnsi="BIZ UDPゴシック" w:eastAsia="BIZ UDPゴシック" w:cs="Yu Gothic"/>
          <w:b w:val="0"/>
          <w:color w:val="8C2F39"/>
          <w:sz w:val="19"/>
        </w:rPr>
        <w:t>国税通則法74条の3、74条の7、74条の13、127条（守秘義務違反の罰則）、128条（質問検査拒否等の罰則）／調査手続に関する法令解釈通達</w:t>
      </w:r>
    </w:p>
    <w:p>
      <w:pPr>
        <w:pStyle w:val="Heading2"/>
        <w:keepNext/>
        <w:widowControl/>
        <w:spacing w:before="140" w:after="80"/>
      </w:pPr>
      <w:r>
        <w:rPr>
          <w:rFonts w:ascii="BIZ UDPゴシック" w:hAnsi="BIZ UDPゴシック" w:eastAsia="BIZ UDPゴシック" w:cs="Yu Gothic"/>
          <w:b/>
          <w:color w:val="1F4E78"/>
          <w:sz w:val="27"/>
        </w:rPr>
        <w:t>質問検査権でできること</w:t>
      </w:r>
    </w:p>
    <w:tbl>
      <w:tblPr>
        <w:tblW w:type="dxa" w:w="9865"/>
        <w:tblLayout w:type="autofit"/>
        <w:tblLook w:firstColumn="1" w:firstRow="1" w:lastColumn="0" w:lastRow="0" w:noHBand="0" w:noVBand="1" w:val="04A0"/>
        <w:jc w:val="center"/>
        <w:tblInd w:w="120" w:type="dxa"/>
      </w:tblPr>
      <w:tblGrid>
        <w:gridCol w:w="1512"/>
        <w:gridCol w:w="3672"/>
        <w:gridCol w:w="4681"/>
      </w:tblGrid>
      <w:tr>
        <w:trPr>
          <w:tblHeader w:val="true"/>
          <w:cantSplit/>
          <w:tblHeader w:val="true"/>
          <w:tblHeader w:val="true"/>
          <w:cantSplit/>
        </w:trPr>
        <w:tc>
          <w:tcPr>
            <w:tcW w:type="dxa" w:w="1512"/>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行為</w:t>
            </w:r>
          </w:p>
        </w:tc>
        <w:tc>
          <w:tcPr>
            <w:tcW w:type="dxa" w:w="3672"/>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内容</w:t>
            </w:r>
          </w:p>
        </w:tc>
        <w:tc>
          <w:tcPr>
            <w:tcW w:type="dxa" w:w="4681"/>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spacing w:before="0" w:after="0" w:line="259" w:lineRule="auto"/>
            </w:pPr>
            <w:r>
              <w:rPr>
                <w:rFonts w:ascii="BIZ UDPゴシック" w:hAnsi="BIZ UDPゴシック" w:eastAsia="BIZ UDPゴシック"/>
                <w:b/>
                <w:color w:val="FFFFFF"/>
                <w:sz w:val="20"/>
              </w:rPr>
              <w:t>実務で確認すること</w:t>
            </w:r>
          </w:p>
        </w:tc>
      </w:tr>
      <w:tr>
        <w:trPr>
          <w:cantSplit/>
          <w:cantSplit/>
        </w:trPr>
        <w:tc>
          <w:tcPr>
            <w:tcW w:type="dxa" w:w="151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質問</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課税標準・税額等の認定に必要な事実を尋ねる</w:t>
            </w:r>
          </w:p>
        </w:tc>
        <w:tc>
          <w:tcPr>
            <w:tcW w:type="dxa" w:w="4681"/>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質問の目的を明確にし、回答と根拠を正確に記録する</w:t>
            </w:r>
          </w:p>
        </w:tc>
      </w:tr>
      <w:tr>
        <w:trPr>
          <w:cantSplit/>
          <w:cantSplit/>
        </w:trPr>
        <w:tc>
          <w:tcPr>
            <w:tcW w:type="dxa" w:w="151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検査</w:t>
            </w:r>
          </w:p>
        </w:tc>
        <w:tc>
          <w:tcPr>
            <w:tcW w:type="dxa" w:w="367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帳簿書類その他の物件を確認する</w:t>
            </w:r>
          </w:p>
        </w:tc>
        <w:tc>
          <w:tcPr>
            <w:tcW w:type="dxa" w:w="4681"/>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対象・期間・確認事項を必要な範囲に限定する</w:t>
            </w:r>
          </w:p>
        </w:tc>
      </w:tr>
      <w:tr>
        <w:trPr>
          <w:cantSplit/>
          <w:cantSplit/>
        </w:trPr>
        <w:tc>
          <w:tcPr>
            <w:tcW w:type="dxa" w:w="151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提示要求</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物件を見せるよう求める</w:t>
            </w:r>
          </w:p>
        </w:tc>
        <w:tc>
          <w:tcPr>
            <w:tcW w:type="dxa" w:w="4681"/>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その場で確認する対象と理由を説明する</w:t>
            </w:r>
          </w:p>
        </w:tc>
      </w:tr>
      <w:tr>
        <w:trPr>
          <w:cantSplit/>
          <w:cantSplit/>
        </w:trPr>
        <w:tc>
          <w:tcPr>
            <w:tcW w:type="dxa" w:w="151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提出要求</w:t>
            </w:r>
          </w:p>
        </w:tc>
        <w:tc>
          <w:tcPr>
            <w:tcW w:type="dxa" w:w="367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物件を提出するよう求める</w:t>
            </w:r>
          </w:p>
        </w:tc>
        <w:tc>
          <w:tcPr>
            <w:tcW w:type="dxa" w:w="4681"/>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提出方法、返却の要否、受領経過を明確にする</w:t>
            </w:r>
          </w:p>
        </w:tc>
      </w:tr>
      <w:tr>
        <w:trPr>
          <w:cantSplit/>
          <w:cantSplit/>
        </w:trPr>
        <w:tc>
          <w:tcPr>
            <w:tcW w:type="dxa" w:w="151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留置き</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提出を受けた物件を預かって確認する</w:t>
            </w:r>
          </w:p>
        </w:tc>
        <w:tc>
          <w:tcPr>
            <w:tcW w:type="dxa" w:w="4681"/>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相手方の理解と協力を得て、預り証を交付し、適切に管理・返還する</w:t>
            </w:r>
          </w:p>
        </w:tc>
      </w:tr>
    </w:tbl>
    <w:p>
      <w:pPr>
        <w:widowControl/>
        <w:spacing w:after="80" w:line="283" w:lineRule="auto"/>
      </w:pPr>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EAF4F3"/>
              <w:start w:val="single" w:sz="24" w:space="0" w:color="2F6B73"/>
              <w:left w:val="single" w:sz="5" w:color="C9D2DF"/>
              <w:right w:val="single" w:sz="5" w:color="C9D2DF"/>
            </w:tcBorders>
          </w:tcPr>
          <w:p>
            <w:pPr>
              <w:spacing w:before="0" w:after="0" w:line="259" w:lineRule="auto"/>
              <w:jc w:val="center"/>
            </w:pPr>
            <w:r>
              <w:rPr>
                <w:rFonts w:ascii="BIZ UDPゴシック" w:hAnsi="BIZ UDPゴシック" w:eastAsia="BIZ UDPゴシック"/>
                <w:b/>
                <w:color w:val="17365D"/>
                <w:sz w:val="20"/>
              </w:rPr>
            </w:r>
            <w:r>
              <w:rPr>
                <w:rFonts w:ascii="BIZ UDPゴシック" w:hAnsi="BIZ UDPゴシック" w:eastAsia="BIZ UDPゴシック"/>
                <w:b/>
                <w:color w:val="17365D"/>
                <w:sz w:val="20"/>
              </w:rPr>
              <w:t>確認を組み立てる順序</w:t>
            </w:r>
          </w:p>
          <w:p>
            <w:pPr>
              <w:spacing w:before="0" w:after="0" w:line="259" w:lineRule="auto"/>
              <w:jc w:val="center"/>
            </w:pPr>
            <w:r>
              <w:rPr>
                <w:rFonts w:ascii="BIZ UDPゴシック" w:hAnsi="BIZ UDPゴシック" w:eastAsia="BIZ UDPゴシック"/>
                <w:b w:val="0"/>
                <w:color w:val="222222"/>
                <w:sz w:val="20"/>
              </w:rPr>
              <w:t>①立証すべき事実を定める → ②必要な情報を特定する → ③質問と資料要求を必要な範囲に絞る → ④相手方に確認の目的を説明する → ⑤確認結果と反対事情を記録する。</w:t>
            </w:r>
          </w:p>
        </w:tc>
      </w:tr>
    </w:tbl>
    <w:p>
      <w:pPr>
        <w:widowControl/>
        <w:spacing w:after="80" w:line="283" w:lineRule="auto"/>
      </w:pPr>
    </w:p>
    <w:p>
      <w:pPr>
        <w:pStyle w:val="Heading2"/>
        <w:keepNext/>
        <w:widowControl/>
        <w:spacing w:before="140" w:after="80"/>
      </w:pPr>
      <w:r>
        <w:rPr>
          <w:rFonts w:ascii="BIZ UDPゴシック" w:hAnsi="BIZ UDPゴシック" w:eastAsia="BIZ UDPゴシック" w:cs="Yu Gothic"/>
          <w:b/>
          <w:color w:val="1F4E78"/>
          <w:sz w:val="27"/>
        </w:rPr>
        <w:t>臨場時の基本手続</w:t>
      </w:r>
    </w:p>
    <w:tbl>
      <w:tblPr>
        <w:tblW w:type="dxa" w:w="9865"/>
        <w:tblLayout w:type="autofit"/>
        <w:tblLook w:firstColumn="1" w:firstRow="1" w:lastColumn="0" w:lastRow="0" w:noHBand="0" w:noVBand="1" w:val="04A0"/>
        <w:jc w:val="center"/>
        <w:tblInd w:w="120" w:type="dxa"/>
      </w:tblPr>
      <w:tblGrid>
        <w:gridCol w:w="1440"/>
        <w:gridCol w:w="4896"/>
        <w:gridCol w:w="3529"/>
      </w:tblGrid>
      <w:tr>
        <w:trPr>
          <w:tblHeader w:val="true"/>
          <w:cantSplit/>
          <w:tblHeader w:val="true"/>
          <w:tblHeader w:val="true"/>
          <w:cantSplit/>
        </w:trPr>
        <w:tc>
          <w:tcPr>
            <w:tcW w:type="dxa" w:w="1440"/>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時点</w:t>
            </w:r>
          </w:p>
        </w:tc>
        <w:tc>
          <w:tcPr>
            <w:tcW w:type="dxa" w:w="4896"/>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行うこと</w:t>
            </w:r>
          </w:p>
        </w:tc>
        <w:tc>
          <w:tcPr>
            <w:tcW w:type="dxa" w:w="3529"/>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spacing w:before="0" w:after="0" w:line="259" w:lineRule="auto"/>
            </w:pPr>
            <w:r>
              <w:rPr>
                <w:rFonts w:ascii="BIZ UDPゴシック" w:hAnsi="BIZ UDPゴシック" w:eastAsia="BIZ UDPゴシック"/>
                <w:b/>
                <w:color w:val="FFFFFF"/>
                <w:sz w:val="20"/>
              </w:rPr>
              <w:t>確認・記録しておくこと</w:t>
            </w:r>
          </w:p>
        </w:tc>
      </w:tr>
      <w:tr>
        <w:trPr>
          <w:cantSplit/>
          <w:cantSplit/>
        </w:trPr>
        <w:tc>
          <w:tcPr>
            <w:tcW w:type="dxa" w:w="1440"/>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開始時</w:t>
            </w:r>
          </w:p>
        </w:tc>
        <w:tc>
          <w:tcPr>
            <w:tcW w:type="dxa" w:w="489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身分証明書・質問検査章を携帯し、求めがあれば提示する</w:t>
            </w:r>
          </w:p>
        </w:tc>
        <w:tc>
          <w:tcPr>
            <w:tcW w:type="dxa" w:w="3529"/>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臨場日時、場所、応対者、身分証明書等を提示した経過</w:t>
            </w:r>
          </w:p>
        </w:tc>
      </w:tr>
      <w:tr>
        <w:trPr>
          <w:cantSplit/>
          <w:cantSplit/>
        </w:trPr>
        <w:tc>
          <w:tcPr>
            <w:tcW w:type="dxa" w:w="1440"/>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目的説明</w:t>
            </w:r>
          </w:p>
        </w:tc>
        <w:tc>
          <w:tcPr>
            <w:tcW w:type="dxa" w:w="489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調査の目的、対象税目・期間、確認予定を簡潔に共有する</w:t>
            </w:r>
          </w:p>
        </w:tc>
        <w:tc>
          <w:tcPr>
            <w:tcW w:type="dxa" w:w="3529"/>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説明内容、相手方の質問・申出</w:t>
            </w:r>
          </w:p>
        </w:tc>
      </w:tr>
      <w:tr>
        <w:trPr>
          <w:cantSplit/>
          <w:cantSplit/>
        </w:trPr>
        <w:tc>
          <w:tcPr>
            <w:tcW w:type="dxa" w:w="1440"/>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質問・確認</w:t>
            </w:r>
          </w:p>
        </w:tc>
        <w:tc>
          <w:tcPr>
            <w:tcW w:type="dxa" w:w="489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供述だけでなく原始資料、取引経過、資金移動を相互に照合する</w:t>
            </w:r>
          </w:p>
        </w:tc>
        <w:tc>
          <w:tcPr>
            <w:tcW w:type="dxa" w:w="3529"/>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質問内容、回答、確認資料、判断とのつながり</w:t>
            </w:r>
          </w:p>
        </w:tc>
      </w:tr>
      <w:tr>
        <w:trPr>
          <w:cantSplit/>
          <w:cantSplit/>
        </w:trPr>
        <w:tc>
          <w:tcPr>
            <w:tcW w:type="dxa" w:w="1440"/>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範囲変更</w:t>
            </w:r>
          </w:p>
        </w:tc>
        <w:tc>
          <w:tcPr>
            <w:tcW w:type="dxa" w:w="489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新たな疑問に応じて対象を広げるときは必要性を再確認する</w:t>
            </w:r>
          </w:p>
        </w:tc>
        <w:tc>
          <w:tcPr>
            <w:tcW w:type="dxa" w:w="3529"/>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追加情報、拡張理由、追加した対象</w:t>
            </w:r>
          </w:p>
        </w:tc>
      </w:tr>
      <w:tr>
        <w:trPr>
          <w:cantSplit/>
          <w:cantSplit/>
        </w:trPr>
        <w:tc>
          <w:tcPr>
            <w:tcW w:type="dxa" w:w="1440"/>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終了時</w:t>
            </w:r>
          </w:p>
        </w:tc>
        <w:tc>
          <w:tcPr>
            <w:tcW w:type="dxa" w:w="489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当日の確認結果、継続事項、預かった物件、次回予定を共有する</w:t>
            </w:r>
          </w:p>
        </w:tc>
        <w:tc>
          <w:tcPr>
            <w:tcW w:type="dxa" w:w="3529"/>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未了事項、提出期限、返却予定</w:t>
            </w:r>
          </w:p>
        </w:tc>
      </w:tr>
    </w:tbl>
    <w:p>
      <w:pPr>
        <w:widowControl/>
        <w:spacing w:after="80" w:line="283" w:lineRule="auto"/>
      </w:pPr>
    </w:p>
    <w:p>
      <w:pPr>
        <w:pStyle w:val="Heading2"/>
        <w:keepNext/>
        <w:widowControl/>
        <w:spacing w:before="140" w:after="80"/>
      </w:pPr>
      <w:r>
        <w:rPr>
          <w:rFonts w:ascii="BIZ UDPゴシック" w:hAnsi="BIZ UDPゴシック" w:eastAsia="BIZ UDPゴシック" w:cs="Yu Gothic"/>
          <w:b/>
          <w:color w:val="1F4E78"/>
          <w:sz w:val="27"/>
        </w:rPr>
        <w:t>提示・提出要求と留置き</w:t>
      </w:r>
    </w:p>
    <w:tbl>
      <w:tblPr>
        <w:tblW w:type="dxa" w:w="9865"/>
        <w:tblLayout w:type="autofit"/>
        <w:tblLook w:firstColumn="1" w:firstRow="1" w:lastColumn="0" w:lastRow="0" w:noHBand="0" w:noVBand="1" w:val="04A0"/>
        <w:jc w:val="center"/>
        <w:tblInd w:w="120" w:type="dxa"/>
      </w:tblPr>
      <w:tblGrid>
        <w:gridCol w:w="1656"/>
        <w:gridCol w:w="3672"/>
        <w:gridCol w:w="4537"/>
      </w:tblGrid>
      <w:tr>
        <w:trPr>
          <w:tblHeader w:val="true"/>
          <w:cantSplit/>
          <w:tblHeader w:val="true"/>
          <w:tblHeader w:val="true"/>
          <w:cantSplit/>
        </w:trPr>
        <w:tc>
          <w:tcPr>
            <w:tcW w:type="dxa" w:w="1656"/>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区分</w:t>
            </w:r>
          </w:p>
        </w:tc>
        <w:tc>
          <w:tcPr>
            <w:tcW w:type="dxa" w:w="3672"/>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取扱い</w:t>
            </w:r>
          </w:p>
        </w:tc>
        <w:tc>
          <w:tcPr>
            <w:tcW w:type="dxa" w:w="4537"/>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実務上の注意</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提示</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その場で閲覧・確認する</w:t>
            </w:r>
          </w:p>
        </w:tc>
        <w:tc>
          <w:tcPr>
            <w:tcW w:type="dxa" w:w="453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閲覧した物件と確認内容を特定する</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提出</w:t>
            </w:r>
          </w:p>
        </w:tc>
        <w:tc>
          <w:tcPr>
            <w:tcW w:type="dxa" w:w="367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物件の提出を受ける</w:t>
            </w:r>
          </w:p>
        </w:tc>
        <w:tc>
          <w:tcPr>
            <w:tcW w:type="dxa" w:w="453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返却の要否、媒体、点数、受領日時を記録する</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留置き</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提出物を相手方の手元から離して預かる</w:t>
            </w:r>
          </w:p>
        </w:tc>
        <w:tc>
          <w:tcPr>
            <w:tcW w:type="dxa" w:w="453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理解と協力を得る。預り証を交付し、紛失・漏えいを防止する</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提出用コピー</w:t>
            </w:r>
          </w:p>
        </w:tc>
        <w:tc>
          <w:tcPr>
            <w:tcW w:type="dxa" w:w="367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調査提出用に新たに作成され、返却を予定しない写しを受ける</w:t>
            </w:r>
          </w:p>
        </w:tc>
        <w:tc>
          <w:tcPr>
            <w:tcW w:type="dxa" w:w="453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通常は留置きに当たらない。提出物として受領経過を残す</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既存の写し</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もともと存在した写し又は返却予定の写しを預かる</w:t>
            </w:r>
          </w:p>
        </w:tc>
        <w:tc>
          <w:tcPr>
            <w:tcW w:type="dxa" w:w="453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名称が『コピー』でも、実態に応じて留置きとして扱う</w:t>
            </w:r>
          </w:p>
        </w:tc>
      </w:tr>
    </w:tbl>
    <w:p>
      <w:pPr>
        <w:widowControl/>
        <w:spacing w:after="80" w:line="283" w:lineRule="auto"/>
      </w:pPr>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FBEEEE"/>
              <w:start w:val="single" w:sz="24" w:space="0" w:color="8C2D2D"/>
              <w:left w:val="single" w:sz="5" w:color="C9D2DF"/>
              <w:right w:val="single" w:sz="5" w:color="C9D2DF"/>
            </w:tcBorders>
          </w:tcPr>
          <w:p>
            <w:pPr>
              <w:spacing w:before="0" w:after="0" w:line="259" w:lineRule="auto"/>
              <w:jc w:val="center"/>
            </w:pPr>
            <w:r>
              <w:rPr>
                <w:rFonts w:ascii="BIZ UDPゴシック" w:hAnsi="BIZ UDPゴシック" w:eastAsia="BIZ UDPゴシック"/>
                <w:b/>
                <w:color w:val="17365D"/>
                <w:sz w:val="20"/>
              </w:rPr>
            </w:r>
            <w:r>
              <w:rPr>
                <w:rFonts w:ascii="BIZ UDPゴシック" w:hAnsi="BIZ UDPゴシック" w:eastAsia="BIZ UDPゴシック"/>
                <w:b/>
                <w:color w:val="17365D"/>
                <w:sz w:val="20"/>
              </w:rPr>
              <w:t>留置きの基本</w:t>
            </w:r>
          </w:p>
          <w:p>
            <w:pPr>
              <w:spacing w:before="0" w:after="0" w:line="259" w:lineRule="auto"/>
              <w:jc w:val="center"/>
            </w:pPr>
            <w:r>
              <w:rPr>
                <w:rFonts w:ascii="BIZ UDPゴシック" w:hAnsi="BIZ UDPゴシック" w:eastAsia="BIZ UDPゴシック"/>
                <w:b w:val="0"/>
                <w:color w:val="222222"/>
                <w:sz w:val="20"/>
              </w:rPr>
              <w:t>留置きは、物件を一方的に取り上げる手続ではありません。預かる必要性を説明し、相手方の理解と協力を得ます。確認の必要がなくなった物件は速やかに返還し、預り証と現物を照合した上で、返還の経過を記録します。</w:t>
            </w:r>
          </w:p>
        </w:tc>
      </w:tr>
    </w:tbl>
    <w:p>
      <w:pPr>
        <w:widowControl/>
        <w:spacing w:after="80" w:line="283" w:lineRule="auto"/>
      </w:pPr>
    </w:p>
    <w:p>
      <w:pPr>
        <w:pStyle w:val="Heading2"/>
        <w:keepNext/>
        <w:widowControl/>
        <w:spacing w:before="140" w:after="80"/>
      </w:pPr>
      <w:r>
        <w:rPr>
          <w:rFonts w:ascii="BIZ UDPゴシック" w:hAnsi="BIZ UDPゴシック" w:eastAsia="BIZ UDPゴシック" w:cs="Yu Gothic"/>
          <w:b/>
          <w:color w:val="1F4E78"/>
          <w:sz w:val="27"/>
        </w:rPr>
        <w:t>受忍義務と配慮</w:t>
      </w:r>
    </w:p>
    <w:p>
      <w:pPr>
        <w:keepLines/>
        <w:widowControl/>
        <w:spacing w:line="283" w:lineRule="auto" w:after="80"/>
      </w:pPr>
      <w:r>
        <w:rPr>
          <w:rFonts w:ascii="BIZ UDPゴシック" w:hAnsi="BIZ UDPゴシック" w:eastAsia="BIZ UDPゴシック"/>
          <w:b w:val="0"/>
          <w:color w:val="222222"/>
          <w:sz w:val="21"/>
        </w:rPr>
        <w:t>質問検査の相手方には一定の受忍義務があります。一方で、調査官には、私生活や事業活動への影響をできるだけ抑え、権限を適正に行使する責任があります。業務時間、療養、介護、宗教上の事情などについて申出があった場合は、調査目的を損なわない範囲で、方法・場所・時間を調整します。</w:t>
      </w:r>
    </w:p>
    <w:p>
      <w:pPr>
        <w:pStyle w:val="Heading1"/>
        <w:pageBreakBefore/>
        <w:widowControl/>
        <w:pBdr>
          <w:bottom w:val="single" w:sz="10" w:space="6" w:color="183B63"/>
        </w:pBdr>
        <w:pageBreakBefore/>
        <w:keepNext/>
        <w:pBdr>
          <w:bottom w:val="single" w:sz="16" w:space="4" w:color="2F5597"/>
        </w:pBdr>
        <w:spacing w:before="160" w:after="140"/>
      </w:pPr>
      <w:r>
        <w:rPr>
          <w:rFonts w:ascii="BIZ UDPゴシック" w:hAnsi="BIZ UDPゴシック" w:eastAsia="BIZ UDPゴシック" w:cs="Yu Gothic"/>
          <w:b/>
          <w:color w:val="17365D"/>
          <w:sz w:val="36"/>
        </w:rPr>
        <w:t>4　反面調査・金融機関調査</w:t>
      </w:r>
    </w:p>
    <w:p>
      <w:pPr>
        <w:pStyle w:val="Lead"/>
        <w:keepLines/>
        <w:spacing w:after="140" w:before="20" w:line="300" w:lineRule="auto"/>
        <w:ind w:left="227" w:right="227"/>
        <w:shd w:fill="EAF0F7"/>
        <w:widowControl/>
        <w:pBdr>
          <w:left w:val="single" w:sz="22" w:space="8" w:color="2F5597"/>
        </w:pBdr>
      </w:pPr>
      <w:r>
        <w:rPr>
          <w:rFonts w:ascii="BIZ UDPゴシック" w:hAnsi="BIZ UDPゴシック" w:eastAsia="BIZ UDPゴシック"/>
          <w:b/>
          <w:color w:val="222222"/>
          <w:sz w:val="22"/>
        </w:rPr>
        <w:t>反面調査や金融機関調査は、本人調査で残った具体的な疑問を解消するために行います。「念のため」に広く確認するのではなく、何を確かめるために、誰の、どの期間を調べるのかを、把握した事実から説明できるようにします。</w:t>
      </w:r>
    </w:p>
    <w:p>
      <w:pPr>
        <w:pStyle w:val="LegalBasis"/>
        <w:spacing w:before="20" w:after="120" w:line="252" w:lineRule="auto"/>
        <w:ind w:left="227" w:right="227"/>
        <w:shd w:val="clear" w:color="auto" w:fill="FBEEEE"/>
        <w:widowControl/>
        <w:pBdr>
          <w:left w:val="single" w:sz="18" w:space="4" w:color="8C2D2D"/>
        </w:pBdr>
      </w:pPr>
      <w:r>
        <w:rPr>
          <w:rFonts w:ascii="BIZ UDPゴシック" w:hAnsi="BIZ UDPゴシック" w:eastAsia="BIZ UDPゴシック" w:cs="Yu Gothic"/>
          <w:b w:val="0"/>
          <w:color w:val="8C2F39"/>
          <w:sz w:val="19"/>
        </w:rPr>
        <w:t xml:space="preserve">主な根拠　</w:t>
      </w:r>
      <w:r>
        <w:rPr>
          <w:rFonts w:ascii="BIZ UDPゴシック" w:hAnsi="BIZ UDPゴシック" w:eastAsia="BIZ UDPゴシック" w:cs="Yu Gothic"/>
          <w:b w:val="0"/>
          <w:color w:val="8C2F39"/>
          <w:sz w:val="19"/>
        </w:rPr>
        <w:t>国税通則法74条の2～74条の6、74条の7の2、74条の12／調査手続に関する事務運営指針</w:t>
      </w:r>
    </w:p>
    <w:p>
      <w:pPr>
        <w:pStyle w:val="Heading2"/>
        <w:keepNext/>
        <w:widowControl/>
        <w:spacing w:before="140" w:after="80"/>
      </w:pPr>
      <w:r>
        <w:rPr>
          <w:rFonts w:ascii="BIZ UDPゴシック" w:hAnsi="BIZ UDPゴシック" w:eastAsia="BIZ UDPゴシック" w:cs="Yu Gothic"/>
          <w:b/>
          <w:color w:val="1F4E78"/>
          <w:sz w:val="27"/>
        </w:rPr>
        <w:t>反面調査の考え方</w:t>
      </w:r>
    </w:p>
    <w:p>
      <w:pPr>
        <w:keepLines/>
        <w:widowControl/>
        <w:spacing w:line="283" w:lineRule="auto" w:after="80"/>
      </w:pPr>
      <w:r>
        <w:rPr>
          <w:rFonts w:ascii="BIZ UDPゴシック" w:hAnsi="BIZ UDPゴシック" w:eastAsia="BIZ UDPゴシック"/>
          <w:b w:val="0"/>
          <w:color w:val="222222"/>
          <w:sz w:val="21"/>
        </w:rPr>
        <w:t>取引先、親族、金融機関などの第三者に、取引、資産、資金移動等を確認する調査を、実務上「反面調査」と呼びます。本人の説明や提出資料だけでは事実を十分に把握できない場合に、法令上の適切な手段を選び、必要な範囲に限って行います。</w:t>
      </w:r>
    </w:p>
    <w:tbl>
      <w:tblPr>
        <w:tblW w:type="dxa" w:w="9865"/>
        <w:tblLayout w:type="autofit"/>
        <w:tblLook w:firstColumn="1" w:firstRow="1" w:lastColumn="0" w:lastRow="0" w:noHBand="0" w:noVBand="1" w:val="04A0"/>
        <w:jc w:val="center"/>
        <w:tblInd w:w="120" w:type="dxa"/>
      </w:tblPr>
      <w:tblGrid>
        <w:gridCol w:w="1656"/>
        <w:gridCol w:w="4464"/>
        <w:gridCol w:w="3745"/>
      </w:tblGrid>
      <w:tr>
        <w:trPr>
          <w:tblHeader w:val="true"/>
          <w:cantSplit/>
          <w:tblHeader w:val="true"/>
          <w:tblHeader w:val="true"/>
          <w:cantSplit/>
        </w:trPr>
        <w:tc>
          <w:tcPr>
            <w:tcW w:type="dxa" w:w="1656"/>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手順</w:t>
            </w:r>
          </w:p>
        </w:tc>
        <w:tc>
          <w:tcPr>
            <w:tcW w:type="dxa" w:w="4464"/>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確認すること</w:t>
            </w:r>
          </w:p>
        </w:tc>
        <w:tc>
          <w:tcPr>
            <w:tcW w:type="dxa" w:w="3745"/>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spacing w:before="0" w:after="0" w:line="259" w:lineRule="auto"/>
            </w:pPr>
            <w:r>
              <w:rPr>
                <w:rFonts w:ascii="BIZ UDPゴシック" w:hAnsi="BIZ UDPゴシック" w:eastAsia="BIZ UDPゴシック"/>
                <w:b/>
                <w:color w:val="FFFFFF"/>
                <w:sz w:val="20"/>
              </w:rPr>
              <w:t>整理しておくこと</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1　疑問の特定</w:t>
            </w:r>
          </w:p>
        </w:tc>
        <w:tc>
          <w:tcPr>
            <w:tcW w:type="dxa" w:w="446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どの事実が未確認又は矛盾しているか</w:t>
            </w:r>
          </w:p>
        </w:tc>
        <w:tc>
          <w:tcPr>
            <w:tcW w:type="dxa" w:w="3745"/>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本人の説明、確認資料、食い違っている点</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2　必要性</w:t>
            </w:r>
          </w:p>
        </w:tc>
        <w:tc>
          <w:tcPr>
            <w:tcW w:type="dxa" w:w="4464"/>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第三者への確認で何が明らかになるか</w:t>
            </w:r>
          </w:p>
        </w:tc>
        <w:tc>
          <w:tcPr>
            <w:tcW w:type="dxa" w:w="3745"/>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本人調査だけでは確認できない理由</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3　権限・経路</w:t>
            </w:r>
          </w:p>
        </w:tc>
        <w:tc>
          <w:tcPr>
            <w:tcW w:type="dxa" w:w="446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誰に、どの法的根拠・方法で確認するか</w:t>
            </w:r>
          </w:p>
        </w:tc>
        <w:tc>
          <w:tcPr>
            <w:tcW w:type="dxa" w:w="3745"/>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対象税目、相手方、照会又は臨場の別</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4　範囲</w:t>
            </w:r>
          </w:p>
        </w:tc>
        <w:tc>
          <w:tcPr>
            <w:tcW w:type="dxa" w:w="4464"/>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人物、口座、取引、期間、資料をどこまで対象とするか</w:t>
            </w:r>
          </w:p>
        </w:tc>
        <w:tc>
          <w:tcPr>
            <w:tcW w:type="dxa" w:w="3745"/>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対象を必要な範囲に絞った理由</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5　評価</w:t>
            </w:r>
          </w:p>
        </w:tc>
        <w:tc>
          <w:tcPr>
            <w:tcW w:type="dxa" w:w="446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得られた情報が当初の疑問をどう解消したか</w:t>
            </w:r>
          </w:p>
        </w:tc>
        <w:tc>
          <w:tcPr>
            <w:tcW w:type="dxa" w:w="3745"/>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一致した点、食い違う点、追加確認の要否、反対事情</w:t>
            </w:r>
          </w:p>
        </w:tc>
      </w:tr>
    </w:tbl>
    <w:p>
      <w:pPr>
        <w:widowControl/>
        <w:spacing w:after="80" w:line="283" w:lineRule="auto"/>
      </w:pPr>
    </w:p>
    <w:p>
      <w:pPr>
        <w:pStyle w:val="Heading2"/>
        <w:keepNext/>
        <w:widowControl/>
        <w:spacing w:before="140" w:after="80"/>
      </w:pPr>
      <w:r>
        <w:rPr>
          <w:rFonts w:ascii="BIZ UDPゴシック" w:hAnsi="BIZ UDPゴシック" w:eastAsia="BIZ UDPゴシック" w:cs="Yu Gothic"/>
          <w:b/>
          <w:color w:val="1F4E78"/>
          <w:sz w:val="27"/>
        </w:rPr>
        <w:t>協力要請と質問検査を混同しない</w:t>
      </w:r>
    </w:p>
    <w:p>
      <w:pPr>
        <w:keepLines/>
        <w:widowControl/>
        <w:spacing w:line="283" w:lineRule="auto" w:after="80"/>
      </w:pPr>
      <w:r>
        <w:rPr>
          <w:rFonts w:ascii="BIZ UDPゴシック" w:hAnsi="BIZ UDPゴシック" w:eastAsia="BIZ UDPゴシック"/>
          <w:b w:val="0"/>
          <w:color w:val="222222"/>
          <w:sz w:val="21"/>
        </w:rPr>
        <w:t>国税通則法74条の12は、官公署又は政府関係機関に協力を求めるための規定です。質問検査権に基づく回答義務や提示・提出義務に代わるものではありません。どの手段を用いるかは、相手方、取得する情報、その必要性、守秘義務との関係を整理した上で判断します。なお、74条の7の2による事業者等への情報照会は、同条所定の要件と手続に基づく別の制度です。</w:t>
      </w:r>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FBEEEE"/>
              <w:start w:val="single" w:sz="24" w:space="0" w:color="8C2D2D"/>
              <w:left w:val="single" w:sz="5" w:color="C9D2DF"/>
              <w:right w:val="single" w:sz="5" w:color="C9D2DF"/>
            </w:tcBorders>
          </w:tcPr>
          <w:p>
            <w:pPr>
              <w:spacing w:before="0" w:after="0" w:line="259" w:lineRule="auto"/>
              <w:jc w:val="center"/>
            </w:pPr>
            <w:r>
              <w:rPr>
                <w:rFonts w:ascii="BIZ UDPゴシック" w:hAnsi="BIZ UDPゴシック" w:eastAsia="BIZ UDPゴシック"/>
                <w:b/>
                <w:color w:val="17365D"/>
                <w:sz w:val="20"/>
              </w:rPr>
            </w:r>
            <w:r>
              <w:rPr>
                <w:rFonts w:ascii="BIZ UDPゴシック" w:hAnsi="BIZ UDPゴシック" w:eastAsia="BIZ UDPゴシック"/>
                <w:b/>
                <w:color w:val="17365D"/>
                <w:sz w:val="20"/>
              </w:rPr>
              <w:t>外部確認に入る前に</w:t>
            </w:r>
          </w:p>
          <w:p>
            <w:pPr>
              <w:spacing w:before="0" w:after="0" w:line="259" w:lineRule="auto"/>
              <w:jc w:val="center"/>
            </w:pPr>
            <w:r>
              <w:rPr>
                <w:rFonts w:ascii="BIZ UDPゴシック" w:hAnsi="BIZ UDPゴシック" w:eastAsia="BIZ UDPゴシック"/>
                <w:b w:val="0"/>
                <w:color w:val="222222"/>
                <w:sz w:val="20"/>
              </w:rPr>
              <w:t>法的根拠や内部手続に不明な点があるときは、単独で進めません。対象者、取得する情報、対象期間、照会文言、取得後の情報管理について、上司や審理担当と確認します。</w:t>
            </w:r>
          </w:p>
        </w:tc>
      </w:tr>
    </w:tbl>
    <w:p>
      <w:pPr>
        <w:widowControl/>
        <w:spacing w:after="80" w:line="283" w:lineRule="auto"/>
      </w:pPr>
    </w:p>
    <w:p>
      <w:pPr>
        <w:pStyle w:val="Heading2"/>
        <w:keepNext/>
        <w:widowControl/>
        <w:spacing w:before="140" w:after="80"/>
      </w:pPr>
      <w:r>
        <w:rPr>
          <w:rFonts w:ascii="BIZ UDPゴシック" w:hAnsi="BIZ UDPゴシック" w:eastAsia="BIZ UDPゴシック" w:cs="Yu Gothic"/>
          <w:b/>
          <w:color w:val="1F4E78"/>
          <w:sz w:val="27"/>
        </w:rPr>
        <w:t>金融機関調査で見る視点</w:t>
      </w:r>
    </w:p>
    <w:tbl>
      <w:tblPr>
        <w:tblW w:type="dxa" w:w="9865"/>
        <w:tblLayout w:type="autofit"/>
        <w:tblLook w:firstColumn="1" w:firstRow="1" w:lastColumn="0" w:lastRow="0" w:noHBand="0" w:noVBand="1" w:val="04A0"/>
        <w:jc w:val="center"/>
        <w:tblInd w:w="120" w:type="dxa"/>
      </w:tblPr>
      <w:tblGrid>
        <w:gridCol w:w="1584"/>
        <w:gridCol w:w="4608"/>
        <w:gridCol w:w="3673"/>
      </w:tblGrid>
      <w:tr>
        <w:trPr>
          <w:tblHeader w:val="true"/>
          <w:cantSplit/>
          <w:tblHeader w:val="true"/>
          <w:tblHeader w:val="true"/>
          <w:cantSplit/>
        </w:trPr>
        <w:tc>
          <w:tcPr>
            <w:tcW w:type="dxa" w:w="1584"/>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視点</w:t>
            </w:r>
          </w:p>
        </w:tc>
        <w:tc>
          <w:tcPr>
            <w:tcW w:type="dxa" w:w="4608"/>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確認例</w:t>
            </w:r>
          </w:p>
        </w:tc>
        <w:tc>
          <w:tcPr>
            <w:tcW w:type="dxa" w:w="3673"/>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避けるべき決め付け</w:t>
            </w:r>
          </w:p>
        </w:tc>
      </w:tr>
      <w:tr>
        <w:trPr>
          <w:cantSplit/>
          <w:cantSplit/>
        </w:trPr>
        <w:tc>
          <w:tcPr>
            <w:tcW w:type="dxa" w:w="158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帰属</w:t>
            </w:r>
          </w:p>
        </w:tc>
        <w:tc>
          <w:tcPr>
            <w:tcW w:type="dxa" w:w="4608"/>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届出印、管理者、原資、入出金、利息、使用目的</w:t>
            </w:r>
          </w:p>
        </w:tc>
        <w:tc>
          <w:tcPr>
            <w:tcW w:type="dxa" w:w="3673"/>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家族名義であるだけで被相続人財産とする</w:t>
            </w:r>
          </w:p>
        </w:tc>
      </w:tr>
      <w:tr>
        <w:trPr>
          <w:cantSplit/>
          <w:cantSplit/>
        </w:trPr>
        <w:tc>
          <w:tcPr>
            <w:tcW w:type="dxa" w:w="1584"/>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資金移動</w:t>
            </w:r>
          </w:p>
        </w:tc>
        <w:tc>
          <w:tcPr>
            <w:tcW w:type="dxa" w:w="4608"/>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相続開始前後の多額入出金、振替先、現金化後の使途</w:t>
            </w:r>
          </w:p>
        </w:tc>
        <w:tc>
          <w:tcPr>
            <w:tcW w:type="dxa" w:w="3673"/>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出金があるだけで財産隠しとする</w:t>
            </w:r>
          </w:p>
        </w:tc>
      </w:tr>
      <w:tr>
        <w:trPr>
          <w:cantSplit/>
          <w:cantSplit/>
        </w:trPr>
        <w:tc>
          <w:tcPr>
            <w:tcW w:type="dxa" w:w="158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生前贈与</w:t>
            </w:r>
          </w:p>
        </w:tc>
        <w:tc>
          <w:tcPr>
            <w:tcW w:type="dxa" w:w="4608"/>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贈与意思、受贈者の認識、管理支配、申告・契約の状況</w:t>
            </w:r>
          </w:p>
        </w:tc>
        <w:tc>
          <w:tcPr>
            <w:tcW w:type="dxa" w:w="3673"/>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贈与契約書の有無だけで結論を出す</w:t>
            </w:r>
          </w:p>
        </w:tc>
      </w:tr>
      <w:tr>
        <w:trPr>
          <w:cantSplit/>
          <w:cantSplit/>
        </w:trPr>
        <w:tc>
          <w:tcPr>
            <w:tcW w:type="dxa" w:w="1584"/>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調査範囲</w:t>
            </w:r>
          </w:p>
        </w:tc>
        <w:tc>
          <w:tcPr>
            <w:tcW w:type="dxa" w:w="4608"/>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疑問に対応する口座・名義人・期間・取引</w:t>
            </w:r>
          </w:p>
        </w:tc>
        <w:tc>
          <w:tcPr>
            <w:tcW w:type="dxa" w:w="3673"/>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家族全員の全期間を一律に取得する</w:t>
            </w:r>
          </w:p>
        </w:tc>
      </w:tr>
    </w:tbl>
    <w:p>
      <w:pPr>
        <w:widowControl/>
        <w:spacing w:after="80" w:line="283" w:lineRule="auto"/>
      </w:pPr>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EAF1F7"/>
              <w:start w:val="single" w:sz="24" w:space="0" w:color="183B63"/>
              <w:left w:val="single" w:sz="5" w:color="C9D2DF"/>
              <w:right w:val="single" w:sz="5" w:color="C9D2DF"/>
            </w:tcBorders>
          </w:tcPr>
          <w:p>
            <w:pPr>
              <w:spacing w:before="0" w:after="0" w:line="259" w:lineRule="auto"/>
              <w:jc w:val="center"/>
            </w:pPr>
            <w:r>
              <w:rPr>
                <w:rFonts w:ascii="BIZ UDPゴシック" w:hAnsi="BIZ UDPゴシック" w:eastAsia="BIZ UDPゴシック"/>
                <w:b/>
                <w:color w:val="17365D"/>
                <w:sz w:val="20"/>
              </w:rPr>
            </w:r>
            <w:r>
              <w:rPr>
                <w:rFonts w:ascii="BIZ UDPゴシック" w:hAnsi="BIZ UDPゴシック" w:eastAsia="BIZ UDPゴシック"/>
                <w:b/>
                <w:color w:val="17365D"/>
                <w:sz w:val="20"/>
              </w:rPr>
              <w:t>名義預金を検討するとき</w:t>
            </w:r>
          </w:p>
          <w:p>
            <w:pPr>
              <w:spacing w:before="0" w:after="0" w:line="259" w:lineRule="auto"/>
              <w:jc w:val="center"/>
            </w:pPr>
            <w:r>
              <w:rPr>
                <w:rFonts w:ascii="BIZ UDPゴシック" w:hAnsi="BIZ UDPゴシック" w:eastAsia="BIZ UDPゴシック"/>
                <w:b w:val="0"/>
                <w:color w:val="222222"/>
                <w:sz w:val="20"/>
              </w:rPr>
              <w:t>口座の名義だけで判断してはいけません。資金を出した人、贈与の有無、通帳や印鑑等を管理していた人、預金の運用・使用状況を総合して、財産の帰属を判断します。本人や家族の説明は、金融資料などの客観資料と照合します。</w:t>
            </w:r>
          </w:p>
        </w:tc>
      </w:tr>
    </w:tbl>
    <w:p>
      <w:pPr>
        <w:widowControl/>
        <w:spacing w:after="80" w:line="283" w:lineRule="auto"/>
      </w:pPr>
    </w:p>
    <w:p>
      <w:pPr>
        <w:pStyle w:val="Heading1"/>
        <w:pageBreakBefore/>
        <w:widowControl/>
        <w:pBdr>
          <w:bottom w:val="single" w:sz="10" w:space="6" w:color="183B63"/>
        </w:pBdr>
        <w:pageBreakBefore/>
        <w:keepNext/>
        <w:pBdr>
          <w:bottom w:val="single" w:sz="16" w:space="4" w:color="2F5597"/>
        </w:pBdr>
        <w:spacing w:after="140" w:before="160"/>
        <w:jc w:val="center"/>
      </w:pPr>
      <w:r>
        <w:rPr>
          <w:rFonts w:ascii="BIZ UDPゴシック" w:hAnsi="BIZ UDPゴシック" w:eastAsia="BIZ UDPゴシック" w:cs="Yu Gothic"/>
          <w:b/>
          <w:color w:val="17365D"/>
          <w:sz w:val="36"/>
        </w:rPr>
        <w:t>5　調査結果の説明と終了</w:t>
      </w:r>
    </w:p>
    <w:p>
      <w:pPr>
        <w:pStyle w:val="Lead"/>
        <w:keepLines/>
        <w:spacing w:after="140" w:before="20" w:line="300" w:lineRule="auto"/>
        <w:ind w:left="227" w:right="227"/>
        <w:shd w:fill="EAF0F7"/>
        <w:widowControl/>
        <w:pBdr>
          <w:left w:val="single" w:sz="22" w:space="8" w:color="2F5597"/>
        </w:pBdr>
      </w:pPr>
      <w:r>
        <w:rPr>
          <w:rFonts w:ascii="BIZ UDPゴシック" w:hAnsi="BIZ UDPゴシック" w:eastAsia="BIZ UDPゴシック"/>
          <w:b/>
          <w:color w:val="222222"/>
          <w:sz w:val="22"/>
        </w:rPr>
        <w:t>調査結果の説明では、結論だけを伝えてはいけません。認定した事実、その根拠となる証拠、適用する法令、税額計算の順につなげて説明し、納税義務者から示された主張や反証も検討した上で、処分又は調査終了へ進みます。</w:t>
      </w:r>
    </w:p>
    <w:p>
      <w:pPr>
        <w:pStyle w:val="LegalBasis"/>
        <w:spacing w:before="20" w:after="120" w:line="252" w:lineRule="auto"/>
        <w:ind w:left="227" w:right="227"/>
        <w:shd w:val="clear" w:color="auto" w:fill="FBEEEE"/>
        <w:widowControl/>
        <w:pBdr>
          <w:left w:val="single" w:sz="18" w:space="4" w:color="8C2D2D"/>
        </w:pBdr>
      </w:pPr>
      <w:r>
        <w:rPr>
          <w:rFonts w:ascii="BIZ UDPゴシック" w:hAnsi="BIZ UDPゴシック" w:eastAsia="BIZ UDPゴシック" w:cs="Yu Gothic"/>
          <w:b w:val="0"/>
          <w:color w:val="8C2F39"/>
          <w:sz w:val="19"/>
        </w:rPr>
        <w:t xml:space="preserve">主な根拠　</w:t>
      </w:r>
      <w:r>
        <w:rPr>
          <w:rFonts w:ascii="BIZ UDPゴシック" w:hAnsi="BIZ UDPゴシック" w:eastAsia="BIZ UDPゴシック" w:cs="Yu Gothic"/>
          <w:b w:val="0"/>
          <w:color w:val="8C2F39"/>
          <w:sz w:val="19"/>
        </w:rPr>
        <w:t>国税通則法74条の11、23条／調査手続に関する事務運営指針</w:t>
      </w:r>
    </w:p>
    <w:p>
      <w:pPr>
        <w:pStyle w:val="Heading2"/>
        <w:keepNext/>
        <w:widowControl/>
        <w:spacing w:before="140" w:after="80"/>
      </w:pPr>
      <w:r>
        <w:rPr>
          <w:rFonts w:ascii="BIZ UDPゴシック" w:hAnsi="BIZ UDPゴシック" w:eastAsia="BIZ UDPゴシック" w:cs="Yu Gothic"/>
          <w:b/>
          <w:color w:val="1F4E78"/>
          <w:sz w:val="27"/>
        </w:rPr>
        <w:t>結果説明から終了まで</w:t>
      </w:r>
    </w:p>
    <w:tbl>
      <w:tblPr>
        <w:tblW w:type="dxa" w:w="9865"/>
        <w:tblLayout w:type="autofit"/>
        <w:tblLook w:firstColumn="1" w:firstRow="1" w:lastColumn="0" w:lastRow="0" w:noHBand="0" w:noVBand="1" w:val="04A0"/>
        <w:jc w:val="center"/>
        <w:tblInd w:w="120" w:type="dxa"/>
      </w:tblPr>
      <w:tblGrid>
        <w:gridCol w:w="1656"/>
        <w:gridCol w:w="5257"/>
        <w:gridCol w:w="2952"/>
      </w:tblGrid>
      <w:tr>
        <w:trPr>
          <w:tblHeader w:val="true"/>
          <w:cantSplit/>
          <w:tblHeader w:val="true"/>
          <w:tblHeader w:val="true"/>
          <w:cantSplit/>
        </w:trPr>
        <w:tc>
          <w:tcPr>
            <w:tcW w:type="dxa" w:w="1656"/>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段階</w:t>
            </w:r>
          </w:p>
        </w:tc>
        <w:tc>
          <w:tcPr>
            <w:tcW w:type="dxa" w:w="5257"/>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調査官の行動</w:t>
            </w:r>
          </w:p>
        </w:tc>
        <w:tc>
          <w:tcPr>
            <w:tcW w:type="dxa" w:w="2952"/>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spacing w:before="0" w:after="0" w:line="259" w:lineRule="auto"/>
            </w:pPr>
            <w:r>
              <w:rPr>
                <w:rFonts w:ascii="BIZ UDPゴシック" w:hAnsi="BIZ UDPゴシック" w:eastAsia="BIZ UDPゴシック"/>
                <w:b/>
                <w:color w:val="FFFFFF"/>
                <w:sz w:val="20"/>
              </w:rPr>
              <w:t>確認・記録しておくこと</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1　事実整理</w:t>
            </w:r>
          </w:p>
        </w:tc>
        <w:tc>
          <w:tcPr>
            <w:tcW w:type="dxa" w:w="525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争点ごとに認定事実、証拠、反対事情を整理する</w:t>
            </w:r>
          </w:p>
        </w:tc>
        <w:tc>
          <w:tcPr>
            <w:tcW w:type="dxa" w:w="295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認定事実と証拠の対応、供述の変化、未確認事項</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2　法令適用</w:t>
            </w:r>
          </w:p>
        </w:tc>
        <w:tc>
          <w:tcPr>
            <w:tcW w:type="dxa" w:w="525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要件事実に法令・通達を当てはめ、税額を計算する</w:t>
            </w:r>
          </w:p>
        </w:tc>
        <w:tc>
          <w:tcPr>
            <w:tcW w:type="dxa" w:w="295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適用条文、計算の根拠、判断した理由</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3　結果説明</w:t>
            </w:r>
          </w:p>
        </w:tc>
        <w:tc>
          <w:tcPr>
            <w:tcW w:type="dxa" w:w="525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t>非違の内容、金額、理由を理解できる言葉で説明する</w:t>
            </w:r>
          </w:p>
        </w:tc>
        <w:tc>
          <w:tcPr>
            <w:tcW w:type="dxa" w:w="295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説明日時、相手方、説明内容、質疑の内容</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4　主張反証</w:t>
            </w:r>
          </w:p>
        </w:tc>
        <w:tc>
          <w:tcPr>
            <w:tcW w:type="dxa" w:w="525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追加説明・資料を受け、必要に応じ判断を見直す</w:t>
            </w:r>
          </w:p>
        </w:tc>
        <w:tc>
          <w:tcPr>
            <w:tcW w:type="dxa" w:w="295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追加資料の内容、その評価、結論への影響</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5　申告勧奨等</w:t>
            </w:r>
          </w:p>
        </w:tc>
        <w:tc>
          <w:tcPr>
            <w:tcW w:type="dxa" w:w="525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修正申告等を勧奨する場合は法的効果を説明し書面を交付する</w:t>
            </w:r>
          </w:p>
        </w:tc>
        <w:tc>
          <w:tcPr>
            <w:tcW w:type="dxa" w:w="295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説明した法的効果、交付書面、本人の意思</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6　終了</w:t>
            </w:r>
          </w:p>
        </w:tc>
        <w:tc>
          <w:tcPr>
            <w:tcW w:type="dxa" w:w="525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t>更正・決定等、申告、又は問題なしの通知により完結させる</w:t>
            </w:r>
          </w:p>
        </w:tc>
        <w:tc>
          <w:tcPr>
            <w:tcW w:type="dxa" w:w="295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処理日、通知・書面の送付又は交付、残っている事務</w:t>
            </w:r>
          </w:p>
        </w:tc>
      </w:tr>
    </w:tbl>
    <w:p>
      <w:pPr>
        <w:widowControl/>
        <w:spacing w:after="80" w:line="283" w:lineRule="auto"/>
      </w:pPr>
    </w:p>
    <w:p>
      <w:pPr>
        <w:pStyle w:val="Heading2"/>
        <w:keepNext/>
        <w:widowControl/>
        <w:spacing w:before="140" w:after="80"/>
      </w:pPr>
      <w:r>
        <w:rPr>
          <w:rFonts w:ascii="BIZ UDPゴシック" w:hAnsi="BIZ UDPゴシック" w:eastAsia="BIZ UDPゴシック" w:cs="Yu Gothic"/>
          <w:b/>
          <w:color w:val="1F4E78"/>
          <w:sz w:val="27"/>
        </w:rPr>
        <w:t>申告内容に問題がない場合</w:t>
      </w:r>
    </w:p>
    <w:p>
      <w:pPr>
        <w:keepLines/>
        <w:widowControl/>
        <w:spacing w:line="283" w:lineRule="auto" w:after="80"/>
      </w:pPr>
      <w:r>
        <w:rPr>
          <w:rFonts w:ascii="BIZ UDPゴシック" w:hAnsi="BIZ UDPゴシック" w:eastAsia="BIZ UDPゴシック"/>
          <w:b w:val="0"/>
          <w:color w:val="222222"/>
          <w:sz w:val="21"/>
        </w:rPr>
        <w:t>更正又は決定をすべきと認められない場合は、その旨を書面で通知します。「指摘事項はありません」という口頭説明だけで終わらせず、通知の対象となる税目・期間と、書面を送付又は交付した経過を記録します。</w:t>
      </w:r>
    </w:p>
    <w:p>
      <w:pPr>
        <w:pStyle w:val="Heading2"/>
        <w:keepNext/>
        <w:widowControl/>
        <w:spacing w:before="140" w:after="80"/>
      </w:pPr>
      <w:r>
        <w:rPr>
          <w:rFonts w:ascii="BIZ UDPゴシック" w:hAnsi="BIZ UDPゴシック" w:eastAsia="BIZ UDPゴシック" w:cs="Yu Gothic"/>
          <w:b/>
          <w:color w:val="1F4E78"/>
          <w:sz w:val="27"/>
        </w:rPr>
        <w:t>修正申告・期限後申告を勧奨する場合</w:t>
      </w:r>
    </w:p>
    <w:tbl>
      <w:tblPr>
        <w:tblW w:type="dxa" w:w="9865"/>
        <w:tblLayout w:type="autofit"/>
        <w:tblLook w:firstColumn="1" w:firstRow="1" w:lastColumn="0" w:lastRow="0" w:noHBand="0" w:noVBand="1" w:val="04A0"/>
        <w:jc w:val="center"/>
        <w:tblInd w:w="120" w:type="dxa"/>
      </w:tblPr>
      <w:tblGrid>
        <w:gridCol w:w="2088"/>
        <w:gridCol w:w="7777"/>
      </w:tblGrid>
      <w:tr>
        <w:trPr>
          <w:tblHeader w:val="true"/>
          <w:cantSplit/>
          <w:tblHeader w:val="true"/>
          <w:tblHeader w:val="true"/>
          <w:cantSplit/>
        </w:trPr>
        <w:tc>
          <w:tcPr>
            <w:tcW w:type="dxa" w:w="2088"/>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説明事項</w:t>
            </w:r>
          </w:p>
        </w:tc>
        <w:tc>
          <w:tcPr>
            <w:tcW w:type="dxa" w:w="7777"/>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新人向け要点</w:t>
            </w:r>
          </w:p>
        </w:tc>
      </w:tr>
      <w:tr>
        <w:trPr>
          <w:cantSplit/>
          <w:cantSplit/>
        </w:trPr>
        <w:tc>
          <w:tcPr>
            <w:tcW w:type="dxa" w:w="2088"/>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処分との違い</w:t>
            </w:r>
          </w:p>
        </w:tc>
        <w:tc>
          <w:tcPr>
            <w:tcW w:type="dxa" w:w="777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修正申告・期限後申告は納税者自身の申告であり、税務署長の更正・決定とは異なる</w:t>
            </w:r>
          </w:p>
        </w:tc>
      </w:tr>
      <w:tr>
        <w:trPr>
          <w:cantSplit/>
          <w:cantSplit/>
        </w:trPr>
        <w:tc>
          <w:tcPr>
            <w:tcW w:type="dxa" w:w="2088"/>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不服申立て</w:t>
            </w:r>
          </w:p>
        </w:tc>
        <w:tc>
          <w:tcPr>
            <w:tcW w:type="dxa" w:w="777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自ら提出した申告そのものを不服申立ての対象にはできない</w:t>
            </w:r>
          </w:p>
        </w:tc>
      </w:tr>
      <w:tr>
        <w:trPr>
          <w:cantSplit/>
          <w:cantSplit/>
        </w:trPr>
        <w:tc>
          <w:tcPr>
            <w:tcW w:type="dxa" w:w="2088"/>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更正の請求</w:t>
            </w:r>
          </w:p>
        </w:tc>
        <w:tc>
          <w:tcPr>
            <w:tcW w:type="dxa" w:w="777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申告した税額等が過大で法定要件を満たす場合は、更正の請求ができる</w:t>
            </w:r>
          </w:p>
        </w:tc>
      </w:tr>
      <w:tr>
        <w:trPr>
          <w:cantSplit/>
          <w:cantSplit/>
        </w:trPr>
        <w:tc>
          <w:tcPr>
            <w:tcW w:type="dxa" w:w="2088"/>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書面交付</w:t>
            </w:r>
          </w:p>
        </w:tc>
        <w:tc>
          <w:tcPr>
            <w:tcW w:type="dxa" w:w="777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上記の法的効果を教示し、法定の説明書面を交付する</w:t>
            </w:r>
          </w:p>
        </w:tc>
      </w:tr>
      <w:tr>
        <w:trPr>
          <w:cantSplit/>
          <w:cantSplit/>
        </w:trPr>
        <w:tc>
          <w:tcPr>
            <w:tcW w:type="dxa" w:w="2088"/>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任意性</w:t>
            </w:r>
          </w:p>
        </w:tc>
        <w:tc>
          <w:tcPr>
            <w:tcW w:type="dxa" w:w="777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威圧・誘導を避け、内容を理解した上で納税者が判断できる時間と機会を確保する</w:t>
            </w:r>
          </w:p>
        </w:tc>
      </w:tr>
    </w:tbl>
    <w:p>
      <w:pPr>
        <w:widowControl/>
        <w:spacing w:after="80" w:line="283" w:lineRule="auto"/>
      </w:pPr>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EAF4F3"/>
              <w:start w:val="single" w:sz="24" w:space="0" w:color="2F6B73"/>
              <w:left w:val="single" w:sz="5" w:color="C9D2DF"/>
              <w:right w:val="single" w:sz="5" w:color="C9D2DF"/>
            </w:tcBorders>
          </w:tcPr>
          <w:p>
            <w:pPr>
              <w:spacing w:before="0" w:after="0" w:line="259" w:lineRule="auto"/>
              <w:jc w:val="center"/>
            </w:pPr>
            <w:r>
              <w:rPr>
                <w:rFonts w:ascii="BIZ UDPゴシック" w:hAnsi="BIZ UDPゴシック" w:eastAsia="BIZ UDPゴシック"/>
                <w:b/>
                <w:color w:val="17365D"/>
                <w:sz w:val="20"/>
              </w:rPr>
            </w:r>
            <w:r>
              <w:rPr>
                <w:rFonts w:ascii="BIZ UDPゴシック" w:hAnsi="BIZ UDPゴシック" w:eastAsia="BIZ UDPゴシック"/>
                <w:b/>
                <w:color w:val="17365D"/>
                <w:sz w:val="20"/>
              </w:rPr>
              <w:t>説明の順序</w:t>
            </w:r>
          </w:p>
          <w:p>
            <w:pPr>
              <w:spacing w:before="0" w:after="0" w:line="259" w:lineRule="auto"/>
              <w:jc w:val="center"/>
            </w:pPr>
            <w:r>
              <w:rPr>
                <w:rFonts w:ascii="BIZ UDPゴシック" w:hAnsi="BIZ UDPゴシック" w:eastAsia="BIZ UDPゴシック"/>
                <w:b w:val="0"/>
                <w:color w:val="222222"/>
                <w:sz w:val="20"/>
              </w:rPr>
              <w:t>「認定した事実」→「その根拠となる資料」→「適用する法令」→「税額への影響」→「納税者が取り得る手続と法的効果」の順に説明します。専門用語だけで説明せず、必要に応じて具体例に置き換え、相手方の理解を確認します。</w:t>
            </w:r>
          </w:p>
        </w:tc>
      </w:tr>
    </w:tbl>
    <w:p>
      <w:pPr>
        <w:widowControl/>
        <w:spacing w:after="80" w:line="283" w:lineRule="auto"/>
      </w:pPr>
    </w:p>
    <w:p>
      <w:pPr>
        <w:pStyle w:val="Heading2"/>
        <w:keepNext/>
        <w:widowControl/>
        <w:spacing w:before="140" w:after="80"/>
      </w:pPr>
      <w:r>
        <w:rPr>
          <w:rFonts w:ascii="BIZ UDPゴシック" w:hAnsi="BIZ UDPゴシック" w:eastAsia="BIZ UDPゴシック" w:cs="Yu Gothic"/>
          <w:b/>
          <w:color w:val="1F4E78"/>
          <w:sz w:val="27"/>
        </w:rPr>
        <w:t>調査終了後の再調査</w:t>
      </w:r>
    </w:p>
    <w:p>
      <w:pPr>
        <w:keepLines/>
        <w:widowControl/>
        <w:spacing w:line="283" w:lineRule="auto" w:after="80"/>
      </w:pPr>
      <w:r>
        <w:rPr>
          <w:rFonts w:ascii="BIZ UDPゴシック" w:hAnsi="BIZ UDPゴシック" w:eastAsia="BIZ UDPゴシック"/>
          <w:b w:val="0"/>
          <w:color w:val="222222"/>
          <w:sz w:val="21"/>
        </w:rPr>
        <w:t>調査終了後に、先の調査では把握できなかった新たな情報を得た場合は、国税通則法74条の11第5項に基づき、再度、質問検査等を行うことができます。単なる確認の漏れを理由に調査を再開するのではなく、新たに得た情報の内容と、再調査が必要な理由を記録します。</w:t>
      </w:r>
    </w:p>
    <w:p>
      <w:pPr>
        <w:pStyle w:val="Heading2"/>
        <w:keepNext/>
        <w:widowControl/>
        <w:spacing w:before="140" w:after="80"/>
      </w:pPr>
      <w:r>
        <w:rPr>
          <w:rFonts w:ascii="BIZ UDPゴシック" w:hAnsi="BIZ UDPゴシック" w:eastAsia="BIZ UDPゴシック"/>
          <w:b/>
          <w:color w:val="1F4E78"/>
          <w:sz w:val="27"/>
        </w:rPr>
        <w:t>結果説明を終える前の確認</w:t>
      </w:r>
    </w:p>
    <w:tbl>
      <w:tblPr>
        <w:tblW w:type="dxa" w:w="9865"/>
        <w:tblLayout w:type="autofit"/>
        <w:tblLook w:firstColumn="1" w:firstRow="1" w:lastColumn="0" w:lastRow="0" w:noHBand="0" w:noVBand="1" w:val="04A0"/>
        <w:jc w:val="center"/>
        <w:tblInd w:w="120" w:type="dxa"/>
      </w:tblPr>
      <w:tblGrid>
        <w:gridCol w:w="936"/>
        <w:gridCol w:w="8929"/>
      </w:tblGrid>
      <w:tr>
        <w:trPr>
          <w:tblHeader w:val="true"/>
          <w:cantSplit/>
          <w:tblHeader w:val="true"/>
          <w:tblHeader w:val="true"/>
          <w:cantSplit/>
        </w:trPr>
        <w:tc>
          <w:tcPr>
            <w:tcW w:type="dxa" w:w="936"/>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w:t>
            </w:r>
          </w:p>
        </w:tc>
        <w:tc>
          <w:tcPr>
            <w:tcW w:type="dxa" w:w="8929"/>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確認項目</w:t>
            </w:r>
          </w:p>
        </w:tc>
      </w:tr>
      <w:tr>
        <w:trPr>
          <w:cantSplit/>
          <w:cantSplit/>
        </w:trPr>
        <w:tc>
          <w:tcPr>
            <w:tcW w:type="dxa" w:w="93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8929"/>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争点ごとに、認定事実・証拠・反対事情・適用法令を対応付けた</w:t>
            </w:r>
          </w:p>
        </w:tc>
      </w:tr>
      <w:tr>
        <w:trPr>
          <w:cantSplit/>
          <w:cantSplit/>
        </w:trPr>
        <w:tc>
          <w:tcPr>
            <w:tcW w:type="dxa" w:w="93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8929"/>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非違の内容、金額、理由、計算を相手方が理解できる言葉で説明した</w:t>
            </w:r>
          </w:p>
        </w:tc>
      </w:tr>
      <w:tr>
        <w:trPr>
          <w:cantSplit/>
          <w:cantSplit/>
        </w:trPr>
        <w:tc>
          <w:tcPr>
            <w:tcW w:type="dxa" w:w="93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8929"/>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追加資料と主張反証を検討し、採否と判断への影響を記録した</w:t>
            </w:r>
          </w:p>
        </w:tc>
      </w:tr>
      <w:tr>
        <w:trPr>
          <w:cantSplit/>
          <w:cantSplit/>
        </w:trPr>
        <w:tc>
          <w:tcPr>
            <w:tcW w:type="dxa" w:w="93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8929"/>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修正申告等を勧奨した場合は、法的効果を教示し書面を交付した</w:t>
            </w:r>
          </w:p>
        </w:tc>
      </w:tr>
      <w:tr>
        <w:trPr>
          <w:cantSplit/>
          <w:cantSplit/>
        </w:trPr>
        <w:tc>
          <w:tcPr>
            <w:tcW w:type="dxa" w:w="93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8929"/>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終了処理、通知・書面の送付又は交付、残務を記録した</w:t>
            </w:r>
          </w:p>
        </w:tc>
      </w:tr>
    </w:tbl>
    <w:p>
      <w:pPr>
        <w:widowControl/>
        <w:spacing w:after="80" w:line="283" w:lineRule="auto"/>
      </w:pPr>
    </w:p>
    <w:p>
      <w:pPr>
        <w:pStyle w:val="Heading1"/>
        <w:pageBreakBefore/>
        <w:widowControl/>
        <w:pBdr>
          <w:bottom w:val="single" w:sz="10" w:space="6" w:color="183B63"/>
        </w:pBdr>
        <w:pageBreakBefore/>
        <w:keepNext/>
        <w:pBdr>
          <w:bottom w:val="single" w:sz="16" w:space="4" w:color="2F5597"/>
        </w:pBdr>
        <w:spacing w:before="160" w:after="140"/>
      </w:pPr>
      <w:r>
        <w:rPr>
          <w:rFonts w:ascii="BIZ UDPゴシック" w:hAnsi="BIZ UDPゴシック" w:eastAsia="BIZ UDPゴシック" w:cs="Yu Gothic"/>
          <w:b/>
          <w:color w:val="17365D"/>
          <w:sz w:val="36"/>
        </w:rPr>
        <w:t>6　加算税</w:t>
      </w:r>
    </w:p>
    <w:p>
      <w:pPr>
        <w:pStyle w:val="Lead"/>
        <w:keepLines/>
        <w:spacing w:after="140" w:before="20" w:line="300" w:lineRule="auto"/>
        <w:ind w:left="227" w:right="227"/>
        <w:shd w:fill="EAF0F7"/>
        <w:widowControl/>
        <w:pBdr>
          <w:left w:val="single" w:sz="22" w:space="8" w:color="2F5597"/>
        </w:pBdr>
      </w:pPr>
      <w:r>
        <w:rPr>
          <w:rFonts w:ascii="BIZ UDPゴシック" w:hAnsi="BIZ UDPゴシック" w:eastAsia="BIZ UDPゴシック"/>
          <w:b/>
          <w:color w:val="222222"/>
          <w:sz w:val="22"/>
        </w:rPr>
        <w:t>加算税の税率は、申告の区分だけでは決まりません。修正申告等が「調査通知の前か後か」「更正又は決定を予知した後か」によって変わります。まず時点を確定し、その後で税率と加重要件を判定します。</w:t>
      </w:r>
    </w:p>
    <w:p>
      <w:pPr>
        <w:pStyle w:val="LegalBasis"/>
        <w:spacing w:before="20" w:after="120" w:line="252" w:lineRule="auto"/>
        <w:ind w:left="227" w:right="227"/>
        <w:shd w:val="clear" w:color="auto" w:fill="FBEEEE"/>
        <w:widowControl/>
        <w:pBdr>
          <w:left w:val="single" w:sz="18" w:space="4" w:color="8C2D2D"/>
        </w:pBdr>
      </w:pPr>
      <w:r>
        <w:rPr>
          <w:rFonts w:ascii="BIZ UDPゴシック" w:hAnsi="BIZ UDPゴシック" w:eastAsia="BIZ UDPゴシック" w:cs="Yu Gothic"/>
          <w:b w:val="0"/>
          <w:color w:val="8C2F39"/>
          <w:sz w:val="19"/>
        </w:rPr>
        <w:t xml:space="preserve">主な根拠　</w:t>
      </w:r>
      <w:r>
        <w:rPr>
          <w:rFonts w:ascii="BIZ UDPゴシック" w:hAnsi="BIZ UDPゴシック" w:eastAsia="BIZ UDPゴシック" w:cs="Yu Gothic"/>
          <w:b w:val="0"/>
          <w:color w:val="8C2F39"/>
          <w:sz w:val="19"/>
        </w:rPr>
        <w:t>国税通則法65条～69条／国税庁『加算税制度について』</w:t>
      </w:r>
    </w:p>
    <w:p>
      <w:pPr>
        <w:pStyle w:val="Heading2"/>
        <w:keepNext/>
        <w:widowControl/>
        <w:spacing w:before="140" w:after="80"/>
      </w:pPr>
      <w:r>
        <w:rPr>
          <w:rFonts w:ascii="BIZ UDPゴシック" w:hAnsi="BIZ UDPゴシック" w:eastAsia="BIZ UDPゴシック" w:cs="Yu Gothic"/>
          <w:b/>
          <w:color w:val="1F4E78"/>
          <w:sz w:val="27"/>
        </w:rPr>
        <w:t>加算税の全体像</w:t>
      </w:r>
    </w:p>
    <w:tbl>
      <w:tblPr>
        <w:tblW w:type="dxa" w:w="9865"/>
        <w:tblLayout w:type="autofit"/>
        <w:tblLook w:firstColumn="1" w:firstRow="1" w:lastColumn="0" w:lastRow="0" w:noHBand="0" w:noVBand="1" w:val="04A0"/>
        <w:jc w:val="center"/>
        <w:tblInd w:w="120" w:type="dxa"/>
      </w:tblPr>
      <w:tblGrid>
        <w:gridCol w:w="2160"/>
        <w:gridCol w:w="3816"/>
        <w:gridCol w:w="3889"/>
      </w:tblGrid>
      <w:tr>
        <w:trPr>
          <w:tblHeader w:val="true"/>
          <w:cantSplit/>
          <w:tblHeader w:val="true"/>
          <w:tblHeader w:val="true"/>
          <w:cantSplit/>
        </w:trPr>
        <w:tc>
          <w:tcPr>
            <w:tcW w:type="dxa" w:w="2160"/>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種類</w:t>
            </w:r>
          </w:p>
        </w:tc>
        <w:tc>
          <w:tcPr>
            <w:tcW w:type="dxa" w:w="3816"/>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主な場面</w:t>
            </w:r>
          </w:p>
        </w:tc>
        <w:tc>
          <w:tcPr>
            <w:tcW w:type="dxa" w:w="3889"/>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基本税率の考え方</w:t>
            </w:r>
          </w:p>
        </w:tc>
      </w:tr>
      <w:tr>
        <w:trPr>
          <w:cantSplit/>
          <w:cantSplit/>
        </w:trPr>
        <w:tc>
          <w:tcPr>
            <w:tcW w:type="dxa" w:w="2160"/>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過少申告加算税</w:t>
            </w:r>
          </w:p>
        </w:tc>
        <w:tc>
          <w:tcPr>
            <w:tcW w:type="dxa" w:w="381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期限内申告はあるが、本税が過少</w:t>
            </w:r>
          </w:p>
        </w:tc>
        <w:tc>
          <w:tcPr>
            <w:tcW w:type="dxa" w:w="3889"/>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原則10％。期限内申告税額又は50万円の多い方を超える部分は15％</w:t>
            </w:r>
          </w:p>
        </w:tc>
      </w:tr>
      <w:tr>
        <w:trPr>
          <w:cantSplit/>
          <w:cantSplit/>
        </w:trPr>
        <w:tc>
          <w:tcPr>
            <w:tcW w:type="dxa" w:w="2160"/>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無申告加算税</w:t>
            </w:r>
          </w:p>
        </w:tc>
        <w:tc>
          <w:tcPr>
            <w:tcW w:type="dxa" w:w="381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期限内申告がない</w:t>
            </w:r>
          </w:p>
        </w:tc>
        <w:tc>
          <w:tcPr>
            <w:tcW w:type="dxa" w:w="3889"/>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原則15％／20％／30％の三段階。税額帯と時点で判定</w:t>
            </w:r>
          </w:p>
        </w:tc>
      </w:tr>
      <w:tr>
        <w:trPr>
          <w:cantSplit/>
          <w:cantSplit/>
        </w:trPr>
        <w:tc>
          <w:tcPr>
            <w:tcW w:type="dxa" w:w="2160"/>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重加算税</w:t>
            </w:r>
          </w:p>
        </w:tc>
        <w:tc>
          <w:tcPr>
            <w:tcW w:type="dxa" w:w="381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仮装・隠蔽に基づく過少申告又は無申告</w:t>
            </w:r>
          </w:p>
        </w:tc>
        <w:tc>
          <w:tcPr>
            <w:tcW w:type="dxa" w:w="3889"/>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過少申告に代えて35％、無申告に代えて40％</w:t>
            </w:r>
          </w:p>
        </w:tc>
      </w:tr>
    </w:tbl>
    <w:p>
      <w:pPr>
        <w:widowControl/>
        <w:spacing w:after="80" w:line="283" w:lineRule="auto"/>
      </w:pPr>
    </w:p>
    <w:p>
      <w:pPr>
        <w:pStyle w:val="Heading2"/>
        <w:keepNext/>
        <w:widowControl/>
        <w:spacing w:before="140" w:after="80"/>
      </w:pPr>
      <w:r>
        <w:rPr>
          <w:rFonts w:ascii="BIZ UDPゴシック" w:hAnsi="BIZ UDPゴシック" w:eastAsia="BIZ UDPゴシック" w:cs="Yu Gothic"/>
          <w:b/>
          <w:color w:val="1F4E78"/>
          <w:sz w:val="27"/>
        </w:rPr>
        <w:t>時点別の税率判定</w:t>
      </w:r>
    </w:p>
    <w:tbl>
      <w:tblPr>
        <w:tblW w:type="dxa" w:w="9865"/>
        <w:tblLayout w:type="autofit"/>
        <w:tblLook w:firstColumn="1" w:firstRow="1" w:lastColumn="0" w:lastRow="0" w:noHBand="0" w:noVBand="1" w:val="04A0"/>
        <w:jc w:val="center"/>
        <w:tblInd w:w="120" w:type="dxa"/>
      </w:tblPr>
      <w:tblGrid>
        <w:gridCol w:w="3744"/>
        <w:gridCol w:w="2736"/>
        <w:gridCol w:w="3385"/>
      </w:tblGrid>
      <w:tr>
        <w:trPr>
          <w:tblHeader w:val="true"/>
          <w:cantSplit/>
          <w:tblHeader w:val="true"/>
          <w:tblHeader w:val="true"/>
          <w:cantSplit/>
        </w:trPr>
        <w:tc>
          <w:tcPr>
            <w:tcW w:type="dxa" w:w="3744"/>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修正・期限後申告等の時点</w:t>
            </w:r>
          </w:p>
        </w:tc>
        <w:tc>
          <w:tcPr>
            <w:tcW w:type="dxa" w:w="2736"/>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過少申告加算税</w:t>
            </w:r>
          </w:p>
        </w:tc>
        <w:tc>
          <w:tcPr>
            <w:tcW w:type="dxa" w:w="3385"/>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無申告加算税</w:t>
            </w:r>
          </w:p>
        </w:tc>
      </w:tr>
      <w:tr>
        <w:trPr>
          <w:cantSplit/>
          <w:cantSplit/>
        </w:trPr>
        <w:tc>
          <w:tcPr>
            <w:tcW w:type="dxa" w:w="374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調査通知前・予知前</w:t>
            </w:r>
          </w:p>
        </w:tc>
        <w:tc>
          <w:tcPr>
            <w:tcW w:type="dxa" w:w="273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0％</w:t>
            </w:r>
          </w:p>
        </w:tc>
        <w:tc>
          <w:tcPr>
            <w:tcW w:type="dxa" w:w="3385"/>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原則5％（一定の期限後申告は不適用）</w:t>
            </w:r>
          </w:p>
        </w:tc>
      </w:tr>
      <w:tr>
        <w:trPr>
          <w:cantSplit/>
          <w:cantSplit/>
        </w:trPr>
        <w:tc>
          <w:tcPr>
            <w:tcW w:type="dxa" w:w="3744"/>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調査通知後・予知前</w:t>
            </w:r>
          </w:p>
        </w:tc>
        <w:tc>
          <w:tcPr>
            <w:tcW w:type="dxa" w:w="273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5％／10％※1</w:t>
            </w:r>
          </w:p>
        </w:tc>
        <w:tc>
          <w:tcPr>
            <w:tcW w:type="dxa" w:w="3385"/>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10％／15％／25％※2</w:t>
            </w:r>
          </w:p>
        </w:tc>
      </w:tr>
      <w:tr>
        <w:trPr>
          <w:cantSplit/>
          <w:cantSplit/>
        </w:trPr>
        <w:tc>
          <w:tcPr>
            <w:tcW w:type="dxa" w:w="374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更正・決定の予知後</w:t>
            </w:r>
          </w:p>
        </w:tc>
        <w:tc>
          <w:tcPr>
            <w:tcW w:type="dxa" w:w="273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10％／15％※1</w:t>
            </w:r>
          </w:p>
        </w:tc>
        <w:tc>
          <w:tcPr>
            <w:tcW w:type="dxa" w:w="3385"/>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15％／20％／30％※2</w:t>
            </w:r>
          </w:p>
        </w:tc>
      </w:tr>
    </w:tbl>
    <w:p>
      <w:pPr>
        <w:widowControl/>
        <w:spacing w:after="80" w:line="283" w:lineRule="auto"/>
      </w:pPr>
    </w:p>
    <w:p>
      <w:pPr>
        <w:pStyle w:val="Small"/>
        <w:widowControl/>
        <w:spacing w:line="283" w:lineRule="auto" w:after="80"/>
      </w:pPr>
      <w:r>
        <w:rPr>
          <w:rFonts w:ascii="BIZ UDPゴシック" w:hAnsi="BIZ UDPゴシック" w:eastAsia="BIZ UDPゴシック" w:cs="Yu Gothic"/>
          <w:b w:val="0"/>
          <w:color w:val="222222"/>
          <w:sz w:val="21"/>
        </w:rPr>
        <w:t>※1　増差税額のうち、期限内申告税額又は50万円のいずれか多い額を超える部分に右側の税率を適用する。</w:t>
      </w:r>
    </w:p>
    <w:p>
      <w:pPr>
        <w:pStyle w:val="Small"/>
        <w:widowControl/>
        <w:spacing w:line="283" w:lineRule="auto" w:after="80"/>
      </w:pPr>
      <w:r>
        <w:rPr>
          <w:rFonts w:ascii="BIZ UDPゴシック" w:hAnsi="BIZ UDPゴシック" w:eastAsia="BIZ UDPゴシック" w:cs="Yu Gothic"/>
          <w:b w:val="0"/>
          <w:color w:val="222222"/>
          <w:sz w:val="21"/>
        </w:rPr>
        <w:t>※2　無申告加算税は、増差本税が50万円以下の部分／50万円超300万円以下の部分／300万円超の部分の順。300万円超の区分は、原則として令和6年1月1日以後に法定申告期限が到来する国税に適用する。</w:t>
      </w:r>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FBEEEE"/>
              <w:start w:val="single" w:sz="24" w:space="0" w:color="8C2D2D"/>
              <w:left w:val="single" w:sz="5" w:color="C9D2DF"/>
              <w:right w:val="single" w:sz="5" w:color="C9D2DF"/>
            </w:tcBorders>
          </w:tcPr>
          <w:p>
            <w:pPr>
              <w:pStyle w:val="CalloutLabel"/>
              <w:spacing w:after="0" w:before="0" w:line="259" w:lineRule="auto"/>
              <w:jc w:val="center"/>
            </w:pPr>
            <w:r>
              <w:rPr>
                <w:rFonts w:ascii="BIZ UDPゴシック" w:hAnsi="BIZ UDPゴシック" w:eastAsia="BIZ UDPゴシック"/>
                <w:b/>
                <w:color w:val="17365D"/>
                <w:sz w:val="20"/>
              </w:rPr>
            </w:r>
            <w:r>
              <w:rPr>
                <w:rFonts w:ascii="BIZ UDPゴシック" w:hAnsi="BIZ UDPゴシック" w:eastAsia="BIZ UDPゴシック" w:cs="Yu Gothic"/>
                <w:b/>
                <w:color w:val="17365D"/>
                <w:sz w:val="20"/>
              </w:rPr>
              <w:t>自主的な期限後申告の特例</w:t>
            </w:r>
          </w:p>
          <w:p>
            <w:pPr>
              <w:pStyle w:val="CalloutBody"/>
              <w:spacing w:after="0" w:before="0" w:line="259" w:lineRule="auto"/>
              <w:jc w:val="center"/>
            </w:pPr>
            <w:r>
              <w:rPr>
                <w:rFonts w:ascii="BIZ UDPゴシック" w:hAnsi="BIZ UDPゴシック" w:eastAsia="BIZ UDPゴシック" w:cs="Yu Gothic"/>
                <w:b w:val="0"/>
                <w:color w:val="222222"/>
                <w:sz w:val="20"/>
              </w:rPr>
              <w:t>調査通知前かつ更正・決定を予知する前の期限後申告でも、通常は無申告加算税5％である。例外的に、法定申告期限から1月以内の申告など国税通則法66条9項の全要件を満たす場合に限り不適用となる。</w:t>
            </w:r>
          </w:p>
        </w:tc>
      </w:tr>
    </w:tbl>
    <w:p>
      <w:pPr>
        <w:widowControl/>
        <w:spacing w:after="80" w:line="283" w:lineRule="auto"/>
      </w:pPr>
    </w:p>
    <w:p>
      <w:pPr>
        <w:pStyle w:val="Heading2"/>
        <w:keepNext/>
        <w:widowControl/>
        <w:spacing w:before="140" w:after="80"/>
      </w:pPr>
      <w:r>
        <w:rPr>
          <w:rFonts w:ascii="BIZ UDPゴシック" w:hAnsi="BIZ UDPゴシック" w:eastAsia="BIZ UDPゴシック" w:cs="Yu Gothic"/>
          <w:b/>
          <w:color w:val="1F4E78"/>
          <w:sz w:val="27"/>
        </w:rPr>
        <w:t>重加算税の判定</w:t>
      </w:r>
    </w:p>
    <w:p>
      <w:pPr>
        <w:keepLines/>
        <w:widowControl/>
        <w:spacing w:line="283" w:lineRule="auto" w:after="80"/>
      </w:pPr>
      <w:r>
        <w:rPr>
          <w:rFonts w:ascii="BIZ UDPゴシック" w:hAnsi="BIZ UDPゴシック" w:eastAsia="BIZ UDPゴシック"/>
          <w:b w:val="0"/>
          <w:color w:val="222222"/>
          <w:sz w:val="21"/>
        </w:rPr>
        <w:t>重加算税は、単なる申告漏れや評価誤りだけで課されるものではありません。課税標準等又は税額等の計算の基礎となる事実について、隠蔽又は仮装があったことを、具体的な証拠によって認定する必要があります。誰が、いつ、どのような方法で、何を目的として行い、その行為が申告にどう影響したのかを、事実ごとに整理します。</w:t>
      </w:r>
    </w:p>
    <w:tbl>
      <w:tblPr>
        <w:tblW w:type="dxa" w:w="9865"/>
        <w:tblLayout w:type="autofit"/>
        <w:tblLook w:firstColumn="1" w:firstRow="1" w:lastColumn="0" w:lastRow="0" w:noHBand="0" w:noVBand="1" w:val="04A0"/>
        <w:jc w:val="center"/>
        <w:tblInd w:w="120" w:type="dxa"/>
      </w:tblPr>
      <w:tblGrid>
        <w:gridCol w:w="1944"/>
        <w:gridCol w:w="7921"/>
      </w:tblGrid>
      <w:tr>
        <w:trPr>
          <w:tblHeader w:val="true"/>
          <w:cantSplit/>
          <w:tblHeader w:val="true"/>
          <w:tblHeader w:val="true"/>
          <w:cantSplit/>
        </w:trPr>
        <w:tc>
          <w:tcPr>
            <w:tcW w:type="dxa" w:w="1944"/>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確認軸</w:t>
            </w:r>
          </w:p>
        </w:tc>
        <w:tc>
          <w:tcPr>
            <w:tcW w:type="dxa" w:w="7921"/>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spacing w:before="0" w:after="0" w:line="259" w:lineRule="auto"/>
            </w:pPr>
            <w:r>
              <w:rPr>
                <w:rFonts w:ascii="BIZ UDPゴシック" w:hAnsi="BIZ UDPゴシック" w:eastAsia="BIZ UDPゴシック"/>
                <w:b/>
                <w:color w:val="FFFFFF"/>
                <w:sz w:val="20"/>
              </w:rPr>
              <w:t>確認する事実</w:t>
            </w:r>
          </w:p>
        </w:tc>
      </w:tr>
      <w:tr>
        <w:trPr>
          <w:cantSplit/>
          <w:cantSplit/>
        </w:trPr>
        <w:tc>
          <w:tcPr>
            <w:tcW w:type="dxa" w:w="194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行為</w:t>
            </w:r>
          </w:p>
        </w:tc>
        <w:tc>
          <w:tcPr>
            <w:tcW w:type="dxa" w:w="7921"/>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どの財産・取引について、何を隠し又は偽装したか</w:t>
            </w:r>
          </w:p>
        </w:tc>
      </w:tr>
      <w:tr>
        <w:trPr>
          <w:cantSplit/>
          <w:cantSplit/>
        </w:trPr>
        <w:tc>
          <w:tcPr>
            <w:tcW w:type="dxa" w:w="1944"/>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主体</w:t>
            </w:r>
          </w:p>
        </w:tc>
        <w:tc>
          <w:tcPr>
            <w:tcW w:type="dxa" w:w="7921"/>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誰が行ったか。納税義務者との関係・認識はどうか</w:t>
            </w:r>
          </w:p>
        </w:tc>
      </w:tr>
      <w:tr>
        <w:trPr>
          <w:cantSplit/>
          <w:cantSplit/>
        </w:trPr>
        <w:tc>
          <w:tcPr>
            <w:tcW w:type="dxa" w:w="194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時期</w:t>
            </w:r>
          </w:p>
        </w:tc>
        <w:tc>
          <w:tcPr>
            <w:tcW w:type="dxa" w:w="7921"/>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相続開始前後、申告前後のいつ行われたか</w:t>
            </w:r>
          </w:p>
        </w:tc>
      </w:tr>
      <w:tr>
        <w:trPr>
          <w:cantSplit/>
          <w:cantSplit/>
        </w:trPr>
        <w:tc>
          <w:tcPr>
            <w:tcW w:type="dxa" w:w="1944"/>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証拠</w:t>
            </w:r>
          </w:p>
        </w:tc>
        <w:tc>
          <w:tcPr>
            <w:tcW w:type="dxa" w:w="7921"/>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帳簿、口座、文書、データ、供述がどのように裏付け合うか</w:t>
            </w:r>
          </w:p>
        </w:tc>
      </w:tr>
      <w:tr>
        <w:trPr>
          <w:cantSplit/>
          <w:cantSplit/>
        </w:trPr>
        <w:tc>
          <w:tcPr>
            <w:tcW w:type="dxa" w:w="194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因果関係</w:t>
            </w:r>
          </w:p>
        </w:tc>
        <w:tc>
          <w:tcPr>
            <w:tcW w:type="dxa" w:w="7921"/>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その行為に基づいて過少申告又は無申告となったか</w:t>
            </w:r>
          </w:p>
        </w:tc>
      </w:tr>
    </w:tbl>
    <w:p>
      <w:pPr>
        <w:widowControl/>
        <w:spacing w:after="80" w:line="283" w:lineRule="auto"/>
      </w:pPr>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FBF4E4"/>
              <w:start w:val="single" w:sz="24" w:space="0" w:color="9A6B16"/>
              <w:left w:val="single" w:sz="5" w:color="C9D2DF"/>
              <w:right w:val="single" w:sz="5" w:color="C9D2DF"/>
            </w:tcBorders>
          </w:tcPr>
          <w:p>
            <w:pPr>
              <w:pStyle w:val="CalloutLabel"/>
              <w:spacing w:after="0" w:before="0" w:line="259" w:lineRule="auto"/>
              <w:jc w:val="center"/>
            </w:pPr>
            <w:r>
              <w:rPr>
                <w:rFonts w:ascii="BIZ UDPゴシック" w:hAnsi="BIZ UDPゴシック" w:eastAsia="BIZ UDPゴシック"/>
                <w:b/>
                <w:color w:val="17365D"/>
                <w:sz w:val="20"/>
              </w:rPr>
            </w:r>
            <w:r>
              <w:rPr>
                <w:rFonts w:ascii="BIZ UDPゴシック" w:hAnsi="BIZ UDPゴシック" w:eastAsia="BIZ UDPゴシック" w:cs="Yu Gothic"/>
                <w:b/>
                <w:color w:val="17365D"/>
                <w:sz w:val="20"/>
              </w:rPr>
              <w:t>加重措置</w:t>
            </w:r>
          </w:p>
          <w:p>
            <w:pPr>
              <w:pStyle w:val="CalloutBody"/>
              <w:spacing w:after="0" w:before="0" w:line="259" w:lineRule="auto"/>
              <w:jc w:val="center"/>
            </w:pPr>
            <w:r>
              <w:rPr>
                <w:rFonts w:ascii="BIZ UDPゴシック" w:hAnsi="BIZ UDPゴシック" w:eastAsia="BIZ UDPゴシック" w:cs="Yu Gothic"/>
                <w:b w:val="0"/>
                <w:color w:val="222222"/>
                <w:sz w:val="20"/>
              </w:rPr>
              <w:t>過去5年以内の同一税目の無申告加算税・重加算税の賦課状況や、前年度・前々年度から続く無申告などにより10％加重される場合がある。国税通則法66条6項、68条4項等の適用要件を別途確認する。</w:t>
            </w:r>
          </w:p>
        </w:tc>
      </w:tr>
    </w:tbl>
    <w:p>
      <w:pPr>
        <w:widowControl/>
        <w:spacing w:after="80" w:line="283" w:lineRule="auto"/>
      </w:pPr>
    </w:p>
    <w:p>
      <w:pPr>
        <w:pStyle w:val="Heading2"/>
        <w:keepNext/>
        <w:widowControl/>
        <w:spacing w:before="140" w:after="80"/>
      </w:pPr>
      <w:r>
        <w:rPr>
          <w:rFonts w:ascii="BIZ UDPゴシック" w:hAnsi="BIZ UDPゴシック" w:eastAsia="BIZ UDPゴシック" w:cs="Yu Gothic"/>
          <w:b/>
          <w:color w:val="1F4E78"/>
          <w:sz w:val="27"/>
        </w:rPr>
        <w:t>加算税判定の順序</w:t>
      </w:r>
    </w:p>
    <w:tbl>
      <w:tblPr>
        <w:tblW w:type="dxa" w:w="9865"/>
        <w:tblLayout w:type="autofit"/>
        <w:tblLook w:firstColumn="1" w:firstRow="1" w:lastColumn="0" w:lastRow="0" w:noHBand="0" w:noVBand="1" w:val="04A0"/>
        <w:jc w:val="center"/>
        <w:tblInd w:w="120" w:type="dxa"/>
      </w:tblPr>
      <w:tblGrid>
        <w:gridCol w:w="1008"/>
        <w:gridCol w:w="8857"/>
      </w:tblGrid>
      <w:tr>
        <w:trPr>
          <w:tblHeader w:val="true"/>
          <w:cantSplit/>
          <w:tblHeader w:val="true"/>
          <w:tblHeader w:val="true"/>
          <w:cantSplit/>
        </w:trPr>
        <w:tc>
          <w:tcPr>
            <w:tcW w:type="dxa" w:w="1008"/>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cs="Yu Gothic"/>
                <w:b/>
                <w:color w:val="FFFFFF"/>
                <w:sz w:val="20"/>
              </w:rPr>
            </w:r>
            <w:r>
              <w:rPr>
                <w:rFonts w:ascii="BIZ UDPゴシック" w:hAnsi="BIZ UDPゴシック" w:eastAsia="BIZ UDPゴシック" w:cs="Yu Gothic"/>
                <w:b/>
                <w:color w:val="FFFFFF"/>
                <w:sz w:val="20"/>
              </w:rPr>
              <w:t>手順</w:t>
            </w:r>
          </w:p>
        </w:tc>
        <w:tc>
          <w:tcPr>
            <w:tcW w:type="dxa" w:w="8857"/>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判定内容</w:t>
            </w:r>
          </w:p>
        </w:tc>
      </w:tr>
      <w:tr>
        <w:trPr>
          <w:cantSplit/>
          <w:cantSplit/>
        </w:trPr>
        <w:tc>
          <w:tcPr>
            <w:tcW w:type="dxa" w:w="1008"/>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cs="Yu Gothic"/>
                <w:b w:val="0"/>
                <w:color w:val="222222"/>
                <w:sz w:val="20"/>
              </w:rPr>
            </w:r>
            <w:r>
              <w:rPr>
                <w:rFonts w:ascii="BIZ UDPゴシック" w:hAnsi="BIZ UDPゴシック" w:eastAsia="BIZ UDPゴシック" w:cs="Yu Gothic"/>
                <w:b w:val="0"/>
                <w:color w:val="222222"/>
                <w:sz w:val="20"/>
              </w:rPr>
              <w:t>1</w:t>
            </w:r>
          </w:p>
        </w:tc>
        <w:tc>
          <w:tcPr>
            <w:tcW w:type="dxa" w:w="885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期限内申告の有無から、過少申告・無申告の区分を定める</w:t>
            </w:r>
          </w:p>
        </w:tc>
      </w:tr>
      <w:tr>
        <w:trPr>
          <w:cantSplit/>
          <w:cantSplit/>
        </w:trPr>
        <w:tc>
          <w:tcPr>
            <w:tcW w:type="dxa" w:w="1008"/>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cs="Yu Gothic"/>
                <w:b w:val="0"/>
                <w:color w:val="222222"/>
                <w:sz w:val="20"/>
              </w:rPr>
            </w:r>
            <w:r>
              <w:rPr>
                <w:rFonts w:ascii="BIZ UDPゴシック" w:hAnsi="BIZ UDPゴシック" w:eastAsia="BIZ UDPゴシック" w:cs="Yu Gothic"/>
                <w:b w:val="0"/>
                <w:color w:val="222222"/>
                <w:sz w:val="20"/>
              </w:rPr>
              <w:t>2</w:t>
            </w:r>
          </w:p>
        </w:tc>
        <w:tc>
          <w:tcPr>
            <w:tcW w:type="dxa" w:w="885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調査通知の日時と、修正申告・期限後申告等の日時を確定する</w:t>
            </w:r>
          </w:p>
        </w:tc>
      </w:tr>
      <w:tr>
        <w:trPr>
          <w:cantSplit/>
          <w:cantSplit/>
        </w:trPr>
        <w:tc>
          <w:tcPr>
            <w:tcW w:type="dxa" w:w="1008"/>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cs="Yu Gothic"/>
                <w:b w:val="0"/>
                <w:color w:val="222222"/>
                <w:sz w:val="20"/>
              </w:rPr>
            </w:r>
            <w:r>
              <w:rPr>
                <w:rFonts w:ascii="BIZ UDPゴシック" w:hAnsi="BIZ UDPゴシック" w:eastAsia="BIZ UDPゴシック" w:cs="Yu Gothic"/>
                <w:b w:val="0"/>
                <w:color w:val="222222"/>
                <w:sz w:val="20"/>
              </w:rPr>
              <w:t>3</w:t>
            </w:r>
          </w:p>
        </w:tc>
        <w:tc>
          <w:tcPr>
            <w:tcW w:type="dxa" w:w="885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更正・決定の予知の有無と、その時点を証拠から判定する</w:t>
            </w:r>
          </w:p>
        </w:tc>
      </w:tr>
      <w:tr>
        <w:trPr>
          <w:cantSplit/>
          <w:cantSplit/>
        </w:trPr>
        <w:tc>
          <w:tcPr>
            <w:tcW w:type="dxa" w:w="1008"/>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4</w:t>
            </w:r>
          </w:p>
        </w:tc>
        <w:tc>
          <w:tcPr>
            <w:tcW w:type="dxa" w:w="885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本税を税額帯に区分し、基本税率を適用する</w:t>
            </w:r>
          </w:p>
        </w:tc>
      </w:tr>
      <w:tr>
        <w:trPr>
          <w:cantSplit/>
          <w:cantSplit/>
        </w:trPr>
        <w:tc>
          <w:tcPr>
            <w:tcW w:type="dxa" w:w="1008"/>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5</w:t>
            </w:r>
          </w:p>
        </w:tc>
        <w:tc>
          <w:tcPr>
            <w:tcW w:type="dxa" w:w="885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隠蔽・仮装、過去の賦課、連年無申告等の加重・代替要件を確認する</w:t>
            </w:r>
          </w:p>
        </w:tc>
      </w:tr>
    </w:tbl>
    <w:p>
      <w:pPr>
        <w:widowControl/>
        <w:spacing w:after="80" w:line="283" w:lineRule="auto"/>
      </w:pPr>
    </w:p>
    <w:p>
      <w:pPr>
        <w:pStyle w:val="Heading1"/>
        <w:pageBreakBefore/>
        <w:widowControl/>
        <w:pBdr>
          <w:bottom w:val="single" w:sz="10" w:space="6" w:color="183B63"/>
        </w:pBdr>
        <w:pageBreakBefore/>
        <w:keepNext/>
        <w:pBdr>
          <w:bottom w:val="single" w:sz="16" w:space="4" w:color="2F5597"/>
        </w:pBdr>
        <w:spacing w:before="160" w:after="140"/>
      </w:pPr>
      <w:r>
        <w:rPr>
          <w:rFonts w:ascii="BIZ UDPゴシック" w:hAnsi="BIZ UDPゴシック" w:eastAsia="BIZ UDPゴシック" w:cs="Yu Gothic"/>
          <w:b/>
          <w:color w:val="17365D"/>
          <w:sz w:val="36"/>
        </w:rPr>
        <w:t>7　延滞税</w:t>
      </w:r>
    </w:p>
    <w:p>
      <w:pPr>
        <w:pStyle w:val="Lead"/>
        <w:keepLines/>
        <w:spacing w:after="140" w:before="20" w:line="300" w:lineRule="auto"/>
        <w:ind w:left="227" w:right="227"/>
        <w:shd w:fill="EAF0F7"/>
        <w:widowControl/>
        <w:pBdr>
          <w:left w:val="single" w:sz="22" w:space="8" w:color="2F5597"/>
        </w:pBdr>
      </w:pPr>
      <w:r>
        <w:rPr>
          <w:rFonts w:ascii="BIZ UDPゴシック" w:hAnsi="BIZ UDPゴシック" w:eastAsia="BIZ UDPゴシック"/>
          <w:b/>
          <w:color w:val="222222"/>
          <w:sz w:val="22"/>
        </w:rPr>
        <w:t>延滞税は、法定納期限後の納付について、経過日数に応じて課されます。計算では、いつから日数を数えるのか、また、低い割合から高い割合へいつ切り替わるのかを分けて確認します。</w:t>
      </w:r>
    </w:p>
    <w:p>
      <w:pPr>
        <w:pStyle w:val="LegalBasis"/>
        <w:spacing w:before="20" w:after="120" w:line="252" w:lineRule="auto"/>
        <w:ind w:left="227" w:right="227"/>
        <w:shd w:val="clear" w:color="auto" w:fill="FBEEEE"/>
        <w:widowControl/>
        <w:pBdr>
          <w:left w:val="single" w:sz="18" w:space="4" w:color="8C2D2D"/>
        </w:pBdr>
      </w:pPr>
      <w:r>
        <w:rPr>
          <w:rFonts w:ascii="BIZ UDPゴシック" w:hAnsi="BIZ UDPゴシック" w:eastAsia="BIZ UDPゴシック" w:cs="Yu Gothic"/>
          <w:b w:val="0"/>
          <w:color w:val="8C2F39"/>
          <w:sz w:val="19"/>
        </w:rPr>
        <w:t xml:space="preserve">主な根拠　</w:t>
      </w:r>
      <w:r>
        <w:rPr>
          <w:rFonts w:ascii="BIZ UDPゴシック" w:hAnsi="BIZ UDPゴシック" w:eastAsia="BIZ UDPゴシック" w:cs="Yu Gothic"/>
          <w:b w:val="0"/>
          <w:color w:val="8C2F39"/>
          <w:sz w:val="19"/>
        </w:rPr>
        <w:t>国税通則法60条・61条／租税特別措置法94条／国税庁『延滞税の割合』</w:t>
      </w:r>
    </w:p>
    <w:p>
      <w:pPr>
        <w:pStyle w:val="Heading2"/>
        <w:keepNext/>
        <w:widowControl/>
        <w:spacing w:before="140" w:after="80"/>
      </w:pPr>
      <w:r>
        <w:rPr>
          <w:rFonts w:ascii="BIZ UDPゴシック" w:hAnsi="BIZ UDPゴシック" w:eastAsia="BIZ UDPゴシック" w:cs="Yu Gothic"/>
          <w:b/>
          <w:color w:val="1F4E78"/>
          <w:sz w:val="27"/>
        </w:rPr>
        <w:t>計算の基本</w:t>
      </w:r>
    </w:p>
    <w:p>
      <w:pPr>
        <w:keepLines/>
        <w:widowControl/>
        <w:spacing w:line="283" w:lineRule="auto" w:after="80"/>
      </w:pPr>
      <w:r>
        <w:rPr>
          <w:rFonts w:ascii="BIZ UDPゴシック" w:hAnsi="BIZ UDPゴシック" w:eastAsia="BIZ UDPゴシック"/>
          <w:b w:val="0"/>
          <w:color w:val="222222"/>
          <w:sz w:val="21"/>
        </w:rPr>
        <w:t>原則として、法定納期限の翌日から本税を完納した日までの日数に応じて計算します。延滞税の対象は本税であり、加算税には延滞税はかかりません。更正・決定、修正申告、更正の請求などに伴う期間計算の特例にも注意が必要です。</w:t>
      </w:r>
    </w:p>
    <w:tbl>
      <w:tblPr>
        <w:tblW w:type="dxa" w:w="9865"/>
        <w:tblLayout w:type="autofit"/>
        <w:tblLook w:firstColumn="1" w:firstRow="1" w:lastColumn="0" w:lastRow="0" w:noHBand="0" w:noVBand="1" w:val="04A0"/>
        <w:jc w:val="center"/>
        <w:tblInd w:w="120" w:type="dxa"/>
      </w:tblPr>
      <w:tblGrid>
        <w:gridCol w:w="2088"/>
        <w:gridCol w:w="7777"/>
      </w:tblGrid>
      <w:tr>
        <w:trPr>
          <w:tblHeader w:val="true"/>
          <w:cantSplit/>
          <w:tblHeader w:val="true"/>
          <w:tblHeader w:val="true"/>
          <w:cantSplit/>
        </w:trPr>
        <w:tc>
          <w:tcPr>
            <w:tcW w:type="dxa" w:w="2088"/>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cs="Yu Gothic"/>
                <w:b/>
                <w:color w:val="FFFFFF"/>
                <w:sz w:val="20"/>
              </w:rPr>
            </w:r>
            <w:r>
              <w:rPr>
                <w:rFonts w:ascii="BIZ UDPゴシック" w:hAnsi="BIZ UDPゴシック" w:eastAsia="BIZ UDPゴシック" w:cs="Yu Gothic"/>
                <w:b/>
                <w:color w:val="FFFFFF"/>
                <w:sz w:val="20"/>
              </w:rPr>
              <w:t>確認項目</w:t>
            </w:r>
          </w:p>
        </w:tc>
        <w:tc>
          <w:tcPr>
            <w:tcW w:type="dxa" w:w="7777"/>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実務上の意味</w:t>
            </w:r>
          </w:p>
        </w:tc>
      </w:tr>
      <w:tr>
        <w:trPr>
          <w:cantSplit/>
          <w:cantSplit/>
        </w:trPr>
        <w:tc>
          <w:tcPr>
            <w:tcW w:type="dxa" w:w="2088"/>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cs="Yu Gothic"/>
                <w:b w:val="0"/>
                <w:color w:val="222222"/>
                <w:sz w:val="20"/>
              </w:rPr>
            </w:r>
            <w:r>
              <w:rPr>
                <w:rFonts w:ascii="BIZ UDPゴシック" w:hAnsi="BIZ UDPゴシック" w:eastAsia="BIZ UDPゴシック" w:cs="Yu Gothic"/>
                <w:b w:val="0"/>
                <w:color w:val="222222"/>
                <w:sz w:val="20"/>
              </w:rPr>
              <w:t>法定納期限</w:t>
            </w:r>
          </w:p>
        </w:tc>
        <w:tc>
          <w:tcPr>
            <w:tcW w:type="dxa" w:w="777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延滞税の起算を考える基準。相続税は原則として申告期限と同日</w:t>
            </w:r>
          </w:p>
        </w:tc>
      </w:tr>
      <w:tr>
        <w:trPr>
          <w:cantSplit/>
          <w:cantSplit/>
        </w:trPr>
        <w:tc>
          <w:tcPr>
            <w:tcW w:type="dxa" w:w="2088"/>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cs="Yu Gothic"/>
                <w:b w:val="0"/>
                <w:color w:val="222222"/>
                <w:sz w:val="20"/>
              </w:rPr>
            </w:r>
            <w:r>
              <w:rPr>
                <w:rFonts w:ascii="BIZ UDPゴシック" w:hAnsi="BIZ UDPゴシック" w:eastAsia="BIZ UDPゴシック" w:cs="Yu Gothic"/>
                <w:b w:val="0"/>
                <w:color w:val="222222"/>
                <w:sz w:val="20"/>
              </w:rPr>
              <w:t>納期限</w:t>
            </w:r>
          </w:p>
        </w:tc>
        <w:tc>
          <w:tcPr>
            <w:tcW w:type="dxa" w:w="777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二段階の割合を区分する基準。期限後申告・修正申告は申告日、更正・決定は通知書発付日の翌日から1月を経過する日</w:t>
            </w:r>
          </w:p>
        </w:tc>
      </w:tr>
      <w:tr>
        <w:trPr>
          <w:cantSplit/>
          <w:cantSplit/>
        </w:trPr>
        <w:tc>
          <w:tcPr>
            <w:tcW w:type="dxa" w:w="2088"/>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完納日</w:t>
            </w:r>
          </w:p>
        </w:tc>
        <w:tc>
          <w:tcPr>
            <w:tcW w:type="dxa" w:w="777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本税を納付した日。分納・充当がある場合は金額と日ごとに確認</w:t>
            </w:r>
          </w:p>
        </w:tc>
      </w:tr>
      <w:tr>
        <w:trPr>
          <w:cantSplit/>
          <w:cantSplit/>
        </w:trPr>
        <w:tc>
          <w:tcPr>
            <w:tcW w:type="dxa" w:w="2088"/>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計算除外期間</w:t>
            </w:r>
          </w:p>
        </w:tc>
        <w:tc>
          <w:tcPr>
            <w:tcW w:type="dxa" w:w="777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法令上の特例により計算しない期間がないかを確認</w:t>
            </w:r>
          </w:p>
        </w:tc>
      </w:tr>
    </w:tbl>
    <w:p>
      <w:pPr>
        <w:widowControl/>
        <w:spacing w:after="80" w:line="283" w:lineRule="auto"/>
      </w:pPr>
    </w:p>
    <w:p>
      <w:pPr>
        <w:pStyle w:val="Heading2"/>
        <w:keepNext/>
        <w:widowControl/>
        <w:spacing w:before="140" w:after="80"/>
      </w:pPr>
      <w:r>
        <w:rPr>
          <w:rFonts w:ascii="BIZ UDPゴシック" w:hAnsi="BIZ UDPゴシック" w:eastAsia="BIZ UDPゴシック" w:cs="Yu Gothic"/>
          <w:b/>
          <w:color w:val="1F4E78"/>
          <w:sz w:val="27"/>
        </w:rPr>
        <w:t>令和8年（2026年）の延滞税割合</w:t>
      </w:r>
    </w:p>
    <w:tbl>
      <w:tblPr>
        <w:tblW w:type="dxa" w:w="9865"/>
        <w:tblLayout w:type="autofit"/>
        <w:tblLook w:firstColumn="1" w:firstRow="1" w:lastColumn="0" w:lastRow="0" w:noHBand="0" w:noVBand="1" w:val="04A0"/>
        <w:jc w:val="center"/>
        <w:tblInd w:w="120" w:type="dxa"/>
      </w:tblPr>
      <w:tblGrid>
        <w:gridCol w:w="3960"/>
        <w:gridCol w:w="1440"/>
        <w:gridCol w:w="4465"/>
      </w:tblGrid>
      <w:tr>
        <w:trPr>
          <w:tblHeader w:val="true"/>
          <w:cantSplit/>
          <w:tblHeader w:val="true"/>
          <w:tblHeader w:val="true"/>
          <w:cantSplit/>
        </w:trPr>
        <w:tc>
          <w:tcPr>
            <w:tcW w:type="dxa" w:w="3960"/>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cs="Yu Gothic"/>
                <w:b/>
                <w:color w:val="FFFFFF"/>
                <w:sz w:val="20"/>
              </w:rPr>
            </w:r>
            <w:r>
              <w:rPr>
                <w:rFonts w:ascii="BIZ UDPゴシック" w:hAnsi="BIZ UDPゴシック" w:eastAsia="BIZ UDPゴシック" w:cs="Yu Gothic"/>
                <w:b/>
                <w:color w:val="FFFFFF"/>
                <w:sz w:val="20"/>
              </w:rPr>
              <w:t>期間区分</w:t>
            </w:r>
          </w:p>
        </w:tc>
        <w:tc>
          <w:tcPr>
            <w:tcW w:type="dxa" w:w="1440"/>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年割合</w:t>
            </w:r>
          </w:p>
        </w:tc>
        <w:tc>
          <w:tcPr>
            <w:tcW w:type="dxa" w:w="4465"/>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判定の考え方</w:t>
            </w:r>
          </w:p>
        </w:tc>
      </w:tr>
      <w:tr>
        <w:trPr>
          <w:cantSplit/>
          <w:cantSplit/>
        </w:trPr>
        <w:tc>
          <w:tcPr>
            <w:tcW w:type="dxa" w:w="3960"/>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納期限の翌日から2月を経過する日まで</w:t>
            </w:r>
          </w:p>
        </w:tc>
        <w:tc>
          <w:tcPr>
            <w:tcW w:type="dxa" w:w="1440"/>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2.8％</w:t>
            </w:r>
          </w:p>
        </w:tc>
        <w:tc>
          <w:tcPr>
            <w:tcW w:type="dxa" w:w="4465"/>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年7.3％と延滞税特例基準割合＋1％のいずれか低い割合</w:t>
            </w:r>
          </w:p>
        </w:tc>
      </w:tr>
      <w:tr>
        <w:trPr>
          <w:cantSplit/>
          <w:cantSplit/>
        </w:trPr>
        <w:tc>
          <w:tcPr>
            <w:tcW w:type="dxa" w:w="3960"/>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cs="Yu Gothic"/>
                <w:b w:val="0"/>
                <w:color w:val="222222"/>
                <w:sz w:val="20"/>
              </w:rPr>
            </w:r>
            <w:r>
              <w:rPr>
                <w:rFonts w:ascii="BIZ UDPゴシック" w:hAnsi="BIZ UDPゴシック" w:eastAsia="BIZ UDPゴシック" w:cs="Yu Gothic"/>
                <w:b w:val="0"/>
                <w:color w:val="222222"/>
                <w:sz w:val="20"/>
              </w:rPr>
              <w:t>その翌日以後</w:t>
            </w:r>
          </w:p>
        </w:tc>
        <w:tc>
          <w:tcPr>
            <w:tcW w:type="dxa" w:w="1440"/>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9.1％</w:t>
            </w:r>
          </w:p>
        </w:tc>
        <w:tc>
          <w:tcPr>
            <w:tcW w:type="dxa" w:w="4465"/>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年14.6％と延滞税特例基準割合＋7.3％のいずれか低い割合</w:t>
            </w:r>
          </w:p>
        </w:tc>
      </w:tr>
    </w:tbl>
    <w:p>
      <w:pPr>
        <w:widowControl/>
        <w:spacing w:after="80" w:line="283" w:lineRule="auto"/>
      </w:pPr>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FBEEEE"/>
              <w:start w:val="single" w:sz="24" w:space="0" w:color="8C2D2D"/>
              <w:left w:val="single" w:sz="5" w:color="C9D2DF"/>
              <w:right w:val="single" w:sz="5" w:color="C9D2DF"/>
            </w:tcBorders>
          </w:tcPr>
          <w:p>
            <w:pPr>
              <w:spacing w:before="0" w:after="0" w:line="259" w:lineRule="auto"/>
              <w:jc w:val="center"/>
            </w:pPr>
            <w:r>
              <w:rPr>
                <w:rFonts w:ascii="BIZ UDPゴシック" w:hAnsi="BIZ UDPゴシック" w:eastAsia="BIZ UDPゴシック"/>
                <w:b/>
                <w:color w:val="17365D"/>
                <w:sz w:val="20"/>
              </w:rPr>
            </w:r>
            <w:r>
              <w:rPr>
                <w:rFonts w:ascii="BIZ UDPゴシック" w:hAnsi="BIZ UDPゴシック" w:eastAsia="BIZ UDPゴシック"/>
                <w:b/>
                <w:color w:val="17365D"/>
                <w:sz w:val="20"/>
              </w:rPr>
              <w:t>適用年分を確認</w:t>
            </w:r>
          </w:p>
          <w:p>
            <w:pPr>
              <w:spacing w:before="0" w:after="0" w:line="259" w:lineRule="auto"/>
              <w:jc w:val="center"/>
            </w:pPr>
            <w:r>
              <w:rPr>
                <w:rFonts w:ascii="BIZ UDPゴシック" w:hAnsi="BIZ UDPゴシック" w:eastAsia="BIZ UDPゴシック"/>
                <w:b w:val="0"/>
                <w:color w:val="222222"/>
                <w:sz w:val="20"/>
              </w:rPr>
              <w:t>延滞税の割合は年によって変わります。資料中の2.8％・9.1％は、令和8年1月1日から12月31日までの割合です。計算する期間ごとに、国税庁が公表している割合を確認します。</w:t>
            </w:r>
          </w:p>
        </w:tc>
      </w:tr>
    </w:tbl>
    <w:p>
      <w:pPr>
        <w:widowControl/>
        <w:spacing w:after="80" w:line="283" w:lineRule="auto"/>
      </w:pPr>
    </w:p>
    <w:p>
      <w:pPr>
        <w:pStyle w:val="Heading1"/>
        <w:pageBreakBefore/>
        <w:widowControl/>
        <w:pBdr>
          <w:bottom w:val="single" w:sz="10" w:space="6" w:color="183B63"/>
        </w:pBdr>
        <w:pageBreakBefore/>
        <w:keepNext/>
        <w:pBdr>
          <w:bottom w:val="single" w:sz="16" w:space="4" w:color="2F5597"/>
        </w:pBdr>
        <w:spacing w:before="160" w:after="140"/>
      </w:pPr>
      <w:r>
        <w:rPr>
          <w:rFonts w:ascii="BIZ UDPゴシック" w:hAnsi="BIZ UDPゴシック" w:eastAsia="BIZ UDPゴシック" w:cs="Yu Gothic"/>
          <w:b/>
          <w:color w:val="17365D"/>
          <w:sz w:val="36"/>
        </w:rPr>
        <w:t>8　更正・決定等の期間制限</w:t>
      </w:r>
    </w:p>
    <w:p>
      <w:pPr>
        <w:pStyle w:val="Lead"/>
        <w:keepLines/>
        <w:spacing w:after="140" w:before="20" w:line="300" w:lineRule="auto"/>
        <w:ind w:left="227" w:right="227"/>
        <w:shd w:fill="EAF0F7"/>
        <w:widowControl/>
        <w:pBdr>
          <w:left w:val="single" w:sz="22" w:space="8" w:color="2F5597"/>
        </w:pBdr>
      </w:pPr>
      <w:r>
        <w:rPr>
          <w:rFonts w:ascii="BIZ UDPゴシック" w:hAnsi="BIZ UDPゴシック" w:eastAsia="BIZ UDPゴシック"/>
          <w:b/>
          <w:color w:val="222222"/>
          <w:sz w:val="22"/>
        </w:rPr>
        <w:t>期間制限は、単に「何年分まで調べられるか」と覚えるものではありません。どの処分又は請求について、どの期限を起算点とし、いつまで権限を行使できるのかを、具体的な年月日で管理します。</w:t>
      </w:r>
    </w:p>
    <w:p>
      <w:pPr>
        <w:pStyle w:val="LegalBasis"/>
        <w:spacing w:before="20" w:after="120" w:line="252" w:lineRule="auto"/>
        <w:ind w:left="227" w:right="227"/>
        <w:shd w:val="clear" w:color="auto" w:fill="FBEEEE"/>
        <w:widowControl/>
        <w:pBdr>
          <w:left w:val="single" w:sz="18" w:space="4" w:color="8C2D2D"/>
        </w:pBdr>
      </w:pPr>
      <w:r>
        <w:rPr>
          <w:rFonts w:ascii="BIZ UDPゴシック" w:hAnsi="BIZ UDPゴシック" w:eastAsia="BIZ UDPゴシック" w:cs="Yu Gothic"/>
          <w:b w:val="0"/>
          <w:color w:val="8C2F39"/>
          <w:sz w:val="19"/>
        </w:rPr>
        <w:t xml:space="preserve">主な根拠　</w:t>
      </w:r>
      <w:r>
        <w:rPr>
          <w:rFonts w:ascii="BIZ UDPゴシック" w:hAnsi="BIZ UDPゴシック" w:eastAsia="BIZ UDPゴシック" w:cs="Yu Gothic"/>
          <w:b w:val="0"/>
          <w:color w:val="8C2F39"/>
          <w:sz w:val="19"/>
        </w:rPr>
        <w:t>国税通則法70条・71条、相続税法32条・36条・37条</w:t>
      </w:r>
    </w:p>
    <w:p>
      <w:pPr>
        <w:pStyle w:val="Heading2"/>
        <w:keepNext/>
        <w:widowControl/>
        <w:spacing w:before="140" w:after="80"/>
      </w:pPr>
      <w:r>
        <w:rPr>
          <w:rFonts w:ascii="BIZ UDPゴシック" w:hAnsi="BIZ UDPゴシック" w:eastAsia="BIZ UDPゴシック" w:cs="Yu Gothic"/>
          <w:b/>
          <w:color w:val="1F4E78"/>
          <w:sz w:val="27"/>
        </w:rPr>
        <w:t>税務署長による更正・決定等</w:t>
      </w:r>
    </w:p>
    <w:tbl>
      <w:tblPr>
        <w:tblW w:type="dxa" w:w="9865"/>
        <w:tblLayout w:type="autofit"/>
        <w:tblLook w:firstColumn="1" w:firstRow="1" w:lastColumn="0" w:lastRow="0" w:noHBand="0" w:noVBand="1" w:val="04A0"/>
        <w:jc w:val="center"/>
        <w:tblInd w:w="120" w:type="dxa"/>
      </w:tblPr>
      <w:tblGrid>
        <w:gridCol w:w="1800"/>
        <w:gridCol w:w="2664"/>
        <w:gridCol w:w="3384"/>
        <w:gridCol w:w="2017"/>
      </w:tblGrid>
      <w:tr>
        <w:trPr>
          <w:tblHeader w:val="true"/>
          <w:cantSplit/>
          <w:tblHeader w:val="true"/>
          <w:tblHeader w:val="true"/>
          <w:cantSplit/>
        </w:trPr>
        <w:tc>
          <w:tcPr>
            <w:tcW w:type="dxa" w:w="1800"/>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税目・場面</w:t>
            </w:r>
          </w:p>
        </w:tc>
        <w:tc>
          <w:tcPr>
            <w:tcW w:type="dxa" w:w="2664"/>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原則</w:t>
            </w:r>
          </w:p>
        </w:tc>
        <w:tc>
          <w:tcPr>
            <w:tcW w:type="dxa" w:w="3384"/>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偽りその他不正の行為がある場合</w:t>
            </w:r>
          </w:p>
        </w:tc>
        <w:tc>
          <w:tcPr>
            <w:tcW w:type="dxa" w:w="2017"/>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主な根拠</w:t>
            </w:r>
          </w:p>
        </w:tc>
      </w:tr>
      <w:tr>
        <w:trPr>
          <w:cantSplit/>
          <w:cantSplit/>
        </w:trPr>
        <w:tc>
          <w:tcPr>
            <w:tcW w:type="dxa" w:w="1800"/>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相続税</w:t>
            </w:r>
          </w:p>
        </w:tc>
        <w:tc>
          <w:tcPr>
            <w:tcW w:type="dxa" w:w="266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法定申告期限から5年</w:t>
            </w:r>
          </w:p>
        </w:tc>
        <w:tc>
          <w:tcPr>
            <w:tcW w:type="dxa" w:w="3384"/>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法定申告期限から7年</w:t>
            </w:r>
          </w:p>
        </w:tc>
        <w:tc>
          <w:tcPr>
            <w:tcW w:type="dxa" w:w="20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通則法70条</w:t>
            </w:r>
          </w:p>
        </w:tc>
      </w:tr>
      <w:tr>
        <w:trPr>
          <w:cantSplit/>
          <w:cantSplit/>
        </w:trPr>
        <w:tc>
          <w:tcPr>
            <w:tcW w:type="dxa" w:w="1800"/>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贈与税</w:t>
            </w:r>
          </w:p>
        </w:tc>
        <w:tc>
          <w:tcPr>
            <w:tcW w:type="dxa" w:w="2664"/>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法定申告期限から6年</w:t>
            </w:r>
          </w:p>
        </w:tc>
        <w:tc>
          <w:tcPr>
            <w:tcW w:type="dxa" w:w="3384"/>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法定申告期限から7年</w:t>
            </w:r>
          </w:p>
        </w:tc>
        <w:tc>
          <w:tcPr>
            <w:tcW w:type="dxa" w:w="20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相続税法37条</w:t>
            </w:r>
          </w:p>
        </w:tc>
      </w:tr>
    </w:tbl>
    <w:p>
      <w:pPr>
        <w:widowControl/>
        <w:spacing w:after="80" w:line="283" w:lineRule="auto"/>
      </w:pPr>
    </w:p>
    <w:p>
      <w:pPr>
        <w:pStyle w:val="Small"/>
        <w:widowControl/>
        <w:spacing w:line="283" w:lineRule="auto" w:after="80"/>
      </w:pPr>
      <w:r>
        <w:rPr>
          <w:rFonts w:ascii="BIZ UDPゴシック" w:hAnsi="BIZ UDPゴシック" w:eastAsia="BIZ UDPゴシック" w:cs="Yu Gothic"/>
          <w:b w:val="0"/>
          <w:color w:val="222222"/>
          <w:sz w:val="21"/>
        </w:rPr>
        <w:t>相続税・贈与税には、後発的事由、国外転出、租税条約に基づく情報交換などに関する特則がある。事案によって起算点・期間が異なるため、国税通則法71条その他の関係規定を確認する。</w:t>
      </w:r>
    </w:p>
    <w:p>
      <w:pPr>
        <w:pStyle w:val="Heading2"/>
        <w:keepNext/>
        <w:widowControl/>
        <w:spacing w:before="140" w:after="80"/>
      </w:pPr>
      <w:r>
        <w:rPr>
          <w:rFonts w:ascii="BIZ UDPゴシック" w:hAnsi="BIZ UDPゴシック" w:eastAsia="BIZ UDPゴシック" w:cs="Yu Gothic"/>
          <w:b/>
          <w:color w:val="1F4E78"/>
          <w:sz w:val="27"/>
        </w:rPr>
        <w:t>納税者による更正の請求</w:t>
      </w:r>
    </w:p>
    <w:tbl>
      <w:tblPr>
        <w:tblW w:type="dxa" w:w="9865"/>
        <w:tblLayout w:type="autofit"/>
        <w:tblLook w:firstColumn="1" w:firstRow="1" w:lastColumn="0" w:lastRow="0" w:noHBand="0" w:noVBand="1" w:val="04A0"/>
        <w:jc w:val="center"/>
        <w:tblInd w:w="120" w:type="dxa"/>
      </w:tblPr>
      <w:tblGrid>
        <w:gridCol w:w="2592"/>
        <w:gridCol w:w="2880"/>
        <w:gridCol w:w="4393"/>
      </w:tblGrid>
      <w:tr>
        <w:trPr>
          <w:tblHeader w:val="true"/>
          <w:cantSplit/>
          <w:tblHeader w:val="true"/>
          <w:tblHeader w:val="true"/>
          <w:cantSplit/>
        </w:trPr>
        <w:tc>
          <w:tcPr>
            <w:tcW w:type="dxa" w:w="2592"/>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区分</w:t>
            </w:r>
          </w:p>
        </w:tc>
        <w:tc>
          <w:tcPr>
            <w:tcW w:type="dxa" w:w="2880"/>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期間</w:t>
            </w:r>
          </w:p>
        </w:tc>
        <w:tc>
          <w:tcPr>
            <w:tcW w:type="dxa" w:w="4393"/>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注意点</w:t>
            </w:r>
          </w:p>
        </w:tc>
      </w:tr>
      <w:tr>
        <w:trPr>
          <w:cantSplit/>
          <w:cantSplit/>
        </w:trPr>
        <w:tc>
          <w:tcPr>
            <w:tcW w:type="dxa" w:w="259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一般の更正の請求</w:t>
            </w:r>
          </w:p>
        </w:tc>
        <w:tc>
          <w:tcPr>
            <w:tcW w:type="dxa" w:w="2880"/>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相続税・贈与税とも原則として法定申告期限から5年</w:t>
            </w:r>
          </w:p>
        </w:tc>
        <w:tc>
          <w:tcPr>
            <w:tcW w:type="dxa" w:w="4393"/>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国税通則法23条。申告内容が過大などの法定要件を確認</w:t>
            </w:r>
          </w:p>
        </w:tc>
      </w:tr>
      <w:tr>
        <w:trPr>
          <w:cantSplit/>
          <w:cantSplit/>
        </w:trPr>
        <w:tc>
          <w:tcPr>
            <w:tcW w:type="dxa" w:w="259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相続税法32条の特則</w:t>
            </w:r>
          </w:p>
        </w:tc>
        <w:tc>
          <w:tcPr>
            <w:tcW w:type="dxa" w:w="2880"/>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列挙された事由を知った日の翌日から4月以内</w:t>
            </w:r>
          </w:p>
        </w:tc>
        <w:tc>
          <w:tcPr>
            <w:tcW w:type="dxa" w:w="4393"/>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未分割財産の分割、相続人の異動など、該当号を特定</w:t>
            </w:r>
          </w:p>
        </w:tc>
      </w:tr>
      <w:tr>
        <w:trPr>
          <w:cantSplit/>
          <w:cantSplit/>
        </w:trPr>
        <w:tc>
          <w:tcPr>
            <w:tcW w:type="dxa" w:w="259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期間末近くの請求に伴う処分</w:t>
            </w:r>
          </w:p>
        </w:tc>
        <w:tc>
          <w:tcPr>
            <w:tcW w:type="dxa" w:w="2880"/>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一定の場合は請求日から6月まで処分可能</w:t>
            </w:r>
          </w:p>
        </w:tc>
        <w:tc>
          <w:tcPr>
            <w:tcW w:type="dxa" w:w="4393"/>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相続税法36条・37条2項は税務署長の処分期限を延長する規定</w:t>
            </w:r>
          </w:p>
        </w:tc>
      </w:tr>
    </w:tbl>
    <w:p>
      <w:pPr>
        <w:widowControl/>
        <w:spacing w:after="80" w:line="283" w:lineRule="auto"/>
      </w:pPr>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EAF4F3"/>
              <w:start w:val="single" w:sz="24" w:space="0" w:color="2F6B73"/>
              <w:left w:val="single" w:sz="5" w:color="C9D2DF"/>
              <w:right w:val="single" w:sz="5" w:color="C9D2DF"/>
            </w:tcBorders>
          </w:tcPr>
          <w:p>
            <w:pPr>
              <w:spacing w:before="0" w:after="0" w:line="259" w:lineRule="auto"/>
              <w:jc w:val="center"/>
            </w:pPr>
            <w:r>
              <w:rPr>
                <w:rFonts w:ascii="BIZ UDPゴシック" w:hAnsi="BIZ UDPゴシック" w:eastAsia="BIZ UDPゴシック"/>
                <w:b/>
                <w:color w:val="17365D"/>
                <w:sz w:val="20"/>
              </w:rPr>
            </w:r>
            <w:r>
              <w:rPr>
                <w:rFonts w:ascii="BIZ UDPゴシック" w:hAnsi="BIZ UDPゴシック" w:eastAsia="BIZ UDPゴシック"/>
                <w:b/>
                <w:color w:val="17365D"/>
                <w:sz w:val="20"/>
              </w:rPr>
              <w:t>期限を確認する順序</w:t>
            </w:r>
          </w:p>
          <w:p>
            <w:pPr>
              <w:spacing w:before="0" w:after="0" w:line="259" w:lineRule="auto"/>
              <w:jc w:val="center"/>
            </w:pPr>
            <w:r>
              <w:rPr>
                <w:rFonts w:ascii="BIZ UDPゴシック" w:hAnsi="BIZ UDPゴシック" w:eastAsia="BIZ UDPゴシック"/>
                <w:b w:val="0"/>
                <w:color w:val="222222"/>
                <w:sz w:val="20"/>
              </w:rPr>
              <w:t>①税目と手続を特定する → ②法定申告期限を確定する → ③原則となる期間を当てはめる → ④不正行為、後発的事由、情報交換等に関する特則を確認する → ⑤期間の満了日を年月日で記録する。</w:t>
            </w:r>
          </w:p>
        </w:tc>
      </w:tr>
    </w:tbl>
    <w:p>
      <w:pPr>
        <w:widowControl/>
        <w:spacing w:after="80" w:line="283" w:lineRule="auto"/>
      </w:pPr>
    </w:p>
    <w:p>
      <w:pPr>
        <w:pStyle w:val="Heading2"/>
        <w:keepNext/>
        <w:widowControl/>
        <w:spacing w:before="140" w:after="80"/>
      </w:pPr>
      <w:r>
        <w:rPr>
          <w:rFonts w:ascii="BIZ UDPゴシック" w:hAnsi="BIZ UDPゴシック" w:eastAsia="BIZ UDPゴシック" w:cs="Yu Gothic"/>
          <w:b/>
          <w:color w:val="1F4E78"/>
          <w:sz w:val="27"/>
        </w:rPr>
        <w:t>期間制限チェック</w:t>
      </w:r>
    </w:p>
    <w:p>
      <w:pPr>
        <w:pStyle w:val="ListBullet"/>
        <w:widowControl/>
        <w:spacing w:after="40" w:line="276" w:lineRule="auto"/>
        <w:ind w:left="283" w:hanging="170"/>
        <w:jc w:val="left"/>
      </w:pPr>
      <w:r>
        <w:rPr>
          <w:rFonts w:ascii="BIZ UDPゴシック" w:hAnsi="BIZ UDPゴシック" w:eastAsia="BIZ UDPゴシック" w:cs="Yu Gothic"/>
          <w:b w:val="0"/>
          <w:color w:val="222222"/>
          <w:sz w:val="21"/>
        </w:rPr>
        <w:t>法定申告期限と申告日を確定し、予定する処分・請求を特定したか。</w:t>
      </w:r>
    </w:p>
    <w:p>
      <w:pPr>
        <w:pStyle w:val="ListBullet"/>
        <w:widowControl/>
        <w:spacing w:after="40" w:line="276" w:lineRule="auto"/>
        <w:ind w:left="283" w:hanging="170"/>
        <w:jc w:val="left"/>
      </w:pPr>
      <w:r>
        <w:rPr>
          <w:rFonts w:ascii="BIZ UDPゴシック" w:hAnsi="BIZ UDPゴシック" w:eastAsia="BIZ UDPゴシック" w:cs="Yu Gothic"/>
          <w:b w:val="0"/>
          <w:color w:val="222222"/>
          <w:sz w:val="21"/>
        </w:rPr>
        <w:t>不正行為を単なる申告漏れと区別し、特則の有無と期間満了日を確認したか。</w:t>
      </w:r>
    </w:p>
    <w:p>
      <w:pPr>
        <w:pStyle w:val="ListBullet"/>
        <w:widowControl/>
        <w:spacing w:after="40" w:line="276" w:lineRule="auto"/>
        <w:ind w:left="283" w:hanging="170"/>
        <w:jc w:val="left"/>
      </w:pPr>
      <w:r>
        <w:rPr>
          <w:rFonts w:ascii="BIZ UDPゴシック" w:hAnsi="BIZ UDPゴシック" w:eastAsia="BIZ UDPゴシック" w:cs="Yu Gothic"/>
          <w:b w:val="0"/>
          <w:color w:val="222222"/>
          <w:sz w:val="21"/>
        </w:rPr>
        <w:t>決裁・通知・発送に要する日数を逆算し、進行を管理したか。</w:t>
      </w:r>
    </w:p>
    <w:p>
      <w:pPr>
        <w:pStyle w:val="Heading1"/>
        <w:pageBreakBefore/>
        <w:widowControl/>
        <w:pBdr>
          <w:bottom w:val="single" w:sz="10" w:space="6" w:color="183B63"/>
        </w:pBdr>
        <w:pageBreakBefore/>
        <w:keepNext/>
        <w:pBdr>
          <w:bottom w:val="single" w:sz="16" w:space="4" w:color="2F5597"/>
        </w:pBdr>
        <w:spacing w:before="160" w:after="140"/>
      </w:pPr>
      <w:r>
        <w:rPr>
          <w:rFonts w:ascii="BIZ UDPゴシック" w:hAnsi="BIZ UDPゴシック" w:eastAsia="BIZ UDPゴシック" w:cs="Yu Gothic"/>
          <w:b/>
          <w:color w:val="17365D"/>
          <w:sz w:val="36"/>
        </w:rPr>
        <w:t>資料A　実務チェックリスト</w:t>
      </w:r>
    </w:p>
    <w:p>
      <w:pPr>
        <w:pStyle w:val="Lead"/>
        <w:keepLines/>
        <w:spacing w:after="140" w:before="20" w:line="300" w:lineRule="auto"/>
        <w:ind w:left="227" w:right="227"/>
        <w:shd w:fill="EAF0F7"/>
        <w:widowControl/>
        <w:pBdr>
          <w:left w:val="single" w:sz="22" w:space="8" w:color="2F5597"/>
        </w:pBdr>
      </w:pPr>
      <w:r>
        <w:rPr>
          <w:rFonts w:ascii="BIZ UDPゴシック" w:hAnsi="BIZ UDPゴシック" w:eastAsia="BIZ UDPゴシック"/>
          <w:b/>
          <w:color w:val="222222"/>
          <w:sz w:val="22"/>
        </w:rPr>
        <w:t>調査の進め方に漏れがないかを、着手前、実施中、終了時の節目で確認できるようにまとめています。案件の進行に合わせて、チェック欄として使用してください。</w:t>
      </w:r>
    </w:p>
    <w:p>
      <w:pPr>
        <w:pStyle w:val="LegalBasis"/>
        <w:spacing w:before="20" w:after="120" w:line="252" w:lineRule="auto"/>
        <w:ind w:left="227" w:right="227"/>
        <w:shd w:val="clear" w:color="auto" w:fill="FBEEEE"/>
        <w:widowControl/>
        <w:pBdr>
          <w:left w:val="single" w:sz="18" w:space="4" w:color="8C2D2D"/>
        </w:pBdr>
      </w:pPr>
      <w:r>
        <w:rPr>
          <w:rFonts w:ascii="BIZ UDPゴシック" w:hAnsi="BIZ UDPゴシック" w:eastAsia="BIZ UDPゴシック" w:cs="Yu Gothic"/>
          <w:b w:val="0"/>
          <w:color w:val="8C2F39"/>
          <w:sz w:val="19"/>
        </w:rPr>
        <w:t xml:space="preserve">主な根拠　</w:t>
      </w:r>
      <w:r>
        <w:rPr>
          <w:rFonts w:ascii="BIZ UDPゴシック" w:hAnsi="BIZ UDPゴシック" w:eastAsia="BIZ UDPゴシック" w:cs="Yu Gothic"/>
          <w:b w:val="0"/>
          <w:color w:val="8C2F39"/>
          <w:sz w:val="19"/>
        </w:rPr>
        <w:t>本資料各章の実務要点</w:t>
      </w:r>
    </w:p>
    <w:tbl>
      <w:tblPr>
        <w:tblW w:type="dxa" w:w="9865"/>
        <w:tblLayout w:type="autofit"/>
        <w:tblLook w:firstColumn="1" w:firstRow="1" w:lastColumn="0" w:lastRow="0" w:noHBand="0" w:noVBand="1" w:val="04A0"/>
        <w:jc w:val="center"/>
        <w:tblInd w:w="120" w:type="dxa"/>
      </w:tblPr>
      <w:tblGrid>
        <w:gridCol w:w="1656"/>
        <w:gridCol w:w="792"/>
        <w:gridCol w:w="7417"/>
      </w:tblGrid>
      <w:tr>
        <w:trPr>
          <w:tblHeader w:val="true"/>
          <w:cantSplit/>
          <w:tblHeader w:val="true"/>
          <w:tblHeader w:val="true"/>
          <w:cantSplit/>
        </w:trPr>
        <w:tc>
          <w:tcPr>
            <w:tcW w:type="dxa" w:w="1656"/>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時点</w:t>
            </w:r>
          </w:p>
        </w:tc>
        <w:tc>
          <w:tcPr>
            <w:tcW w:type="dxa" w:w="792"/>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w:t>
            </w:r>
          </w:p>
        </w:tc>
        <w:tc>
          <w:tcPr>
            <w:tcW w:type="dxa" w:w="7417"/>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確認項目</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着手前</w:t>
            </w:r>
          </w:p>
        </w:tc>
        <w:tc>
          <w:tcPr>
            <w:tcW w:type="dxa" w:w="79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74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調査と行政指導の区分、調査目的、立証事項を明確にした</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着手前</w:t>
            </w:r>
          </w:p>
        </w:tc>
        <w:tc>
          <w:tcPr>
            <w:tcW w:type="dxa" w:w="79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74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対象税目・期間・人物・財産・資料を必要な範囲に絞った</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通知</w:t>
            </w:r>
          </w:p>
        </w:tc>
        <w:tc>
          <w:tcPr>
            <w:tcW w:type="dxa" w:w="79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74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調査通知と事前通知を区分し、日時・相手方・事項を記録した</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通知</w:t>
            </w:r>
          </w:p>
        </w:tc>
        <w:tc>
          <w:tcPr>
            <w:tcW w:type="dxa" w:w="79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74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無予告の場合は具体的な支障のおそれと判断過程を記録した</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実地</w:t>
            </w:r>
          </w:p>
        </w:tc>
        <w:tc>
          <w:tcPr>
            <w:tcW w:type="dxa" w:w="79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74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質問、回答、資料、認定事実のつながりを記録した</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実地</w:t>
            </w:r>
          </w:p>
        </w:tc>
        <w:tc>
          <w:tcPr>
            <w:tcW w:type="dxa" w:w="79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74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提示・提出・留置きを区分し、預り証と返還管理を行った</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外部確認</w:t>
            </w:r>
          </w:p>
        </w:tc>
        <w:tc>
          <w:tcPr>
            <w:tcW w:type="dxa" w:w="79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74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反面調査の必要性、法的根拠、対象・期間を具体化した</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外部確認</w:t>
            </w:r>
          </w:p>
        </w:tc>
        <w:tc>
          <w:tcPr>
            <w:tcW w:type="dxa" w:w="79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74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本人に有利な事情を含め、得た情報を公平に評価した</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結果説明</w:t>
            </w:r>
          </w:p>
        </w:tc>
        <w:tc>
          <w:tcPr>
            <w:tcW w:type="dxa" w:w="79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74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事実・証拠・法令・計算をつないで説明した</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結果説明</w:t>
            </w:r>
          </w:p>
        </w:tc>
        <w:tc>
          <w:tcPr>
            <w:tcW w:type="dxa" w:w="79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74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相手方の主張と反証を検討し、修正申告等の法的効果を説明して必要な書面を交付した</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賦課</w:t>
            </w:r>
          </w:p>
        </w:tc>
        <w:tc>
          <w:tcPr>
            <w:tcW w:type="dxa" w:w="79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74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調査通知と更正・決定の予知の時点を特定した</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賦課</w:t>
            </w:r>
          </w:p>
        </w:tc>
        <w:tc>
          <w:tcPr>
            <w:tcW w:type="dxa" w:w="79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74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加算税の税率、加重措置、延滞税の対象期間を再確認した</w:t>
            </w:r>
          </w:p>
        </w:tc>
      </w:tr>
      <w:tr>
        <w:trPr>
          <w:cantSplit/>
          <w:cantSplit/>
        </w:trPr>
        <w:tc>
          <w:tcPr>
            <w:tcW w:type="dxa" w:w="165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期限</w:t>
            </w:r>
          </w:p>
        </w:tc>
        <w:tc>
          <w:tcPr>
            <w:tcW w:type="dxa" w:w="79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74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処分の種類と特則を確認し、期間満了日を年月日で記録した</w:t>
            </w:r>
          </w:p>
        </w:tc>
      </w:tr>
      <w:tr>
        <w:trPr>
          <w:cantSplit/>
          <w:cantSplit/>
        </w:trPr>
        <w:tc>
          <w:tcPr>
            <w:tcW w:type="dxa" w:w="165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終了</w:t>
            </w:r>
          </w:p>
        </w:tc>
        <w:tc>
          <w:tcPr>
            <w:tcW w:type="dxa" w:w="79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center"/>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w:t>
            </w:r>
          </w:p>
        </w:tc>
        <w:tc>
          <w:tcPr>
            <w:tcW w:type="dxa" w:w="74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spacing w:before="0" w:after="0" w:line="259" w:lineRule="auto"/>
            </w:pPr>
            <w:r>
              <w:rPr>
                <w:rFonts w:ascii="BIZ UDPゴシック" w:hAnsi="BIZ UDPゴシック" w:eastAsia="BIZ UDPゴシック"/>
                <w:b w:val="0"/>
                <w:color w:val="222222"/>
                <w:sz w:val="20"/>
              </w:rPr>
              <w:t>問題なしの通知、更正・決定等又は申告の経過を整理し、残っている事務を確認した</w:t>
            </w:r>
          </w:p>
        </w:tc>
      </w:tr>
    </w:tbl>
    <w:p>
      <w:pPr>
        <w:widowControl/>
        <w:spacing w:after="80" w:line="283" w:lineRule="auto"/>
      </w:pPr>
    </w:p>
    <w:p>
      <w:pPr>
        <w:pStyle w:val="Heading1"/>
        <w:pageBreakBefore/>
        <w:widowControl/>
        <w:pBdr>
          <w:bottom w:val="single" w:sz="10" w:space="6" w:color="183B63"/>
        </w:pBdr>
        <w:pageBreakBefore/>
        <w:keepNext/>
        <w:pBdr>
          <w:bottom w:val="single" w:sz="16" w:space="4" w:color="2F5597"/>
        </w:pBdr>
        <w:spacing w:before="160" w:after="140"/>
      </w:pPr>
      <w:r>
        <w:rPr>
          <w:rFonts w:ascii="BIZ UDPゴシック" w:hAnsi="BIZ UDPゴシック" w:eastAsia="BIZ UDPゴシック"/>
          <w:b/>
          <w:color w:val="17365D"/>
          <w:sz w:val="36"/>
        </w:rPr>
        <w:t>資料B　場面別に確認する主要条文</w:t>
      </w:r>
    </w:p>
    <w:p>
      <w:pPr>
        <w:pStyle w:val="Lead"/>
        <w:keepLines/>
        <w:spacing w:after="140" w:before="20" w:line="300" w:lineRule="auto"/>
        <w:ind w:left="227" w:right="227"/>
        <w:shd w:fill="EAF0F7"/>
        <w:widowControl/>
        <w:pBdr>
          <w:left w:val="single" w:sz="22" w:space="8" w:color="2F5597"/>
        </w:pBdr>
      </w:pPr>
      <w:r>
        <w:rPr>
          <w:rFonts w:ascii="BIZ UDPゴシック" w:hAnsi="BIZ UDPゴシック" w:eastAsia="BIZ UDPゴシック"/>
          <w:b/>
          <w:color w:val="222222"/>
          <w:sz w:val="22"/>
        </w:rPr>
        <w:t>調査の場面から、確認すべき条文を探せるように整理しています。実際に適用するときは、必ず最新の条文と関係通達を確認してください。</w:t>
      </w:r>
    </w:p>
    <w:p>
      <w:pPr>
        <w:pStyle w:val="LegalBasis"/>
        <w:spacing w:before="20" w:after="120" w:line="252" w:lineRule="auto"/>
        <w:ind w:left="227" w:right="227"/>
        <w:shd w:val="clear" w:color="auto" w:fill="FBEEEE"/>
        <w:widowControl/>
        <w:pBdr>
          <w:left w:val="single" w:sz="18" w:space="4" w:color="8C2D2D"/>
        </w:pBdr>
      </w:pPr>
      <w:r>
        <w:rPr>
          <w:rFonts w:ascii="BIZ UDPゴシック" w:hAnsi="BIZ UDPゴシック" w:eastAsia="BIZ UDPゴシック" w:cs="Yu Gothic"/>
          <w:b w:val="0"/>
          <w:color w:val="8C2F39"/>
          <w:sz w:val="19"/>
        </w:rPr>
        <w:t xml:space="preserve">主な根拠　</w:t>
      </w:r>
      <w:r>
        <w:rPr>
          <w:rFonts w:ascii="BIZ UDPゴシック" w:hAnsi="BIZ UDPゴシック" w:eastAsia="BIZ UDPゴシック" w:cs="Yu Gothic"/>
          <w:b w:val="0"/>
          <w:color w:val="8C2F39"/>
          <w:sz w:val="19"/>
        </w:rPr>
        <w:t>国税通則法・相続税法（令和8年8月2日確認）</w:t>
      </w:r>
    </w:p>
    <w:tbl>
      <w:tblPr>
        <w:tblW w:type="dxa" w:w="9865"/>
        <w:tblLayout w:type="autofit"/>
        <w:tblLook w:firstColumn="1" w:firstRow="1" w:lastColumn="0" w:lastRow="0" w:noHBand="0" w:noVBand="1" w:val="04A0"/>
        <w:jc w:val="center"/>
        <w:tblInd w:w="120" w:type="dxa"/>
      </w:tblPr>
      <w:tblGrid>
        <w:gridCol w:w="2376"/>
        <w:gridCol w:w="3672"/>
        <w:gridCol w:w="3817"/>
      </w:tblGrid>
      <w:tr>
        <w:trPr>
          <w:tblHeader w:val="true"/>
          <w:cantSplit/>
          <w:tblHeader w:val="true"/>
          <w:tblHeader w:val="true"/>
          <w:cantSplit/>
        </w:trPr>
        <w:tc>
          <w:tcPr>
            <w:tcW w:type="dxa" w:w="2376"/>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cs="Yu Gothic"/>
                <w:b/>
                <w:color w:val="FFFFFF"/>
                <w:sz w:val="20"/>
              </w:rPr>
            </w:r>
            <w:r>
              <w:rPr>
                <w:rFonts w:ascii="BIZ UDPゴシック" w:hAnsi="BIZ UDPゴシック" w:eastAsia="BIZ UDPゴシック" w:cs="Yu Gothic"/>
                <w:b/>
                <w:color w:val="FFFFFF"/>
                <w:sz w:val="20"/>
              </w:rPr>
              <w:t>法令・条文</w:t>
            </w:r>
          </w:p>
        </w:tc>
        <w:tc>
          <w:tcPr>
            <w:tcW w:type="dxa" w:w="3672"/>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pStyle w:val="TableHeader"/>
              <w:spacing w:after="0" w:before="0" w:line="259" w:lineRule="auto"/>
              <w:jc w:val="center"/>
            </w:pPr>
            <w:r>
              <w:rPr>
                <w:rFonts w:ascii="BIZ UDPゴシック" w:hAnsi="BIZ UDPゴシック" w:eastAsia="BIZ UDPゴシック"/>
                <w:b/>
                <w:color w:val="FFFFFF"/>
                <w:sz w:val="20"/>
              </w:rPr>
            </w:r>
            <w:r>
              <w:rPr>
                <w:rFonts w:ascii="BIZ UDPゴシック" w:hAnsi="BIZ UDPゴシック" w:eastAsia="BIZ UDPゴシック" w:cs="Yu Gothic"/>
                <w:b/>
                <w:color w:val="FFFFFF"/>
                <w:sz w:val="20"/>
              </w:rPr>
              <w:t>主題</w:t>
            </w:r>
          </w:p>
        </w:tc>
        <w:tc>
          <w:tcPr>
            <w:tcW w:type="dxa" w:w="3817"/>
            <w:tcMar>
              <w:top w:w="90" w:type="dxa"/>
              <w:start w:w="110" w:type="dxa"/>
              <w:bottom w:w="90" w:type="dxa"/>
              <w:end w:w="110" w:type="dxa"/>
            </w:tcMar>
            <w:vAlign w:val="center"/>
            <w:tcBorders>
              <w:top w:val="single" w:sz="5" w:space="0" w:color="C9D2DF"/>
              <w:bottom w:val="single" w:sz="5" w:space="0" w:color="C9D2DF"/>
              <w:start w:val="single" w:sz="5" w:space="0" w:color="C9D3DE"/>
              <w:end w:val="single" w:sz="5" w:space="0" w:color="C9D3DE"/>
              <w:insideH w:val="single" w:sz="5" w:space="0" w:color="C9D3DE"/>
              <w:insideV w:val="single" w:sz="5" w:space="0" w:color="C9D3DE"/>
              <w:left w:val="single" w:sz="5" w:color="C9D2DF"/>
              <w:right w:val="single" w:sz="5" w:color="C9D2DF"/>
            </w:tcBorders>
            <w:shd w:val="clear" w:color="auto" w:fill="17365D"/>
          </w:tcPr>
          <w:p>
            <w:pPr>
              <w:spacing w:before="0" w:after="0" w:line="259" w:lineRule="auto"/>
            </w:pPr>
            <w:r>
              <w:rPr>
                <w:rFonts w:ascii="BIZ UDPゴシック" w:hAnsi="BIZ UDPゴシック" w:eastAsia="BIZ UDPゴシック"/>
                <w:b/>
                <w:color w:val="FFFFFF"/>
                <w:sz w:val="20"/>
              </w:rPr>
              <w:t>確認する場面</w:t>
            </w:r>
          </w:p>
        </w:tc>
      </w:tr>
      <w:tr>
        <w:trPr>
          <w:cantSplit/>
          <w:cantSplit/>
        </w:trPr>
        <w:tc>
          <w:tcPr>
            <w:tcW w:type="dxa" w:w="237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通則法23条</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更正の請求</w:t>
            </w:r>
          </w:p>
        </w:tc>
        <w:tc>
          <w:tcPr>
            <w:tcW w:type="dxa" w:w="38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修正申告等の法的効果の説明</w:t>
            </w:r>
          </w:p>
        </w:tc>
      </w:tr>
      <w:tr>
        <w:trPr>
          <w:cantSplit/>
          <w:cantSplit/>
        </w:trPr>
        <w:tc>
          <w:tcPr>
            <w:tcW w:type="dxa" w:w="237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cs="Yu Gothic"/>
                <w:b w:val="0"/>
                <w:color w:val="222222"/>
                <w:sz w:val="20"/>
              </w:rPr>
            </w:r>
            <w:r>
              <w:rPr>
                <w:rFonts w:ascii="BIZ UDPゴシック" w:hAnsi="BIZ UDPゴシック" w:eastAsia="BIZ UDPゴシック" w:cs="Yu Gothic"/>
                <w:b w:val="0"/>
                <w:color w:val="222222"/>
                <w:sz w:val="20"/>
              </w:rPr>
              <w:t>通則法60・61条</w:t>
            </w:r>
          </w:p>
        </w:tc>
        <w:tc>
          <w:tcPr>
            <w:tcW w:type="dxa" w:w="367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延滞税・計算期間の特例</w:t>
            </w:r>
          </w:p>
        </w:tc>
        <w:tc>
          <w:tcPr>
            <w:tcW w:type="dxa" w:w="38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期限後納付の附帯税計算</w:t>
            </w:r>
          </w:p>
        </w:tc>
      </w:tr>
      <w:tr>
        <w:trPr>
          <w:cantSplit/>
          <w:cantSplit/>
        </w:trPr>
        <w:tc>
          <w:tcPr>
            <w:tcW w:type="dxa" w:w="237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通則法65条</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過少申告加算税</w:t>
            </w:r>
          </w:p>
        </w:tc>
        <w:tc>
          <w:tcPr>
            <w:tcW w:type="dxa" w:w="38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調査通知・予知時点と税率判定</w:t>
            </w:r>
          </w:p>
        </w:tc>
      </w:tr>
      <w:tr>
        <w:trPr>
          <w:cantSplit/>
          <w:cantSplit/>
        </w:trPr>
        <w:tc>
          <w:tcPr>
            <w:tcW w:type="dxa" w:w="237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通則法66条</w:t>
            </w:r>
          </w:p>
        </w:tc>
        <w:tc>
          <w:tcPr>
            <w:tcW w:type="dxa" w:w="367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無申告加算税</w:t>
            </w:r>
          </w:p>
        </w:tc>
        <w:tc>
          <w:tcPr>
            <w:tcW w:type="dxa" w:w="38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期限後申告、税額帯、加重措置</w:t>
            </w:r>
          </w:p>
        </w:tc>
      </w:tr>
      <w:tr>
        <w:trPr>
          <w:cantSplit/>
          <w:cantSplit/>
        </w:trPr>
        <w:tc>
          <w:tcPr>
            <w:tcW w:type="dxa" w:w="237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通則法68条</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重加算税</w:t>
            </w:r>
          </w:p>
        </w:tc>
        <w:tc>
          <w:tcPr>
            <w:tcW w:type="dxa" w:w="38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隠蔽・仮装の事実認定</w:t>
            </w:r>
          </w:p>
        </w:tc>
      </w:tr>
      <w:tr>
        <w:trPr>
          <w:cantSplit/>
          <w:cantSplit/>
        </w:trPr>
        <w:tc>
          <w:tcPr>
            <w:tcW w:type="dxa" w:w="237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通則法70・71条</w:t>
            </w:r>
          </w:p>
        </w:tc>
        <w:tc>
          <w:tcPr>
            <w:tcW w:type="dxa" w:w="367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t>更正・決定等の期間制限</w:t>
            </w:r>
          </w:p>
        </w:tc>
        <w:tc>
          <w:tcPr>
            <w:tcW w:type="dxa" w:w="38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処分期限と特則の管理</w:t>
            </w:r>
          </w:p>
        </w:tc>
      </w:tr>
      <w:tr>
        <w:trPr>
          <w:cantSplit/>
          <w:cantSplit/>
        </w:trPr>
        <w:tc>
          <w:tcPr>
            <w:tcW w:type="dxa" w:w="237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通則法74条の3</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相続税等の質問検査権</w:t>
            </w:r>
          </w:p>
        </w:tc>
        <w:tc>
          <w:tcPr>
            <w:tcW w:type="dxa" w:w="38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t>質問・検査・提示・提出要求</w:t>
            </w:r>
          </w:p>
        </w:tc>
      </w:tr>
      <w:tr>
        <w:trPr>
          <w:cantSplit/>
          <w:cantSplit/>
        </w:trPr>
        <w:tc>
          <w:tcPr>
            <w:tcW w:type="dxa" w:w="237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通則法74条の7</w:t>
            </w:r>
          </w:p>
        </w:tc>
        <w:tc>
          <w:tcPr>
            <w:tcW w:type="dxa" w:w="367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留置き</w:t>
            </w:r>
          </w:p>
        </w:tc>
        <w:tc>
          <w:tcPr>
            <w:tcW w:type="dxa" w:w="38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提出物の預かり・返還</w:t>
            </w:r>
          </w:p>
        </w:tc>
      </w:tr>
      <w:tr>
        <w:trPr>
          <w:cantSplit/>
          <w:cantSplit/>
        </w:trPr>
        <w:tc>
          <w:tcPr>
            <w:tcW w:type="dxa" w:w="237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通則法74条の7の2</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事業者等への情報照会</w:t>
            </w:r>
          </w:p>
        </w:tc>
        <w:tc>
          <w:tcPr>
            <w:tcW w:type="dxa" w:w="38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法定要件に基づく情報取得</w:t>
            </w:r>
          </w:p>
        </w:tc>
      </w:tr>
      <w:tr>
        <w:trPr>
          <w:cantSplit/>
          <w:cantSplit/>
        </w:trPr>
        <w:tc>
          <w:tcPr>
            <w:tcW w:type="dxa" w:w="237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通則法74条の9</w:t>
            </w:r>
          </w:p>
        </w:tc>
        <w:tc>
          <w:tcPr>
            <w:tcW w:type="dxa" w:w="367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事前通知</w:t>
            </w:r>
          </w:p>
        </w:tc>
        <w:tc>
          <w:tcPr>
            <w:tcW w:type="dxa" w:w="38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実地調査前の通知</w:t>
            </w:r>
          </w:p>
        </w:tc>
      </w:tr>
      <w:tr>
        <w:trPr>
          <w:cantSplit/>
          <w:cantSplit/>
        </w:trPr>
        <w:tc>
          <w:tcPr>
            <w:tcW w:type="dxa" w:w="237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通則法74条の10</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事前通知を要しない場合</w:t>
            </w:r>
          </w:p>
        </w:tc>
        <w:tc>
          <w:tcPr>
            <w:tcW w:type="dxa" w:w="38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無予告調査の判断</w:t>
            </w:r>
          </w:p>
        </w:tc>
      </w:tr>
      <w:tr>
        <w:trPr>
          <w:cantSplit/>
          <w:cantSplit/>
        </w:trPr>
        <w:tc>
          <w:tcPr>
            <w:tcW w:type="dxa" w:w="237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通則法74条の11</w:t>
            </w:r>
          </w:p>
        </w:tc>
        <w:tc>
          <w:tcPr>
            <w:tcW w:type="dxa" w:w="367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調査終了の際の手続</w:t>
            </w:r>
          </w:p>
        </w:tc>
        <w:tc>
          <w:tcPr>
            <w:tcW w:type="dxa" w:w="38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結果説明、申告勧奨、終了、再調査</w:t>
            </w:r>
          </w:p>
        </w:tc>
      </w:tr>
      <w:tr>
        <w:trPr>
          <w:cantSplit/>
          <w:cantSplit/>
        </w:trPr>
        <w:tc>
          <w:tcPr>
            <w:tcW w:type="dxa" w:w="237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通則法74条の12</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官公署等への協力要請</w:t>
            </w:r>
          </w:p>
        </w:tc>
        <w:tc>
          <w:tcPr>
            <w:tcW w:type="dxa" w:w="38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官公署・政府関係機関への要請</w:t>
            </w:r>
          </w:p>
        </w:tc>
      </w:tr>
      <w:tr>
        <w:trPr>
          <w:cantSplit/>
          <w:cantSplit/>
        </w:trPr>
        <w:tc>
          <w:tcPr>
            <w:tcW w:type="dxa" w:w="237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通則法74条の13</w:t>
            </w:r>
          </w:p>
        </w:tc>
        <w:tc>
          <w:tcPr>
            <w:tcW w:type="dxa" w:w="367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身分証明書の携帯等</w:t>
            </w:r>
          </w:p>
        </w:tc>
        <w:tc>
          <w:tcPr>
            <w:tcW w:type="dxa" w:w="38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臨場時の身分提示</w:t>
            </w:r>
          </w:p>
        </w:tc>
      </w:tr>
      <w:tr>
        <w:trPr>
          <w:cantSplit/>
          <w:cantSplit/>
        </w:trPr>
        <w:tc>
          <w:tcPr>
            <w:tcW w:type="dxa" w:w="237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通則法127・128条</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調査秘密漏えい／質問検査拒否等の罰則</w:t>
            </w:r>
          </w:p>
        </w:tc>
        <w:tc>
          <w:tcPr>
            <w:tcW w:type="dxa" w:w="38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情報管理と質問検査権の受忍義務</w:t>
            </w:r>
          </w:p>
        </w:tc>
      </w:tr>
      <w:tr>
        <w:trPr>
          <w:cantSplit/>
          <w:cantSplit/>
        </w:trPr>
        <w:tc>
          <w:tcPr>
            <w:tcW w:type="dxa" w:w="237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相続税法32条</w:t>
            </w:r>
          </w:p>
        </w:tc>
        <w:tc>
          <w:tcPr>
            <w:tcW w:type="dxa" w:w="367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相続税等の更正の請求の特則</w:t>
            </w:r>
          </w:p>
        </w:tc>
        <w:tc>
          <w:tcPr>
            <w:tcW w:type="dxa" w:w="38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後発的事由の確認</w:t>
            </w:r>
          </w:p>
        </w:tc>
      </w:tr>
      <w:tr>
        <w:trPr>
          <w:cantSplit/>
          <w:cantSplit/>
        </w:trPr>
        <w:tc>
          <w:tcPr>
            <w:tcW w:type="dxa" w:w="237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相続税法36条</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相続税の処分期限の特則</w:t>
            </w:r>
          </w:p>
        </w:tc>
        <w:tc>
          <w:tcPr>
            <w:tcW w:type="dxa" w:w="38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期間末近くの請求に伴う6月延長</w:t>
            </w:r>
          </w:p>
        </w:tc>
      </w:tr>
      <w:tr>
        <w:trPr>
          <w:cantSplit/>
          <w:cantSplit/>
        </w:trPr>
        <w:tc>
          <w:tcPr>
            <w:tcW w:type="dxa" w:w="2376"/>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相続税法37条</w:t>
            </w:r>
          </w:p>
        </w:tc>
        <w:tc>
          <w:tcPr>
            <w:tcW w:type="dxa" w:w="3672"/>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t>贈与税の更正・決定等の期間制限</w:t>
            </w:r>
          </w:p>
        </w:tc>
        <w:tc>
          <w:tcPr>
            <w:tcW w:type="dxa" w:w="3817"/>
            <w:shd w:val="clear" w:color="auto" w:fill="F6F8FA"/>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贈与税の6年・7年期間</w:t>
            </w:r>
          </w:p>
        </w:tc>
      </w:tr>
      <w:tr>
        <w:trPr>
          <w:cantSplit/>
          <w:cantSplit/>
        </w:trPr>
        <w:tc>
          <w:tcPr>
            <w:tcW w:type="dxa" w:w="2376"/>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措置法94条</w:t>
            </w:r>
          </w:p>
        </w:tc>
        <w:tc>
          <w:tcPr>
            <w:tcW w:type="dxa" w:w="3672"/>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延滞税の割合の特例</w:t>
            </w:r>
          </w:p>
        </w:tc>
        <w:tc>
          <w:tcPr>
            <w:tcW w:type="dxa" w:w="3817"/>
            <w:tcMar>
              <w:top w:w="90" w:type="dxa"/>
              <w:start w:w="110" w:type="dxa"/>
              <w:bottom w:w="90" w:type="dxa"/>
              <w:end w:w="110" w:type="dxa"/>
            </w:tcMar>
            <w:vAlign w:val="center"/>
            <w:tcBorders>
              <w:top w:val="single" w:sz="5" w:color="C9D2DF"/>
              <w:left w:val="single" w:sz="5" w:color="C9D2DF"/>
              <w:bottom w:val="single" w:sz="5" w:color="C9D2DF"/>
              <w:right w:val="single" w:sz="5" w:color="C9D2DF"/>
            </w:tcBorders>
          </w:tcPr>
          <w:p>
            <w:pPr>
              <w:pStyle w:val="TableText"/>
              <w:spacing w:after="0" w:before="0" w:line="259" w:lineRule="auto"/>
              <w:jc w:val="left"/>
            </w:pPr>
            <w:r>
              <w:rPr>
                <w:rFonts w:ascii="BIZ UDPゴシック" w:hAnsi="BIZ UDPゴシック" w:eastAsia="BIZ UDPゴシック"/>
                <w:b w:val="0"/>
                <w:color w:val="222222"/>
                <w:sz w:val="20"/>
              </w:rPr>
            </w:r>
            <w:r>
              <w:rPr>
                <w:rFonts w:ascii="BIZ UDPゴシック" w:hAnsi="BIZ UDPゴシック" w:eastAsia="BIZ UDPゴシック" w:cs="Yu Gothic"/>
                <w:b w:val="0"/>
                <w:color w:val="222222"/>
                <w:sz w:val="20"/>
              </w:rPr>
              <w:t>年ごとの延滞税割合</w:t>
            </w:r>
          </w:p>
        </w:tc>
      </w:tr>
    </w:tbl>
    <w:p>
      <w:pPr>
        <w:widowControl/>
        <w:spacing w:after="80" w:line="283" w:lineRule="auto"/>
      </w:pPr>
    </w:p>
    <w:p>
      <w:pPr>
        <w:pStyle w:val="Heading2"/>
        <w:keepNext/>
        <w:widowControl/>
        <w:spacing w:before="140" w:after="80"/>
      </w:pPr>
      <w:r>
        <w:rPr>
          <w:rFonts w:ascii="BIZ UDPゴシック" w:hAnsi="BIZ UDPゴシック" w:eastAsia="BIZ UDPゴシック"/>
          <w:b/>
          <w:color w:val="1F4E78"/>
          <w:sz w:val="27"/>
        </w:rPr>
        <w:t>確認先</w:t>
      </w:r>
    </w:p>
    <w:p>
      <w:pPr>
        <w:pStyle w:val="Source"/>
        <w:widowControl/>
        <w:spacing w:after="80" w:line="283" w:lineRule="auto"/>
        <w:ind w:left="113"/>
      </w:pPr>
      <w:r>
        <w:rPr>
          <w:rFonts w:ascii="BIZ UDPゴシック" w:hAnsi="BIZ UDPゴシック" w:eastAsia="BIZ UDPゴシック" w:cs="Yu Gothic"/>
          <w:b w:val="0"/>
          <w:color w:val="222222"/>
          <w:sz w:val="21"/>
        </w:rPr>
        <w:t xml:space="preserve">● </w:t>
      </w:r>
      <w:hyperlink r:id="rId13">
        <w:r>
          <w:rPr>
            <w:rFonts w:ascii="Yu Gothic" w:hAnsi="Yu Gothic" w:eastAsia="Yu Gothic" w:cs="Yu Gothic"/>
            <w:color w:val="2E5E86"/>
            <w:u w:val="single"/>
            <w:sz w:val="17"/>
          </w:rPr>
          <w:t>e-Gov法令検索｜国税通則法</w:t>
        </w:r>
      </w:hyperlink>
    </w:p>
    <w:p>
      <w:pPr>
        <w:pStyle w:val="Source"/>
        <w:widowControl/>
        <w:spacing w:after="80" w:line="283" w:lineRule="auto"/>
        <w:ind w:left="113"/>
      </w:pPr>
      <w:r>
        <w:rPr>
          <w:rFonts w:ascii="BIZ UDPゴシック" w:hAnsi="BIZ UDPゴシック" w:eastAsia="BIZ UDPゴシック" w:cs="Yu Gothic"/>
          <w:b w:val="0"/>
          <w:color w:val="222222"/>
          <w:sz w:val="21"/>
        </w:rPr>
        <w:t xml:space="preserve">● </w:t>
      </w:r>
      <w:hyperlink r:id="rId14">
        <w:r>
          <w:rPr>
            <w:rFonts w:ascii="Yu Gothic" w:hAnsi="Yu Gothic" w:eastAsia="Yu Gothic" w:cs="Yu Gothic"/>
            <w:color w:val="2E5E86"/>
            <w:u w:val="single"/>
            <w:sz w:val="17"/>
          </w:rPr>
          <w:t>e-Gov法令検索｜相続税法</w:t>
        </w:r>
      </w:hyperlink>
    </w:p>
    <w:p>
      <w:pPr>
        <w:pStyle w:val="Source"/>
        <w:widowControl/>
        <w:spacing w:after="80" w:line="283" w:lineRule="auto"/>
        <w:ind w:left="113"/>
      </w:pPr>
      <w:r>
        <w:rPr>
          <w:rFonts w:ascii="BIZ UDPゴシック" w:hAnsi="BIZ UDPゴシック" w:eastAsia="BIZ UDPゴシック" w:cs="Yu Gothic"/>
          <w:b w:val="0"/>
          <w:color w:val="222222"/>
          <w:sz w:val="21"/>
        </w:rPr>
        <w:t xml:space="preserve">● </w:t>
      </w:r>
      <w:hyperlink r:id="rId15">
        <w:r>
          <w:rPr>
            <w:rFonts w:ascii="Yu Gothic" w:hAnsi="Yu Gothic" w:eastAsia="Yu Gothic" w:cs="Yu Gothic"/>
            <w:color w:val="2E5E86"/>
            <w:u w:val="single"/>
            <w:sz w:val="17"/>
          </w:rPr>
          <w:t>国税庁｜税務調査手続に関するFAQ（一般納税者向け）</w:t>
        </w:r>
      </w:hyperlink>
    </w:p>
    <w:p>
      <w:pPr>
        <w:pStyle w:val="Source"/>
        <w:widowControl/>
        <w:spacing w:after="80" w:line="283" w:lineRule="auto"/>
        <w:ind w:left="113"/>
      </w:pPr>
      <w:r>
        <w:rPr>
          <w:rFonts w:ascii="BIZ UDPゴシック" w:hAnsi="BIZ UDPゴシック" w:eastAsia="BIZ UDPゴシック" w:cs="Yu Gothic"/>
          <w:b w:val="0"/>
          <w:color w:val="222222"/>
          <w:sz w:val="21"/>
        </w:rPr>
        <w:t xml:space="preserve">● </w:t>
      </w:r>
      <w:hyperlink r:id="rId16">
        <w:r>
          <w:rPr>
            <w:rFonts w:ascii="Yu Gothic" w:hAnsi="Yu Gothic" w:eastAsia="Yu Gothic" w:cs="Yu Gothic"/>
            <w:color w:val="2E5E86"/>
            <w:u w:val="single"/>
            <w:sz w:val="17"/>
          </w:rPr>
          <w:t>国税庁｜税務調査手続に関する事務運営指針</w:t>
        </w:r>
      </w:hyperlink>
    </w:p>
    <w:p>
      <w:pPr>
        <w:pStyle w:val="Source"/>
        <w:widowControl/>
        <w:spacing w:after="80" w:line="283" w:lineRule="auto"/>
        <w:ind w:left="113"/>
      </w:pPr>
      <w:r>
        <w:rPr>
          <w:rFonts w:ascii="BIZ UDPゴシック" w:hAnsi="BIZ UDPゴシック" w:eastAsia="BIZ UDPゴシック" w:cs="Yu Gothic"/>
          <w:b w:val="0"/>
          <w:color w:val="222222"/>
          <w:sz w:val="21"/>
        </w:rPr>
        <w:t xml:space="preserve">● </w:t>
      </w:r>
      <w:hyperlink r:id="rId17">
        <w:r>
          <w:rPr>
            <w:rFonts w:ascii="Yu Gothic" w:hAnsi="Yu Gothic" w:eastAsia="Yu Gothic" w:cs="Yu Gothic"/>
            <w:color w:val="2E5E86"/>
            <w:u w:val="single"/>
            <w:sz w:val="17"/>
          </w:rPr>
          <w:t>国税庁｜加算税制度について</w:t>
        </w:r>
      </w:hyperlink>
    </w:p>
    <w:p>
      <w:pPr>
        <w:pStyle w:val="Source"/>
        <w:widowControl/>
        <w:spacing w:after="80" w:line="283" w:lineRule="auto"/>
        <w:ind w:left="113"/>
      </w:pPr>
      <w:r>
        <w:rPr>
          <w:rFonts w:ascii="BIZ UDPゴシック" w:hAnsi="BIZ UDPゴシック" w:eastAsia="BIZ UDPゴシック" w:cs="Yu Gothic"/>
          <w:b w:val="0"/>
          <w:color w:val="222222"/>
          <w:sz w:val="21"/>
        </w:rPr>
        <w:t xml:space="preserve">● </w:t>
      </w:r>
      <w:hyperlink r:id="rId18">
        <w:r>
          <w:rPr>
            <w:rFonts w:ascii="Yu Gothic" w:hAnsi="Yu Gothic" w:eastAsia="Yu Gothic" w:cs="Yu Gothic"/>
            <w:color w:val="2E5E86"/>
            <w:u w:val="single"/>
            <w:sz w:val="17"/>
          </w:rPr>
          <w:t>国税庁｜延滞税の割合（タックスアンサー No.9205）</w:t>
        </w:r>
      </w:hyperlink>
    </w:p>
    <w:p>
      <w:pPr>
        <w:pStyle w:val="Source"/>
        <w:widowControl/>
        <w:spacing w:after="80" w:line="283" w:lineRule="auto"/>
        <w:ind w:left="113"/>
      </w:pPr>
      <w:r>
        <w:rPr>
          <w:rFonts w:ascii="BIZ UDPゴシック" w:hAnsi="BIZ UDPゴシック" w:eastAsia="BIZ UDPゴシック" w:cs="Yu Gothic"/>
          <w:b w:val="0"/>
          <w:color w:val="222222"/>
          <w:sz w:val="21"/>
        </w:rPr>
        <w:t xml:space="preserve">● </w:t>
      </w:r>
      <w:hyperlink r:id="rId19">
        <w:r>
          <w:rPr>
            <w:rFonts w:ascii="Yu Gothic" w:hAnsi="Yu Gothic" w:eastAsia="Yu Gothic" w:cs="Yu Gothic"/>
            <w:color w:val="2E5E86"/>
            <w:u w:val="single"/>
            <w:sz w:val="17"/>
          </w:rPr>
          <w:t>国税庁税務大学校｜国税通則法（令和8年度版）</w:t>
        </w:r>
      </w:hyperlink>
    </w:p>
    <w:p>
      <w:pPr>
        <w:pStyle w:val="Source"/>
        <w:widowControl/>
        <w:spacing w:after="80" w:line="283" w:lineRule="auto"/>
        <w:ind w:left="113"/>
      </w:pPr>
      <w:r>
        <w:rPr>
          <w:rFonts w:ascii="BIZ UDPゴシック" w:hAnsi="BIZ UDPゴシック" w:eastAsia="BIZ UDPゴシック" w:cs="Yu Gothic"/>
          <w:b w:val="0"/>
          <w:color w:val="222222"/>
          <w:sz w:val="21"/>
        </w:rPr>
        <w:t xml:space="preserve">● </w:t>
      </w:r>
      <w:hyperlink r:id="rId20">
        <w:r>
          <w:rPr>
            <w:rFonts w:ascii="Yu Gothic" w:hAnsi="Yu Gothic" w:eastAsia="Yu Gothic" w:cs="Yu Gothic"/>
            <w:color w:val="2E5E86"/>
            <w:u w:val="single"/>
            <w:sz w:val="17"/>
          </w:rPr>
          <w:t>国税庁税務大学校｜相続税法（令和8年度版）</w:t>
        </w:r>
      </w:hyperlink>
    </w:p>
    <w:tbl>
      <w:tblPr>
        <w:tblW w:type="dxa" w:w="9865"/>
        <w:tblLayout w:type="autofit"/>
        <w:tblLook w:firstColumn="1" w:firstRow="1" w:lastColumn="0" w:lastRow="0" w:noHBand="0" w:noVBand="1" w:val="04A0"/>
        <w:jc w:val="center"/>
        <w:tblInd w:w="120" w:type="dxa"/>
      </w:tblPr>
      <w:tblGrid>
        <w:gridCol w:w="9865"/>
      </w:tblGrid>
      <w:tr>
        <w:trPr>
          <w:cantSplit/>
          <w:tblHeader w:val="true"/>
          <w:cantSplit/>
        </w:trPr>
        <w:tc>
          <w:tcPr>
            <w:tcW w:type="dxa" w:w="9865"/>
            <w:tcMar>
              <w:top w:w="90" w:type="dxa"/>
              <w:start w:w="110" w:type="dxa"/>
              <w:bottom w:w="90" w:type="dxa"/>
              <w:end w:w="110" w:type="dxa"/>
            </w:tcMar>
            <w:vAlign w:val="center"/>
            <w:shd w:val="clear" w:color="auto" w:fill="EAF1F8"/>
            <w:tcBorders>
              <w:top w:val="single" w:sz="5" w:space="0" w:color="C9D2DF"/>
              <w:bottom w:val="single" w:sz="5" w:space="0" w:color="C9D2DF"/>
              <w:end w:val="nil" w:sz="0" w:space="0" w:color="EAF1F7"/>
              <w:start w:val="single" w:sz="24" w:space="0" w:color="183B63"/>
              <w:left w:val="single" w:sz="5" w:color="C9D2DF"/>
              <w:right w:val="single" w:sz="5" w:color="C9D2DF"/>
            </w:tcBorders>
          </w:tcPr>
          <w:p>
            <w:pPr>
              <w:spacing w:before="0" w:after="0" w:line="259" w:lineRule="auto"/>
              <w:jc w:val="center"/>
            </w:pPr>
            <w:r>
              <w:rPr>
                <w:rFonts w:ascii="BIZ UDPゴシック" w:hAnsi="BIZ UDPゴシック" w:eastAsia="BIZ UDPゴシック"/>
                <w:b/>
                <w:color w:val="17365D"/>
                <w:sz w:val="20"/>
              </w:rPr>
            </w:r>
            <w:r>
              <w:rPr>
                <w:rFonts w:ascii="BIZ UDPゴシック" w:hAnsi="BIZ UDPゴシック" w:eastAsia="BIZ UDPゴシック"/>
                <w:b/>
                <w:color w:val="17365D"/>
                <w:sz w:val="20"/>
              </w:rPr>
              <w:t>判断の前に</w:t>
            </w:r>
          </w:p>
          <w:p>
            <w:pPr>
              <w:spacing w:before="0" w:after="0" w:line="259" w:lineRule="auto"/>
              <w:jc w:val="center"/>
            </w:pPr>
            <w:r>
              <w:rPr>
                <w:rFonts w:ascii="BIZ UDPゴシック" w:hAnsi="BIZ UDPゴシック" w:eastAsia="BIZ UDPゴシック"/>
                <w:b w:val="0"/>
                <w:color w:val="222222"/>
                <w:sz w:val="20"/>
              </w:rPr>
              <w:t>処分、加算税、期間制限を判断するときは、適用時点の法令、通達、事務運営指針、内部通達と、個別事案の事実関係を必ず確認します。判断に迷う点がある場合は、上司や審理担当に相談してください。</w:t>
            </w:r>
          </w:p>
        </w:tc>
      </w:tr>
    </w:tbl>
    <w:p>
      <w:pPr>
        <w:widowControl/>
        <w:spacing w:after="80" w:line="283" w:lineRule="auto"/>
      </w:pPr>
    </w:p>
    <w:sectPr w:rsidR="00FC693F" w:rsidRPr="0006063C" w:rsidSect="00034616">
      <w:headerReference w:type="default" r:id="rId11"/>
      <w:footerReference w:type="default" r:id="rId12"/>
      <w:pgSz w:w="11906" w:h="16838"/>
      <w:pgMar w:top="935" w:right="935" w:bottom="879" w:left="935" w:header="397" w:footer="397"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BIZ UDPゴシック" w:hAnsi="BIZ UDPゴシック" w:eastAsia="BIZ UDPゴシック"/>
        <w:b w:val="0"/>
        <w:color w:val="5F6B7A"/>
        <w:sz w:val="17"/>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Z UDPゴシック" w:hAnsi="BIZ UDPゴシック" w:eastAsia="BIZ UDPゴシック"/>
        <w:b w:val="0"/>
        <w:color w:val="5F6B7A"/>
        <w:sz w:val="17"/>
      </w:rPr>
    </w:r>
    <w:r>
      <w:rPr>
        <w:rFonts w:ascii="BIZ UDPゴシック" w:hAnsi="BIZ UDPゴシック" w:eastAsia="BIZ UDPゴシック"/>
        <w:b w:val="0"/>
        <w:color w:val="5F6B7A"/>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BIZ UDPゴシック" w:hAnsi="BIZ UDPゴシック" w:eastAsia="BIZ UDPゴシック"/>
        <w:b w:val="0"/>
        <w:color w:val="5F6B7A"/>
        <w:sz w:val="17"/>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BIZ UDPゴシック" w:hAnsi="BIZ UDPゴシック" w:eastAsia="BIZ UDPゴシック"/>
        <w:b w:val="0"/>
        <w:color w:val="5F6B7A"/>
        <w:sz w:val="17"/>
      </w:rPr>
      <w:t>相続税調査の法的根拠　新任者研修資料</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10" w:line="300" w:lineRule="auto"/>
    </w:pPr>
    <w:rPr>
      <w:rFonts w:ascii="BIZ UDPゴシック" w:hAnsi="BIZ UDPゴシック" w:eastAsia="BIZ UDPゴシック" w:cs="Yu Gothic"/>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60" w:line="252" w:lineRule="auto"/>
      <w:outlineLvl w:val="0"/>
    </w:pPr>
    <w:rPr>
      <w:rFonts w:asciiTheme="majorHAnsi" w:eastAsiaTheme="majorEastAsia" w:hAnsiTheme="majorHAnsi" w:cstheme="majorBidi" w:ascii="BIZ UDPゴシック" w:hAnsi="BIZ UDPゴシック" w:eastAsia="BIZ UDPゴシック" w:cs="Yu Gothic"/>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line="264" w:lineRule="auto"/>
      <w:outlineLvl w:val="1"/>
    </w:pPr>
    <w:rPr>
      <w:rFonts w:asciiTheme="majorHAnsi" w:eastAsiaTheme="majorEastAsia" w:hAnsiTheme="majorHAnsi" w:cstheme="majorBidi" w:ascii="BIZ UDPゴシック" w:hAnsi="BIZ UDPゴシック" w:eastAsia="BIZ UDPゴシック" w:cs="Yu Gothic"/>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40" w:after="80" w:line="276" w:lineRule="auto"/>
      <w:outlineLvl w:val="2"/>
    </w:pPr>
    <w:rPr>
      <w:rFonts w:asciiTheme="majorHAnsi" w:eastAsiaTheme="majorEastAsia" w:hAnsiTheme="majorHAnsi" w:cstheme="majorBidi" w:ascii="BIZ UDPゴシック" w:hAnsi="BIZ UDPゴシック" w:eastAsia="BIZ UDPゴシック" w:cs="Yu Gothic"/>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BIZ UDPゴシック" w:hAnsi="BIZ UDPゴシック" w:eastAsia="BIZ UDPゴシック" w:cs="Yu Gothic"/>
      <w:b/>
      <w:color w:val="183B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76" w:lineRule="auto"/>
    </w:pPr>
    <w:rPr>
      <w:rFonts w:asciiTheme="majorHAnsi" w:eastAsiaTheme="majorEastAsia" w:hAnsiTheme="majorHAnsi" w:cstheme="majorBidi" w:ascii="BIZ UDPゴシック" w:hAnsi="BIZ UDPゴシック" w:eastAsia="BIZ UDPゴシック" w:cs="Yu Gothic"/>
      <w:i/>
      <w:iCs/>
      <w:color w:val="5E6B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93" w:lineRule="auto"/>
      <w:ind w:left="425" w:hanging="215"/>
      <w:contextualSpacing/>
    </w:pPr>
    <w:rPr>
      <w:rFonts w:ascii="BIZ UDPゴシック" w:hAnsi="BIZ UDPゴシック" w:eastAsia="BIZ UDPゴシック" w:cs="Yu Gothic"/>
      <w:color w:val="1D27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93" w:lineRule="auto"/>
      <w:ind w:left="425" w:hanging="215"/>
      <w:contextualSpacing/>
    </w:pPr>
    <w:rPr>
      <w:rFonts w:ascii="Yu Gothic" w:hAnsi="Yu Gothic" w:eastAsia="Yu Gothic" w:cs="Yu Gothic"/>
      <w:color w:val="1D27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before="0" w:after="60" w:line="283" w:lineRule="auto"/>
      <w:jc w:val="center"/>
    </w:pPr>
    <w:rPr>
      <w:rFonts w:ascii="BIZ UDPゴシック" w:hAnsi="BIZ UDPゴシック" w:eastAsia="BIZ UDPゴシック" w:cs="Yu Gothic"/>
      <w:b/>
      <w:color w:val="2F6B73"/>
      <w:sz w:val="21"/>
    </w:rPr>
  </w:style>
  <w:style w:type="paragraph" w:customStyle="1" w:styleId="CoverTitle">
    <w:name w:val="Cover Title"/>
    <w:pPr>
      <w:spacing w:before="0" w:after="60" w:line="283" w:lineRule="auto"/>
      <w:jc w:val="center"/>
    </w:pPr>
    <w:rPr>
      <w:rFonts w:ascii="BIZ UDPゴシック" w:hAnsi="BIZ UDPゴシック" w:eastAsia="BIZ UDPゴシック" w:cs="Yu Gothic"/>
      <w:b/>
      <w:color w:val="183B63"/>
      <w:sz w:val="48"/>
    </w:rPr>
  </w:style>
  <w:style w:type="paragraph" w:customStyle="1" w:styleId="CoverSubtitle">
    <w:name w:val="Cover Subtitle"/>
    <w:pPr>
      <w:spacing w:before="0" w:after="60" w:line="283" w:lineRule="auto"/>
      <w:jc w:val="center"/>
    </w:pPr>
    <w:rPr>
      <w:rFonts w:ascii="BIZ UDPゴシック" w:hAnsi="BIZ UDPゴシック" w:eastAsia="BIZ UDPゴシック" w:cs="Yu Gothic"/>
      <w:b w:val="0"/>
      <w:color w:val="5E6B78"/>
      <w:sz w:val="25"/>
    </w:rPr>
  </w:style>
  <w:style w:type="paragraph" w:customStyle="1" w:styleId="Lead">
    <w:name w:val="Lead"/>
    <w:pPr>
      <w:spacing w:before="0" w:after="60" w:line="283" w:lineRule="auto"/>
    </w:pPr>
    <w:rPr>
      <w:rFonts w:ascii="BIZ UDPゴシック" w:hAnsi="BIZ UDPゴシック" w:eastAsia="BIZ UDPゴシック" w:cs="Yu Gothic"/>
      <w:b/>
      <w:color w:val="102A43"/>
      <w:sz w:val="22"/>
    </w:rPr>
  </w:style>
  <w:style w:type="paragraph" w:customStyle="1" w:styleId="SectionIntro">
    <w:name w:val="Section Intro"/>
    <w:pPr>
      <w:spacing w:before="0" w:after="60" w:line="283" w:lineRule="auto"/>
    </w:pPr>
    <w:rPr>
      <w:rFonts w:ascii="BIZ UDPゴシック" w:hAnsi="BIZ UDPゴシック" w:eastAsia="BIZ UDPゴシック" w:cs="Yu Gothic"/>
      <w:b w:val="0"/>
      <w:color w:val="1D2733"/>
      <w:sz w:val="22"/>
    </w:rPr>
  </w:style>
  <w:style w:type="paragraph" w:customStyle="1" w:styleId="LegalBasis">
    <w:name w:val="Legal Basis"/>
    <w:pPr>
      <w:spacing w:before="0" w:after="60" w:line="283" w:lineRule="auto"/>
    </w:pPr>
    <w:rPr>
      <w:rFonts w:ascii="BIZ UDPゴシック" w:hAnsi="BIZ UDPゴシック" w:eastAsia="BIZ UDPゴシック" w:cs="Yu Gothic"/>
      <w:b/>
      <w:color w:val="8C2D2D"/>
      <w:sz w:val="20"/>
    </w:rPr>
  </w:style>
  <w:style w:type="paragraph" w:customStyle="1" w:styleId="Small">
    <w:name w:val="Small"/>
    <w:pPr>
      <w:spacing w:before="0" w:after="40" w:line="283" w:lineRule="auto"/>
    </w:pPr>
    <w:rPr>
      <w:rFonts w:ascii="Yu Gothic" w:hAnsi="Yu Gothic" w:eastAsia="Yu Gothic" w:cs="Yu Gothic"/>
      <w:b w:val="0"/>
      <w:color w:val="5E6B78"/>
      <w:sz w:val="17"/>
    </w:rPr>
  </w:style>
  <w:style w:type="paragraph" w:customStyle="1" w:styleId="Source">
    <w:name w:val="Source"/>
    <w:pPr>
      <w:spacing w:before="0" w:after="40" w:line="283" w:lineRule="auto"/>
    </w:pPr>
    <w:rPr>
      <w:rFonts w:ascii="Yu Gothic" w:hAnsi="Yu Gothic" w:eastAsia="Yu Gothic" w:cs="Yu Gothic"/>
      <w:b w:val="0"/>
      <w:color w:val="5E6B78"/>
      <w:sz w:val="17"/>
    </w:rPr>
  </w:style>
  <w:style w:type="paragraph" w:customStyle="1" w:styleId="TableText">
    <w:name w:val="Table Text"/>
    <w:pPr>
      <w:spacing w:before="0" w:after="60" w:line="283" w:lineRule="auto"/>
    </w:pPr>
    <w:rPr>
      <w:rFonts w:ascii="Yu Gothic" w:hAnsi="Yu Gothic" w:eastAsia="Yu Gothic" w:cs="Yu Gothic"/>
      <w:b w:val="0"/>
      <w:color w:val="1D2733"/>
      <w:sz w:val="18"/>
    </w:rPr>
  </w:style>
  <w:style w:type="paragraph" w:customStyle="1" w:styleId="TableHeader">
    <w:name w:val="Table Header"/>
    <w:pPr>
      <w:spacing w:before="0" w:after="60" w:line="283" w:lineRule="auto"/>
    </w:pPr>
    <w:rPr>
      <w:rFonts w:ascii="Yu Gothic" w:hAnsi="Yu Gothic" w:eastAsia="Yu Gothic" w:cs="Yu Gothic"/>
      <w:b/>
      <w:color w:val="102A43"/>
      <w:sz w:val="18"/>
    </w:rPr>
  </w:style>
  <w:style w:type="paragraph" w:customStyle="1" w:styleId="CalloutLabel">
    <w:name w:val="Callout Label"/>
    <w:pPr>
      <w:spacing w:before="0" w:after="60" w:line="283" w:lineRule="auto"/>
    </w:pPr>
    <w:rPr>
      <w:rFonts w:ascii="Yu Gothic" w:hAnsi="Yu Gothic" w:eastAsia="Yu Gothic" w:cs="Yu Gothic"/>
      <w:b/>
      <w:color w:val="183B63"/>
      <w:sz w:val="19"/>
    </w:rPr>
  </w:style>
  <w:style w:type="paragraph" w:customStyle="1" w:styleId="CalloutBody">
    <w:name w:val="Callout Body"/>
    <w:pPr>
      <w:spacing w:before="0" w:after="60" w:line="283" w:lineRule="auto"/>
    </w:pPr>
    <w:rPr>
      <w:rFonts w:ascii="Yu Gothic" w:hAnsi="Yu Gothic" w:eastAsia="Yu Gothic" w:cs="Yu Gothic"/>
      <w:b w:val="0"/>
      <w:color w:val="1D273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laws.e-gov.go.jp/law/337AC0000000066" TargetMode="External"/><Relationship Id="rId14" Type="http://schemas.openxmlformats.org/officeDocument/2006/relationships/hyperlink" Target="https://laws.e-gov.go.jp/law/325AC0000000073" TargetMode="External"/><Relationship Id="rId15" Type="http://schemas.openxmlformats.org/officeDocument/2006/relationships/hyperlink" Target="https://www.nta.go.jp/information/other/data/h24/nozeikankyo/ippan02.htm" TargetMode="External"/><Relationship Id="rId16" Type="http://schemas.openxmlformats.org/officeDocument/2006/relationships/hyperlink" Target="https://www.nta.go.jp/law/jimu-unei/sonota/120912/index.htm" TargetMode="External"/><Relationship Id="rId17" Type="http://schemas.openxmlformats.org/officeDocument/2006/relationships/hyperlink" Target="https://www.nta.go.jp/publication/pamph/sonota/kasan.pdf" TargetMode="External"/><Relationship Id="rId18" Type="http://schemas.openxmlformats.org/officeDocument/2006/relationships/hyperlink" Target="https://www.nta.go.jp/taxes/shiraberu/taxanswer/osirase/9205.htm" TargetMode="External"/><Relationship Id="rId19" Type="http://schemas.openxmlformats.org/officeDocument/2006/relationships/hyperlink" Target="https://www.nta.go.jp/about/organization/ntc/kohon/tuusoku/pdf/all.pdf" TargetMode="External"/><Relationship Id="rId20" Type="http://schemas.openxmlformats.org/officeDocument/2006/relationships/hyperlink" Target="https://www.nta.go.jp/about/organization/ntc/kohon/souzoku/pdf/all.pdf" TargetMode="External"/><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相続税調査の法的根拠</dc:title>
  <dc:subject>相続税調査の基本手続と法的根拠</dc:subject>
  <dc:creator/>
  <cp:keywords>相続税, 税務調査, 質問検査権, 新任者研修</cp:keywords>
  <dc:description>generated by python-docx</dc:description>
  <cp:lastModifiedBy/>
  <cp:revision>1</cp:revision>
  <dcterms:created xsi:type="dcterms:W3CDTF">2013-12-23T23:15:00Z</dcterms:created>
  <dcterms:modified xsi:type="dcterms:W3CDTF">2013-12-23T23:15:00Z</dcterms:modified>
  <cp:category/>
</cp:coreProperties>
</file>