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游ゴシック" w:cs="游ゴシック" w:eastAsia="游ゴシック" w:hAnsi="游ゴシック"/>
          <w:b/>
          <w:bCs/>
          <w:sz w:val="40"/>
          <w:szCs w:val="40"/>
        </w:rPr>
        <w:t xml:space="preserve">争点整理票</w:t>
      </w:r>
    </w:p>
    <w:p>
      <w:pPr>
        <w:spacing w:after="40"/>
        <w:jc w:val="center"/>
      </w:pPr>
      <w:r>
        <w:rPr>
          <w:rFonts w:ascii="游ゴシック" w:cs="游ゴシック" w:eastAsia="游ゴシック" w:hAnsi="游ゴシック"/>
          <w:color w:val="555555"/>
          <w:sz w:val="24"/>
          <w:szCs w:val="24"/>
        </w:rPr>
        <w:t xml:space="preserve">みなし贈与課税（相続税法9条）－代表・妻分</w:t>
      </w:r>
    </w:p>
    <w:p>
      <w:pPr>
        <w:spacing w:after="300"/>
        <w:jc w:val="center"/>
      </w:pPr>
      <w:r>
        <w:rPr>
          <w:rFonts w:ascii="游ゴシック" w:cs="游ゴシック" w:eastAsia="游ゴシック" w:hAnsi="游ゴシック"/>
          <w:color w:val="777777"/>
          <w:sz w:val="20"/>
          <w:szCs w:val="20"/>
        </w:rPr>
        <w:t xml:space="preserve">作成基準日：令和8年8月30日</w:t>
      </w:r>
    </w:p>
    <w:p>
      <w:pPr>
        <w:pStyle w:val="Heading2"/>
        <w:spacing w:after="100" w:before="260"/>
      </w:pPr>
      <w:r>
        <w:rPr>
          <w:rFonts w:ascii="游ゴシック" w:cs="游ゴシック" w:eastAsia="游ゴシック" w:hAnsi="游ゴシック"/>
          <w:b/>
          <w:bCs/>
          <w:color w:val="2E4C7E"/>
          <w:sz w:val="24"/>
          <w:szCs w:val="24"/>
        </w:rPr>
        <w:t xml:space="preserve">基本情報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shd w:fill="1F3864" w:val="clear"/>
            <w:tcMar>
              <w:top w:type="dxa" w:w="100"/>
              <w:left w:type="dxa" w:w="120"/>
              <w:bottom w:type="dxa" w:w="100"/>
              <w:right w:type="dxa" w:w="120"/>
            </w:tcMar>
            <w:vAlign w:val="center"/>
          </w:tcPr>
          <w:p>
            <w:pPr>
              <w:spacing w:line="280"/>
            </w:pPr>
            <w:r>
              <w:rPr>
                <w:rFonts w:ascii="游ゴシック" w:cs="游ゴシック" w:eastAsia="游ゴシック" w:hAnsi="游ゴシック"/>
                <w:b/>
                <w:bCs/>
                <w:color w:val="FFFFFF"/>
                <w:sz w:val="20"/>
                <w:szCs w:val="20"/>
              </w:rPr>
              <w:t xml:space="preserve">項目</w:t>
            </w:r>
          </w:p>
        </w:tc>
        <w:tc>
          <w:tcPr>
            <w:tcW w:type="dxa" w:w="7026"/>
            <w:shd w:fill="1F3864" w:val="clear"/>
            <w:tcMar>
              <w:top w:type="dxa" w:w="100"/>
              <w:left w:type="dxa" w:w="120"/>
              <w:bottom w:type="dxa" w:w="100"/>
              <w:right w:type="dxa" w:w="120"/>
            </w:tcMar>
            <w:vAlign w:val="center"/>
          </w:tcPr>
          <w:p>
            <w:pPr>
              <w:spacing w:line="280"/>
            </w:pPr>
            <w:r>
              <w:rPr>
                <w:rFonts w:ascii="游ゴシック" w:cs="游ゴシック" w:eastAsia="游ゴシック" w:hAnsi="游ゴシック"/>
                <w:b/>
                <w:bCs/>
                <w:color w:val="FFFFFF"/>
                <w:sz w:val="20"/>
                <w:szCs w:val="20"/>
              </w:rPr>
              <w:t xml:space="preserve">内容</w:t>
            </w:r>
          </w:p>
        </w:tc>
      </w:tr>
      <w:tr>
        <w:trPr>
          <w:cantSplit/>
        </w:trPr>
        <w:tc>
          <w:tcPr>
            <w:tcW w:type="dxa" w:w="2000"/>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事案</w:t>
            </w:r>
          </w:p>
        </w:tc>
        <w:tc>
          <w:tcPr>
            <w:tcW w:type="dxa" w:w="702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同族会社株式異動事案（相続税調査）</w:t>
            </w:r>
          </w:p>
        </w:tc>
      </w:tr>
      <w:tr>
        <w:trPr>
          <w:cantSplit/>
        </w:trPr>
        <w:tc>
          <w:tcPr>
            <w:tcW w:type="dxa" w:w="2000"/>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対象税目</w:t>
            </w:r>
          </w:p>
        </w:tc>
        <w:tc>
          <w:tcPr>
            <w:tcW w:type="dxa" w:w="702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贈与税</w:t>
            </w:r>
          </w:p>
        </w:tc>
      </w:tr>
      <w:tr>
        <w:trPr>
          <w:cantSplit/>
        </w:trPr>
        <w:tc>
          <w:tcPr>
            <w:tcW w:type="dxa" w:w="2000"/>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みなし贈与者／受贈者</w:t>
            </w:r>
          </w:p>
        </w:tc>
        <w:tc>
          <w:tcPr>
            <w:tcW w:type="dxa" w:w="702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弟177株・母123株（合計300株、全て自己株式）／代表取締役・妻。対価は1株5万円（出資時払込価額と同額）</w:t>
            </w:r>
          </w:p>
        </w:tc>
      </w:tr>
      <w:tr>
        <w:trPr>
          <w:cantSplit/>
        </w:trPr>
        <w:tc>
          <w:tcPr>
            <w:tcW w:type="dxa" w:w="2000"/>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会社規模区分</w:t>
            </w:r>
          </w:p>
        </w:tc>
        <w:tc>
          <w:tcPr>
            <w:tcW w:type="dxa" w:w="702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中会社</w:t>
            </w:r>
          </w:p>
        </w:tc>
      </w:tr>
    </w:tbl>
    <w:p>
      <w:r>
        <w:br w:type="page"/>
      </w:r>
    </w:p>
    <w:p>
      <w:pPr>
        <w:pStyle w:val="Heading2"/>
        <w:spacing w:after="100" w:before="260"/>
      </w:pPr>
      <w:r>
        <w:rPr>
          <w:rFonts w:ascii="游ゴシック" w:cs="游ゴシック" w:eastAsia="游ゴシック" w:hAnsi="游ゴシック"/>
          <w:b/>
          <w:bCs/>
          <w:color w:val="2E4C7E"/>
          <w:sz w:val="24"/>
          <w:szCs w:val="24"/>
        </w:rPr>
        <w:t xml:space="preserve">争点1：時価の算定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争点の概要</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弟・母の各譲渡時点における株式の時価をどう算定するか。59条（弟・母自身の譲渡所得）と9条（代表・妻が受ける利益）とで、参照すべき時価が一致するとは限らない点を含む。</w:t>
            </w:r>
          </w:p>
        </w:tc>
      </w:tr>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争点に係る法律上の
課税要件</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財産評価基本通達178～185（取引相場のない株式の評価。原則的評価方式・配当還元方式の選択、会社規模区分）。所得税基本通達59-6（59条適用時の評価特則。同族株主・中心的な同族株主の判定基準、及び中心的な同族株主が譲渡した場合の小会社擬制）。評基通183・185、法人税法施行令8条1項二十号（自己株式取得の評価額への反映）。</w:t>
            </w:r>
          </w:p>
        </w:tc>
      </w:tr>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調査担当者の事実認定
（又は法令解釈）</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弟・母は合計300株、発行済株式600株の半分を保有する中心的同族株主グループの一員であり、配当還元方式は使えず、原則的評価方式で評価する。会社規模区分は中会社。</w:t>
            </w:r>
          </w:p>
          <w:p>
            <w:pPr>
              <w:spacing w:after="100" w:line="300"/>
            </w:pPr>
            <w:r>
              <w:rPr>
                <w:rFonts w:ascii="游ゴシック" w:cs="游ゴシック" w:eastAsia="游ゴシック" w:hAnsi="游ゴシック"/>
                <w:sz w:val="21"/>
                <w:szCs w:val="21"/>
              </w:rPr>
              <w:t xml:space="preserve">弟・母自身の59条上の時価は、59-6(2)により別枠で算定する。弟は単独の保有割合（177株／600株、約29.5%）で「中心的な同族株主」（評基通188(2)）に該当し、母も直系卑属（代表・弟）の持株を合算すれば同様に該当するため、いずれも発行会社を常に小会社として評価する（類似業種比準方式のウエイト上限0.50）。これに対し9条側（代表・妻が受ける利益）は実際の中会社区分で評価する（類似業種比準方式のウエイトがより高い）。類似業種比準方式は純資産価額方式より低く出ることが多く、弟・母自身の譲渡価額の方が9条の算定に使う時価より高めに出る可能性がある。</w:t>
            </w:r>
          </w:p>
          <w:p>
            <w:pPr>
              <w:spacing w:after="100" w:line="300"/>
            </w:pPr>
            <w:r>
              <w:rPr>
                <w:rFonts w:ascii="游ゴシック" w:cs="游ゴシック" w:eastAsia="游ゴシック" w:hAnsi="游ゴシック"/>
                <w:sz w:val="21"/>
                <w:szCs w:val="21"/>
              </w:rPr>
              <w:t xml:space="preserve">300株全てが自己株式として現存することは、純資産価額方式（発行済株式数からの控除、評基通185）・類似業種比準方式（資本金等の額の減少、評基通183）の両経路で評価額を押し上げる。弟の譲渡と母の譲渡は別個の課税時期を持つため、評価もそれぞれの時点で個別に行う。</w:t>
            </w:r>
          </w:p>
        </w:tc>
      </w:tr>
    </w:tbl>
    <w:p>
      <w:pPr>
        <w:pStyle w:val="Heading2"/>
        <w:spacing w:after="100" w:before="260"/>
      </w:pPr>
      <w:r>
        <w:rPr>
          <w:rFonts w:ascii="游ゴシック" w:cs="游ゴシック" w:eastAsia="游ゴシック" w:hAnsi="游ゴシック"/>
          <w:b/>
          <w:bCs/>
          <w:color w:val="2E4C7E"/>
          <w:sz w:val="24"/>
          <w:szCs w:val="24"/>
        </w:rPr>
        <w:t xml:space="preserve">争点2：相続税法9条の該当性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争点の概要</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自己株式の低額取得によって残存株主に生じた評価額の上昇分に、相続税法9条によるみなし贈与課税を適用できるか。基本通達9-2(4)の文言（純資産増加の場面）に自己株式取得が形式的に合致しない点をどう扱うか。</w:t>
            </w:r>
          </w:p>
        </w:tc>
      </w:tr>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争点に係る法律上の
課税要件</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相続税法9条（対価を支払わないで、又は著しく低い価額の対価で利益を受けた場合、利益を受けさせた者からの贈与とみなす）。基本通達9-2(4)（会社に対する低額譲渡の例示、純資産増加の場面）。</w:t>
            </w:r>
          </w:p>
        </w:tc>
      </w:tr>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調査担当者の事実認定
（又は法令解釈）</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9条は取引類型（資本取引か損益取引か）で区別されず、対立承継関係（利益を与えた者と受けた者の直接の対価授受）も要求しない（東京高裁平成27年4月22日判決）。自己株式の取得は会社の純資産を減少させる取引であり、9-2(4)の文言（純資産増加）には形式的に合致しないが、9-2(4)は9条に該当する場合の例示にすぎず、これに合致しないことは9条本体の適用を妨げない。9条の実質は、譲渡株主が失った経済的価値と残存株主が得た価値との直接対応にある。会社の純資産総額（パイの大きさ）は譲渡前後で変わらず、動いたのは持分比率だけであり、純資産の増減という指標を経由しなくても、この対応関係だけで9条の要件は満たされる。</w:t>
            </w:r>
          </w:p>
          <w:p>
            <w:pPr>
              <w:spacing w:after="100" w:line="300"/>
            </w:pPr>
            <w:r>
              <w:rPr>
                <w:rFonts w:ascii="游ゴシック" w:cs="游ゴシック" w:eastAsia="游ゴシック" w:hAnsi="游ゴシック"/>
                <w:sz w:val="21"/>
                <w:szCs w:val="21"/>
              </w:rPr>
              <w:t xml:space="preserve">無関係な会社間の資産移動であれば株主総会決議に「利益を受けさせる」行為を見出す迂回が必要になるが、本件は弟・母という個人自身が自分の株式を低額の対価で手放す直接の処分行為が起点であり、9条の基本形に近く当てはめやすい。当事者間の特別の関係（東京高裁27年判決）も、弟・母と代表・妻の兄弟姉妹・親子関係で満たす。</w:t>
            </w:r>
          </w:p>
          <w:p>
            <w:pPr>
              <w:spacing w:after="100" w:line="300"/>
            </w:pPr>
            <w:r>
              <w:rPr>
                <w:rFonts w:ascii="游ゴシック" w:cs="游ゴシック" w:eastAsia="游ゴシック" w:hAnsi="游ゴシック"/>
                <w:sz w:val="21"/>
                <w:szCs w:val="21"/>
              </w:rPr>
              <w:t xml:space="preserve">自己株式の低額取得を理由に9条を適用した公表裁判例・裁決例そのものは確認できていない。ただし上記は、対立承継関係不要・評価益でも利益に当たる・取引類型不問という既存の考え方の延長にとどまり、新しい法解釈を要しない。</w:t>
            </w:r>
          </w:p>
        </w:tc>
      </w:tr>
    </w:tbl>
    <w:p>
      <w:pPr>
        <w:pStyle w:val="Heading2"/>
        <w:spacing w:after="100" w:before="260"/>
      </w:pPr>
      <w:r>
        <w:rPr>
          <w:rFonts w:ascii="游ゴシック" w:cs="游ゴシック" w:eastAsia="游ゴシック" w:hAnsi="游ゴシック"/>
          <w:b/>
          <w:bCs/>
          <w:color w:val="2E4C7E"/>
          <w:sz w:val="24"/>
          <w:szCs w:val="24"/>
        </w:rPr>
        <w:t xml:space="preserve">争点3：経済的利益の額の算定構造と受益者の範囲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争点の概要</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弟・母それぞれの譲渡による経済的利益の額をどう算定し、誰にどう按分するか。2回の譲渡の先後関係が受益者の範囲に影響する。</w:t>
            </w:r>
          </w:p>
        </w:tc>
      </w:tr>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争点に係る法律上の
課税要件</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相続税法9条。基本通達9-5（複数の受益者がいる場合の按分の考え方に準じる）。</w:t>
            </w:r>
          </w:p>
        </w:tc>
      </w:tr>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調査担当者の事実認定
（又は法令解釈）</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経済的利益の額は、譲渡直前・直後の1株当たり評価額の差に、その時点の既存株主の保有株数を乗じて算定する。弟の譲渡と母の譲渡は別個の課税時期を持つため、算定は2段階に分ける。まとめて計算すると、母が弟の譲渡時点では受益者側にもいたという事実が算定から消えるため、必ず段階を追う。</w:t>
            </w:r>
          </w:p>
          <w:p>
            <w:pPr>
              <w:spacing w:after="100" w:line="300"/>
            </w:pPr>
            <w:r>
              <w:rPr>
                <w:rFonts w:ascii="游ゴシック" w:cs="游ゴシック" w:eastAsia="游ゴシック" w:hAnsi="游ゴシック"/>
                <w:sz w:val="21"/>
                <w:szCs w:val="21"/>
              </w:rPr>
              <w:t xml:space="preserve">仮の数字（純資産評価額総額3億円、純資産価額方式のみの簡略化）では、弟の譲渡による上昇幅は1株18.8万円（受益者は代表・妻・母）、母の譲渡による上昇幅は1株26.2万円（受益者は代表・妻）になる。母の保有株数（123株）が弟（177株）より少なくても、株数が縮んだ後の会社を基準にする分、母の譲渡1株当たりの上昇幅の方が大きい。ただしこの試算は9条側に必要な中会社の類似業種比準方式を反映しておらず（争点1）、実際の数値は変わりうる。</w:t>
            </w:r>
          </w:p>
        </w:tc>
      </w:tr>
    </w:tbl>
    <w:p>
      <w:pPr>
        <w:spacing w:after="100" w:line="300"/>
      </w:pPr>
      <w:r>
        <w:rPr>
          <w:rFonts w:ascii="游ゴシック" w:cs="游ゴシック" w:eastAsia="游ゴシック" w:hAnsi="游ゴシック"/>
          <w:b/>
          <w:bCs/>
          <w:sz w:val="21"/>
          <w:szCs w:val="21"/>
        </w:rPr>
        <w:t xml:space="preserve">参考：段階別の試算（仮の数字）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6"/>
        <w:gridCol w:w="2276"/>
        <w:gridCol w:w="2276"/>
      </w:tblGrid>
      <w:tr>
        <w:trPr>
          <w:cantSplit/>
        </w:trPr>
        <w:tc>
          <w:tcPr>
            <w:tcW w:type="dxa" w:w="2200"/>
            <w:shd w:fill="1F3864" w:val="clear"/>
            <w:tcMar>
              <w:top w:type="dxa" w:w="100"/>
              <w:left w:type="dxa" w:w="120"/>
              <w:bottom w:type="dxa" w:w="100"/>
              <w:right w:type="dxa" w:w="120"/>
            </w:tcMar>
            <w:vAlign w:val="center"/>
          </w:tcPr>
          <w:p>
            <w:pPr>
              <w:spacing w:line="280"/>
            </w:pPr>
            <w:r>
              <w:rPr>
                <w:rFonts w:ascii="游ゴシック" w:cs="游ゴシック" w:eastAsia="游ゴシック" w:hAnsi="游ゴシック"/>
                <w:b/>
                <w:bCs/>
                <w:color w:val="FFFFFF"/>
                <w:sz w:val="20"/>
                <w:szCs w:val="20"/>
              </w:rPr>
              <w:t xml:space="preserve">段階</w:t>
            </w:r>
          </w:p>
        </w:tc>
        <w:tc>
          <w:tcPr>
            <w:tcW w:type="dxa" w:w="2276"/>
            <w:shd w:fill="1F3864" w:val="clear"/>
            <w:tcMar>
              <w:top w:type="dxa" w:w="100"/>
              <w:left w:type="dxa" w:w="120"/>
              <w:bottom w:type="dxa" w:w="100"/>
              <w:right w:type="dxa" w:w="120"/>
            </w:tcMar>
            <w:vAlign w:val="center"/>
          </w:tcPr>
          <w:p>
            <w:pPr>
              <w:spacing w:line="280"/>
            </w:pPr>
            <w:r>
              <w:rPr>
                <w:rFonts w:ascii="游ゴシック" w:cs="游ゴシック" w:eastAsia="游ゴシック" w:hAnsi="游ゴシック"/>
                <w:b/>
                <w:bCs/>
                <w:color w:val="FFFFFF"/>
                <w:sz w:val="20"/>
                <w:szCs w:val="20"/>
              </w:rPr>
              <w:t xml:space="preserve">1株当たり評価額</w:t>
            </w:r>
          </w:p>
        </w:tc>
        <w:tc>
          <w:tcPr>
            <w:tcW w:type="dxa" w:w="2276"/>
            <w:shd w:fill="1F3864" w:val="clear"/>
            <w:tcMar>
              <w:top w:type="dxa" w:w="100"/>
              <w:left w:type="dxa" w:w="120"/>
              <w:bottom w:type="dxa" w:w="100"/>
              <w:right w:type="dxa" w:w="120"/>
            </w:tcMar>
            <w:vAlign w:val="center"/>
          </w:tcPr>
          <w:p>
            <w:pPr>
              <w:spacing w:line="280"/>
            </w:pPr>
            <w:r>
              <w:rPr>
                <w:rFonts w:ascii="游ゴシック" w:cs="游ゴシック" w:eastAsia="游ゴシック" w:hAnsi="游ゴシック"/>
                <w:b/>
                <w:bCs/>
                <w:color w:val="FFFFFF"/>
                <w:sz w:val="20"/>
                <w:szCs w:val="20"/>
              </w:rPr>
              <w:t xml:space="preserve">上昇幅</w:t>
            </w:r>
          </w:p>
        </w:tc>
        <w:tc>
          <w:tcPr>
            <w:tcW w:type="dxa" w:w="2276"/>
            <w:shd w:fill="1F3864" w:val="clear"/>
            <w:tcMar>
              <w:top w:type="dxa" w:w="100"/>
              <w:left w:type="dxa" w:w="120"/>
              <w:bottom w:type="dxa" w:w="100"/>
              <w:right w:type="dxa" w:w="120"/>
            </w:tcMar>
            <w:vAlign w:val="center"/>
          </w:tcPr>
          <w:p>
            <w:pPr>
              <w:spacing w:line="280"/>
            </w:pPr>
            <w:r>
              <w:rPr>
                <w:rFonts w:ascii="游ゴシック" w:cs="游ゴシック" w:eastAsia="游ゴシック" w:hAnsi="游ゴシック"/>
                <w:b/>
                <w:bCs/>
                <w:color w:val="FFFFFF"/>
                <w:sz w:val="20"/>
                <w:szCs w:val="20"/>
              </w:rPr>
              <w:t xml:space="preserve">受益者</w:t>
            </w:r>
          </w:p>
        </w:tc>
      </w:tr>
      <w:tr>
        <w:trPr>
          <w:cantSplit/>
        </w:trPr>
        <w:tc>
          <w:tcPr>
            <w:tcW w:type="dxa" w:w="2200"/>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弟の譲渡前（600株）</w:t>
            </w:r>
          </w:p>
        </w:tc>
        <w:tc>
          <w:tcPr>
            <w:tcW w:type="dxa" w:w="227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50.0万円</w:t>
            </w:r>
          </w:p>
        </w:tc>
        <w:tc>
          <w:tcPr>
            <w:tcW w:type="dxa" w:w="227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w:t>
            </w:r>
          </w:p>
        </w:tc>
        <w:tc>
          <w:tcPr>
            <w:tcW w:type="dxa" w:w="227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w:t>
            </w:r>
          </w:p>
        </w:tc>
      </w:tr>
      <w:tr>
        <w:trPr>
          <w:cantSplit/>
        </w:trPr>
        <w:tc>
          <w:tcPr>
            <w:tcW w:type="dxa" w:w="2200"/>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弟の譲渡後（423株）</w:t>
            </w:r>
          </w:p>
        </w:tc>
        <w:tc>
          <w:tcPr>
            <w:tcW w:type="dxa" w:w="227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68.8万円</w:t>
            </w:r>
          </w:p>
        </w:tc>
        <w:tc>
          <w:tcPr>
            <w:tcW w:type="dxa" w:w="227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＋18.8万円</w:t>
            </w:r>
          </w:p>
        </w:tc>
        <w:tc>
          <w:tcPr>
            <w:tcW w:type="dxa" w:w="227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代表・妻・母（合計423株）</w:t>
            </w:r>
          </w:p>
        </w:tc>
      </w:tr>
      <w:tr>
        <w:trPr>
          <w:cantSplit/>
        </w:trPr>
        <w:tc>
          <w:tcPr>
            <w:tcW w:type="dxa" w:w="2200"/>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母の譲渡後（300株）</w:t>
            </w:r>
          </w:p>
        </w:tc>
        <w:tc>
          <w:tcPr>
            <w:tcW w:type="dxa" w:w="227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95.0万円</w:t>
            </w:r>
          </w:p>
        </w:tc>
        <w:tc>
          <w:tcPr>
            <w:tcW w:type="dxa" w:w="227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＋26.2万円</w:t>
            </w:r>
          </w:p>
        </w:tc>
        <w:tc>
          <w:tcPr>
            <w:tcW w:type="dxa" w:w="2276"/>
            <w:tcMar>
              <w:top w:type="dxa" w:w="100"/>
              <w:left w:type="dxa" w:w="120"/>
              <w:bottom w:type="dxa" w:w="100"/>
              <w:right w:type="dxa" w:w="120"/>
            </w:tcMar>
            <w:vAlign w:val="center"/>
          </w:tcPr>
          <w:p>
            <w:pPr>
              <w:spacing w:line="280"/>
            </w:pPr>
            <w:r>
              <w:rPr>
                <w:rFonts w:ascii="游ゴシック" w:cs="游ゴシック" w:eastAsia="游ゴシック" w:hAnsi="游ゴシック"/>
                <w:b w:val="false"/>
                <w:bCs w:val="false"/>
                <w:color w:val="000000"/>
                <w:sz w:val="20"/>
                <w:szCs w:val="20"/>
              </w:rPr>
              <w:t xml:space="preserve">代表・妻（合計300株）</w:t>
            </w:r>
          </w:p>
        </w:tc>
      </w:tr>
    </w:tbl>
    <w:p>
      <w:r>
        <w:br w:type="page"/>
      </w:r>
    </w:p>
    <w:p>
      <w:pPr>
        <w:pStyle w:val="Heading2"/>
        <w:spacing w:after="100" w:before="260"/>
      </w:pPr>
      <w:r>
        <w:rPr>
          <w:rFonts w:ascii="游ゴシック" w:cs="游ゴシック" w:eastAsia="游ゴシック" w:hAnsi="游ゴシック"/>
          <w:b/>
          <w:bCs/>
          <w:color w:val="2E4C7E"/>
          <w:sz w:val="24"/>
          <w:szCs w:val="24"/>
        </w:rPr>
        <w:t xml:space="preserve">争点4：課税時期・算定基準日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争点の概要</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弟・母それぞれの株式異動の正確な日付をどう特定し、みなし贈与の課税時期をどう扱うか。</w:t>
            </w:r>
          </w:p>
        </w:tc>
      </w:tr>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争点に係る法律上の
課税要件</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相続税法9条（利益を受けた時に贈与とみなす。財産の譲渡があった時が取得時期）。</w:t>
            </w:r>
          </w:p>
        </w:tc>
      </w:tr>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調査担当者の事実認定
（又は法令解釈）</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弟の譲渡と母の譲渡は別個のみなし贈与事由として、各譲渡時点の時価を基準に算定する（争点3）。別表2の期末日は実際の異動日を示すものではなく、異動日が確定しなければ評価基準日（争点1）も、2段階計算の前提となる先後関係（争点3）も確定しない。</w:t>
            </w:r>
          </w:p>
        </w:tc>
      </w:tr>
    </w:tbl>
    <w:p>
      <w:pPr>
        <w:pStyle w:val="Heading2"/>
        <w:spacing w:after="100" w:before="260"/>
      </w:pPr>
      <w:r>
        <w:rPr>
          <w:rFonts w:ascii="游ゴシック" w:cs="游ゴシック" w:eastAsia="游ゴシック" w:hAnsi="游ゴシック"/>
          <w:b/>
          <w:bCs/>
          <w:color w:val="2E4C7E"/>
          <w:sz w:val="24"/>
          <w:szCs w:val="24"/>
        </w:rPr>
        <w:t xml:space="preserve">争点5：みなし譲渡（所得税法59条）との整合性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争点の概要</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弟・母自身の59条みなし譲渡課税と、代表・妻が受ける9条みなし贈与課税が並行して成立することに矛盾はないか。母自身の59条にも2段階の構造が及ぶか。</w:t>
            </w:r>
          </w:p>
        </w:tc>
      </w:tr>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争点に係る法律上の
課税要件</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所得税法59条1項2号（時価の2分の1未満の対価による譲渡はみなし譲渡）。相続税法9条。所得税基本通達59-6。</w:t>
            </w:r>
          </w:p>
        </w:tc>
      </w:tr>
      <w:tr>
        <w:trPr>
          <w:cantSplit w:val="false"/>
        </w:trPr>
        <w:tc>
          <w:tcPr>
            <w:tcW w:type="dxa" w:w="1900"/>
            <w:shd w:fill="DDE6F0" w:val="clear"/>
            <w:tcMar>
              <w:top w:type="dxa" w:w="100"/>
              <w:left w:type="dxa" w:w="120"/>
              <w:bottom w:type="dxa" w:w="100"/>
              <w:right w:type="dxa" w:w="120"/>
            </w:tcMar>
            <w:vAlign w:val="top"/>
          </w:tcPr>
          <w:p>
            <w:pPr>
              <w:spacing w:line="280"/>
            </w:pPr>
            <w:r>
              <w:rPr>
                <w:rFonts w:ascii="游ゴシック" w:cs="游ゴシック" w:eastAsia="游ゴシック" w:hAnsi="游ゴシック"/>
                <w:b/>
                <w:bCs/>
                <w:color w:val="1F3864"/>
                <w:sz w:val="20"/>
                <w:szCs w:val="20"/>
              </w:rPr>
              <w:t xml:space="preserve">調査担当者の事実認定
（又は法令解釈）</w:t>
            </w:r>
          </w:p>
        </w:tc>
        <w:tc>
          <w:tcPr>
            <w:tcW w:type="dxa" w:w="7126"/>
            <w:tcMar>
              <w:top w:type="dxa" w:w="100"/>
              <w:left w:type="dxa" w:w="140"/>
              <w:bottom w:type="dxa" w:w="100"/>
              <w:right w:type="dxa" w:w="140"/>
            </w:tcMar>
            <w:vAlign w:val="top"/>
          </w:tcPr>
          <w:p>
            <w:pPr>
              <w:spacing w:after="100" w:line="300"/>
            </w:pPr>
            <w:r>
              <w:rPr>
                <w:rFonts w:ascii="游ゴシック" w:cs="游ゴシック" w:eastAsia="游ゴシック" w:hAnsi="游ゴシック"/>
                <w:sz w:val="21"/>
                <w:szCs w:val="21"/>
              </w:rPr>
              <w:t xml:space="preserve">譲渡人（弟・母）に59条みなし譲渡、受益者（代表・妻等）に9条みなし贈与が並行するのは、個人間低額譲渡の標準的な課税構造の応用にすぎない。59条上の擬制（時価で譲渡したとみなす）と、9条上の認定（対価との差額が残存株主に移った）は、同じ経済的事実を課税目的に応じて別の角度から見たものであり、両立する。</w:t>
            </w:r>
          </w:p>
          <w:p>
            <w:pPr>
              <w:spacing w:after="100" w:line="300"/>
            </w:pPr>
            <w:r>
              <w:rPr>
                <w:rFonts w:ascii="游ゴシック" w:cs="游ゴシック" w:eastAsia="游ゴシック" w:hAnsi="游ゴシック"/>
                <w:sz w:val="21"/>
                <w:szCs w:val="21"/>
              </w:rPr>
              <w:t xml:space="preserve">母自身の59条にも、争点3の2段階の構造が影響する。母が譲渡した時点では弟の177株は既に自己株式として控除された後であり、母のみなし譲渡で時価とみなす1株当たり評価額は、弟の譲渡前の水準ではなく、弟の譲渡で押し上げられた後の水準を基準にする。母は弟と同額の対価しか受け取っていないが、母自身の59条上の含み益は弟のそれより高い時価を基準に計算されることになる（弟・母自身の59条は小会社扱いで別途計算する必要がある点は争点1のとおり）。</w:t>
            </w:r>
          </w:p>
        </w:tc>
      </w:tr>
    </w:tbl>
    <w:p>
      <w:r>
        <w:br w:type="page"/>
      </w:r>
    </w:p>
    <w:p>
      <w:pPr>
        <w:pStyle w:val="Heading1"/>
        <w:pBdr>
          <w:bottom w:val="single" w:color="999999" w:sz="6" w:space="4"/>
        </w:pBdr>
        <w:spacing w:after="160" w:before="360"/>
      </w:pPr>
      <w:r>
        <w:rPr>
          <w:rFonts w:ascii="游ゴシック" w:cs="游ゴシック" w:eastAsia="游ゴシック" w:hAnsi="游ゴシック"/>
          <w:b/>
          <w:bCs/>
          <w:color w:val="1F3864"/>
          <w:sz w:val="28"/>
          <w:szCs w:val="28"/>
        </w:rPr>
        <w:t xml:space="preserve">残された確認事項</w:t>
      </w:r>
    </w:p>
    <w:p>
      <w:pPr>
        <w:pStyle w:val="ListParagraph"/>
        <w:numPr>
          <w:ilvl w:val="0"/>
          <w:numId w:val="2"/>
        </w:numPr>
        <w:spacing w:after="60" w:line="260"/>
      </w:pPr>
      <w:r>
        <w:rPr>
          <w:rFonts w:ascii="游ゴシック" w:cs="游ゴシック" w:eastAsia="游ゴシック" w:hAnsi="游ゴシック"/>
          <w:sz w:val="21"/>
          <w:szCs w:val="21"/>
        </w:rPr>
        <w:t xml:space="preserve">中会社の大・中・小の判定に必要な情報（総資産価額、従業員数、取引金額）の確認</w:t>
      </w:r>
    </w:p>
    <w:p>
      <w:pPr>
        <w:pStyle w:val="ListParagraph"/>
        <w:numPr>
          <w:ilvl w:val="0"/>
          <w:numId w:val="2"/>
        </w:numPr>
        <w:spacing w:after="60" w:line="260"/>
      </w:pPr>
      <w:r>
        <w:rPr>
          <w:rFonts w:ascii="游ゴシック" w:cs="游ゴシック" w:eastAsia="游ゴシック" w:hAnsi="游ゴシック"/>
          <w:sz w:val="21"/>
          <w:szCs w:val="21"/>
        </w:rPr>
        <w:t xml:space="preserve">弟・母それぞれの譲渡時点における実際の株式評価額の計算——59条用（弟母＝小会社扱い）と9条用（中会社の実際の区分）を別系統で</w:t>
      </w:r>
    </w:p>
    <w:p>
      <w:pPr>
        <w:pStyle w:val="ListParagraph"/>
        <w:numPr>
          <w:ilvl w:val="0"/>
          <w:numId w:val="2"/>
        </w:numPr>
        <w:spacing w:after="60" w:line="260"/>
      </w:pPr>
      <w:r>
        <w:rPr>
          <w:rFonts w:ascii="游ゴシック" w:cs="游ゴシック" w:eastAsia="游ゴシック" w:hAnsi="游ゴシック"/>
          <w:sz w:val="21"/>
          <w:szCs w:val="21"/>
        </w:rPr>
        <w:t xml:space="preserve">別表五(一)による資本金等の額の実額確認</w:t>
      </w:r>
    </w:p>
    <w:p>
      <w:pPr>
        <w:pStyle w:val="ListParagraph"/>
        <w:numPr>
          <w:ilvl w:val="0"/>
          <w:numId w:val="2"/>
        </w:numPr>
        <w:spacing w:after="60" w:line="260"/>
      </w:pPr>
      <w:r>
        <w:rPr>
          <w:rFonts w:ascii="游ゴシック" w:cs="游ゴシック" w:eastAsia="游ゴシック" w:hAnsi="游ゴシック"/>
          <w:sz w:val="21"/>
          <w:szCs w:val="21"/>
        </w:rPr>
        <w:t xml:space="preserve">自己株式の低額取得の場面を直接扱った公表裁判例・裁決例の有無</w:t>
      </w:r>
    </w:p>
    <w:p>
      <w:pPr>
        <w:pStyle w:val="ListParagraph"/>
        <w:numPr>
          <w:ilvl w:val="0"/>
          <w:numId w:val="2"/>
        </w:numPr>
        <w:spacing w:after="60" w:line="260"/>
      </w:pPr>
      <w:r>
        <w:rPr>
          <w:rFonts w:ascii="游ゴシック" w:cs="游ゴシック" w:eastAsia="游ゴシック" w:hAnsi="游ゴシック"/>
          <w:sz w:val="21"/>
          <w:szCs w:val="21"/>
        </w:rPr>
        <w:t xml:space="preserve">株主名簿による代表・妻それぞれの保有株数、及び他の株主の有無の確認</w:t>
      </w:r>
    </w:p>
    <w:p>
      <w:pPr>
        <w:pStyle w:val="ListParagraph"/>
        <w:numPr>
          <w:ilvl w:val="0"/>
          <w:numId w:val="2"/>
        </w:numPr>
        <w:spacing w:after="60" w:line="260"/>
      </w:pPr>
      <w:r>
        <w:rPr>
          <w:rFonts w:ascii="游ゴシック" w:cs="游ゴシック" w:eastAsia="游ゴシック" w:hAnsi="游ゴシック"/>
          <w:sz w:val="21"/>
          <w:szCs w:val="21"/>
        </w:rPr>
        <w:t xml:space="preserve">弟・母それぞれの株式異動の正確な日付、及び両者の先後関係の確認</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2026-08-31T23:08:11.662Z</dcterms:created>
  <dcterms:modified xsi:type="dcterms:W3CDTF">2026-08-31T23:08:11.678Z</dcterms:modified>
</cp:coreProperties>
</file>

<file path=docProps/custom.xml><?xml version="1.0" encoding="utf-8"?>
<Properties xmlns="http://schemas.openxmlformats.org/officeDocument/2006/custom-properties" xmlns:vt="http://schemas.openxmlformats.org/officeDocument/2006/docPropsVTypes"/>
</file>