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0"/>
      </w:pPr>
      <w:r>
        <w:t xml:space="preserve"/>
      </w:r>
    </w:p>
    <w:p>
      <w:pPr>
        <w:spacing w:after="80"/>
        <w:jc w:val="center"/>
      </w:pPr>
      <w:r>
        <w:rPr>
          <w:rFonts w:ascii="Georgia" w:cs="Georgia" w:eastAsia="Georgia" w:hAnsi="Georgia"/>
          <w:b/>
          <w:bCs/>
          <w:color w:val="B45309"/>
          <w:sz w:val="22"/>
          <w:szCs w:val="22"/>
        </w:rPr>
        <w:t xml:space="preserve">CONCEPT DESIGN · VOLUME 01</w:t>
      </w:r>
    </w:p>
    <w:p>
      <w:pPr>
        <w:pBdr>
          <w:bottom w:val="single" w:color="D6D3D1" w:sz="6" w:space="1"/>
        </w:pBdr>
        <w:spacing w:after="80" w:before="80"/>
      </w:pPr>
      <w:r>
        <w:t xml:space="preserve"/>
      </w:r>
    </w:p>
    <w:p>
      <w:pPr>
        <w:spacing w:after="120" w:before="240"/>
        <w:jc w:val="center"/>
      </w:pPr>
      <w:r>
        <w:rPr>
          <w:rFonts w:ascii="Georgia" w:cs="Georgia" w:eastAsia="Georgia" w:hAnsi="Georgia"/>
          <w:b/>
          <w:bCs/>
          <w:color w:val="1F2937"/>
          <w:sz w:val="56"/>
          <w:szCs w:val="56"/>
        </w:rPr>
        <w:t xml:space="preserve">JEN TUAN CHAU · HERO VILLA CONCEPT</w:t>
      </w:r>
    </w:p>
    <w:p>
      <w:pPr>
        <w:spacing w:after="120"/>
        <w:jc w:val="center"/>
      </w:pPr>
      <w:r>
        <w:rPr>
          <w:rFonts w:ascii="Georgia" w:cs="Georgia" w:eastAsia="Georgia" w:hAnsi="Georgia"/>
          <w:i/>
          <w:iCs/>
          <w:color w:val="78716C"/>
          <w:sz w:val="26"/>
          <w:szCs w:val="26"/>
        </w:rPr>
        <w:t xml:space="preserve">Single Manor Residence — Caye Sereno, Khu Biệt Thự Lâm Ngọc, Tuần Châu, Hạ Long</w:t>
      </w:r>
    </w:p>
    <w:p>
      <w:pPr>
        <w:pBdr>
          <w:bottom w:val="single" w:color="D6D3D1" w:sz="6" w:space="1"/>
        </w:pBdr>
        <w:spacing w:after="80" w:before="80"/>
      </w:pPr>
      <w:r>
        <w:t xml:space="preserve"/>
      </w:r>
    </w:p>
    <w:p>
      <w:pPr>
        <w:spacing w:after="200" w:before="0"/>
      </w:pPr>
      <w:r>
        <w:t xml:space="preserve"/>
      </w:r>
    </w:p>
    <w:p>
      <w:pPr>
        <w:jc w:val="center"/>
      </w:pPr>
      <w:r>
        <w:rPr>
          <w:rFonts w:ascii="Georgia" w:cs="Georgia" w:eastAsia="Georgia" w:hAnsi="Georgia"/>
          <w:i/>
          <w:iCs/>
          <w:color w:val="1F2937"/>
          <w:sz w:val="22"/>
          <w:szCs w:val="22"/>
        </w:rPr>
        <w:t xml:space="preserve">A colonial-tropical peer to Capella Sentosa Manors,</w:t>
      </w:r>
    </w:p>
    <w:p>
      <w:pPr>
        <w:spacing w:after="480"/>
        <w:jc w:val="center"/>
      </w:pPr>
      <w:r>
        <w:rPr>
          <w:rFonts w:ascii="Georgia" w:cs="Georgia" w:eastAsia="Georgia" w:hAnsi="Georgia"/>
          <w:i/>
          <w:iCs/>
          <w:color w:val="1F2937"/>
          <w:sz w:val="22"/>
          <w:szCs w:val="22"/>
        </w:rPr>
        <w:t xml:space="preserve">set into the existing Caye Sereno SEA Type 2 plan with L1 extended to match the ground-floor footprint.</w:t>
      </w:r>
    </w:p>
    <w:p>
      <w:pPr>
        <w:spacing w:after="1200" w:before="0"/>
      </w:pPr>
      <w:r>
        <w:t xml:space="preserve"/>
      </w:r>
    </w:p>
    <w:p>
      <w:pPr>
        <w:jc w:val="center"/>
      </w:pPr>
      <w:r>
        <w:rPr>
          <w:rFonts w:ascii="Calibri" w:cs="Calibri" w:eastAsia="Calibri" w:hAnsi="Calibri"/>
          <w:color w:val="57534E"/>
          <w:sz w:val="20"/>
          <w:szCs w:val="20"/>
        </w:rPr>
        <w:t xml:space="preserve">Prepared for  ·  Công ty TNHH Jen Tuan Chau</w:t>
      </w:r>
    </w:p>
    <w:p>
      <w:pPr>
        <w:jc w:val="center"/>
      </w:pPr>
      <w:r>
        <w:rPr>
          <w:rFonts w:ascii="Calibri" w:cs="Calibri" w:eastAsia="Calibri" w:hAnsi="Calibri"/>
          <w:color w:val="57534E"/>
          <w:sz w:val="20"/>
          <w:szCs w:val="20"/>
        </w:rPr>
        <w:t xml:space="preserve">Base drawings  ·  Transform Architecture, Caye Sereno SEA Type 2 (06/2015)</w:t>
      </w:r>
    </w:p>
    <w:p>
      <w:pPr>
        <w:jc w:val="center"/>
      </w:pPr>
      <w:r>
        <w:rPr>
          <w:rFonts w:ascii="Calibri" w:cs="Calibri" w:eastAsia="Calibri" w:hAnsi="Calibri"/>
          <w:color w:val="57534E"/>
          <w:sz w:val="20"/>
          <w:szCs w:val="20"/>
        </w:rPr>
        <w:t xml:space="preserve">Reference  ·  Capella Singapore — Sentosa Manors (Foster + Partners / Matthew Shang)</w:t>
      </w:r>
    </w:p>
    <w:p>
      <w:pPr>
        <w:spacing w:after="400"/>
        <w:jc w:val="center"/>
      </w:pPr>
      <w:r>
        <w:rPr>
          <w:rFonts w:ascii="Calibri" w:cs="Calibri" w:eastAsia="Calibri" w:hAnsi="Calibri"/>
          <w:color w:val="57534E"/>
          <w:sz w:val="20"/>
          <w:szCs w:val="20"/>
        </w:rPr>
        <w:t xml:space="preserve">Constraint source  ·  Báo cáo thẩm định Jen Tuan Chau (2025)</w:t>
      </w:r>
    </w:p>
    <w:p>
      <w:pPr>
        <w:jc w:val="center"/>
      </w:pPr>
      <w:r>
        <w:rPr>
          <w:rFonts w:ascii="Georgia" w:cs="Georgia" w:eastAsia="Georgia" w:hAnsi="Georgia"/>
          <w:b/>
          <w:bCs/>
          <w:color w:val="1F2937"/>
          <w:sz w:val="20"/>
          <w:szCs w:val="20"/>
        </w:rPr>
        <w:t xml:space="preserve">April 2026 · Issue for Client Review</w:t>
      </w:r>
    </w:p>
    <w:p>
      <w:r>
        <w:br w:type="page"/>
      </w:r>
    </w:p>
    <w:p>
      <w:pPr>
        <w:pStyle w:val="Heading1"/>
        <w:spacing w:after="160" w:before="360"/>
      </w:pPr>
      <w:r>
        <w:rPr>
          <w:rFonts w:ascii="Georgia" w:cs="Georgia" w:eastAsia="Georgia" w:hAnsi="Georgia"/>
          <w:b/>
          <w:bCs/>
          <w:color w:val="1F2937"/>
          <w:sz w:val="36"/>
          <w:szCs w:val="36"/>
        </w:rPr>
        <w:t xml:space="preserve">01 · Executive Summary</w:t>
      </w:r>
    </w:p>
    <w:p>
      <w:pPr>
        <w:pBdr>
          <w:bottom w:val="single" w:color="D6D3D1" w:sz="6" w:space="1"/>
        </w:pBdr>
        <w:spacing w:after="80" w:before="80"/>
      </w:pPr>
      <w:r>
        <w:t xml:space="preserve"/>
      </w:r>
    </w:p>
    <w:p>
      <w:pPr>
        <w:spacing w:after="140" w:line="300"/>
        <w:jc w:val="both"/>
      </w:pPr>
      <w:r>
        <w:rPr>
          <w:rFonts w:ascii="Calibri" w:cs="Calibri" w:eastAsia="Calibri" w:hAnsi="Calibri"/>
          <w:b w:val="false"/>
          <w:bCs w:val="false"/>
          <w:i w:val="false"/>
          <w:iCs w:val="false"/>
          <w:color w:val="1F2937"/>
          <w:sz w:val="22"/>
          <w:szCs w:val="22"/>
        </w:rPr>
        <w:t xml:space="preserve">This document sets out the concept design for a single hero manor villa on the Jen Tuan Chau estate (Khu Biệt Thự Lâm Ngọc, Tuần Châu island, Hạ Long Bay). The design is positioned as a peer to the Capella Sentosa Manors in Singapore — a low-rise, bay-facing, colonial-tropical residence that sits inside a UNESCO World Heritage buffer zone without competing with it.</w:t>
      </w:r>
    </w:p>
    <w:p>
      <w:pPr>
        <w:spacing w:after="140" w:line="300"/>
        <w:jc w:val="both"/>
      </w:pPr>
      <w:r>
        <w:rPr>
          <w:rFonts w:ascii="Calibri" w:cs="Calibri" w:eastAsia="Calibri" w:hAnsi="Calibri"/>
          <w:b w:val="false"/>
          <w:bCs w:val="false"/>
          <w:i w:val="false"/>
          <w:iCs w:val="false"/>
          <w:color w:val="1F2937"/>
          <w:sz w:val="22"/>
          <w:szCs w:val="22"/>
        </w:rPr>
        <w:t xml:space="preserve">The brief is threefold: (1) retain the plan and setting-out of the existing Caye Sereno SEA Type 2 villa prepared by Transform Architecture in June 2015 so that approvals, setbacks and the 1/500 master plan carry through unchanged; (2) extend the first floor (L1) to match the full ground-floor footprint so that usable GFA is maximised under the approved envelope; (3) replace the contemporary modernist language of the as-built drawings with a colonial-tropical language — pitched terracotta roof, rendered walls, deep verandas, dark timber shutters — that is directly readable as a Capella peer.</w:t>
      </w:r>
    </w:p>
    <w:p>
      <w:pPr>
        <w:pStyle w:val="Heading3"/>
        <w:spacing w:after="80" w:before="200"/>
      </w:pPr>
      <w:r>
        <w:rPr>
          <w:rFonts w:ascii="Georgia" w:cs="Georgia" w:eastAsia="Georgia" w:hAnsi="Georgia"/>
          <w:b/>
          <w:bCs/>
          <w:color w:val="1F2937"/>
          <w:sz w:val="22"/>
          <w:szCs w:val="22"/>
        </w:rPr>
        <w:t xml:space="preserve">Headline numbers</w:t>
      </w:r>
    </w:p>
    <w:tbl>
      <w:tblPr>
        <w:tblW w:type="pct" w:w="100%"/>
        <w:tblBorders>
          <w:top w:val="single" w:color="D6D3D1" w:sz="4"/>
          <w:left w:val="single" w:color="D6D3D1" w:sz="4"/>
          <w:bottom w:val="single" w:color="D6D3D1" w:sz="4"/>
          <w:right w:val="single" w:color="D6D3D1" w:sz="4"/>
          <w:insideH w:val="single" w:color="D6D3D1" w:sz="4"/>
          <w:insideV w:val="single" w:color="D6D3D1" w:sz="4"/>
        </w:tblBorders>
      </w:tblPr>
      <w:tblGrid>
        <w:gridCol w:w="2268"/>
        <w:gridCol w:w="2268"/>
        <w:gridCol w:w="2268"/>
        <w:gridCol w:w="2268"/>
      </w:tblGrid>
      <w:tr>
        <w:tc>
          <w:tcPr>
            <w:tcW w:type="pct" w:w="28%"/>
            <w:shd w:fill="1F2937" w:color="auto" w:val="clear"/>
            <w:tcMar>
              <w:top w:type="dxa" w:w="120"/>
              <w:left w:type="dxa" w:w="160"/>
              <w:bottom w:type="dxa" w:w="120"/>
              <w:right w:type="dxa" w:w="160"/>
            </w:tcMar>
          </w:tcPr>
          <w:p>
            <w:pPr>
              <w:spacing w:after="40"/>
              <w:jc w:val="left"/>
            </w:pPr>
            <w:r>
              <w:rPr>
                <w:rFonts w:ascii="Calibri" w:cs="Calibri" w:eastAsia="Calibri" w:hAnsi="Calibri"/>
                <w:b/>
                <w:bCs/>
                <w:color w:val="FFFFFF"/>
                <w:sz w:val="20"/>
                <w:szCs w:val="20"/>
              </w:rPr>
              <w:t xml:space="preserve">Metric</w:t>
            </w:r>
          </w:p>
        </w:tc>
        <w:tc>
          <w:tcPr>
            <w:tcW w:type="pct" w:w="28%"/>
            <w:shd w:fill="1F2937" w:color="auto" w:val="clear"/>
            <w:tcMar>
              <w:top w:type="dxa" w:w="120"/>
              <w:left w:type="dxa" w:w="160"/>
              <w:bottom w:type="dxa" w:w="120"/>
              <w:right w:type="dxa" w:w="160"/>
            </w:tcMar>
          </w:tcPr>
          <w:p>
            <w:pPr>
              <w:spacing w:after="40"/>
              <w:jc w:val="center"/>
            </w:pPr>
            <w:r>
              <w:rPr>
                <w:rFonts w:ascii="Calibri" w:cs="Calibri" w:eastAsia="Calibri" w:hAnsi="Calibri"/>
                <w:b/>
                <w:bCs/>
                <w:color w:val="FFFFFF"/>
                <w:sz w:val="20"/>
                <w:szCs w:val="20"/>
              </w:rPr>
              <w:t xml:space="preserve">Existing (Caye Sereno SEA Type 2)</w:t>
            </w:r>
          </w:p>
        </w:tc>
        <w:tc>
          <w:tcPr>
            <w:tcW w:type="pct" w:w="28%"/>
            <w:shd w:fill="1F2937" w:color="auto" w:val="clear"/>
            <w:tcMar>
              <w:top w:type="dxa" w:w="120"/>
              <w:left w:type="dxa" w:w="160"/>
              <w:bottom w:type="dxa" w:w="120"/>
              <w:right w:type="dxa" w:w="160"/>
            </w:tcMar>
          </w:tcPr>
          <w:p>
            <w:pPr>
              <w:spacing w:after="40"/>
              <w:jc w:val="center"/>
            </w:pPr>
            <w:r>
              <w:rPr>
                <w:rFonts w:ascii="Calibri" w:cs="Calibri" w:eastAsia="Calibri" w:hAnsi="Calibri"/>
                <w:b/>
                <w:bCs/>
                <w:color w:val="FFFFFF"/>
                <w:sz w:val="20"/>
                <w:szCs w:val="20"/>
              </w:rPr>
              <w:t xml:space="preserve">Proposed (Hero Villa)</w:t>
            </w:r>
          </w:p>
        </w:tc>
        <w:tc>
          <w:tcPr>
            <w:tcW w:type="pct" w:w="16%"/>
            <w:shd w:fill="1F2937" w:color="auto" w:val="clear"/>
            <w:tcMar>
              <w:top w:type="dxa" w:w="120"/>
              <w:left w:type="dxa" w:w="160"/>
              <w:bottom w:type="dxa" w:w="120"/>
              <w:right w:type="dxa" w:w="160"/>
            </w:tcMar>
          </w:tcPr>
          <w:p>
            <w:pPr>
              <w:spacing w:after="40"/>
              <w:jc w:val="center"/>
            </w:pPr>
            <w:r>
              <w:rPr>
                <w:rFonts w:ascii="Calibri" w:cs="Calibri" w:eastAsia="Calibri" w:hAnsi="Calibri"/>
                <w:b/>
                <w:bCs/>
                <w:color w:val="FFFFFF"/>
                <w:sz w:val="20"/>
                <w:szCs w:val="20"/>
              </w:rPr>
              <w:t xml:space="preserve">Δ</w:t>
            </w:r>
          </w:p>
        </w:tc>
      </w:tr>
      <w:tr>
        <w:tc>
          <w:tcPr>
            <w:tcW w:type="pct" w:w="28%"/>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Plot area</w:t>
            </w:r>
          </w:p>
        </w:tc>
        <w:tc>
          <w:tcPr>
            <w:tcW w:type="pct" w:w="28%"/>
            <w:tcMar>
              <w:top w:type="dxa" w:w="120"/>
              <w:left w:type="dxa" w:w="160"/>
              <w:bottom w:type="dxa" w:w="120"/>
              <w:right w:type="dxa" w:w="160"/>
            </w:tcMar>
          </w:tcPr>
          <w:p>
            <w:pPr>
              <w:spacing w:after="40"/>
              <w:jc w:val="center"/>
            </w:pPr>
            <w:r>
              <w:rPr>
                <w:rFonts w:ascii="Calibri" w:cs="Calibri" w:eastAsia="Calibri" w:hAnsi="Calibri"/>
                <w:b w:val="false"/>
                <w:bCs w:val="false"/>
                <w:color w:val="1F2937"/>
                <w:sz w:val="20"/>
                <w:szCs w:val="20"/>
              </w:rPr>
              <w:t xml:space="preserve">~840 m² (28.05 × 30.00 m)</w:t>
            </w:r>
          </w:p>
        </w:tc>
        <w:tc>
          <w:tcPr>
            <w:tcW w:type="pct" w:w="28%"/>
            <w:tcMar>
              <w:top w:type="dxa" w:w="120"/>
              <w:left w:type="dxa" w:w="160"/>
              <w:bottom w:type="dxa" w:w="120"/>
              <w:right w:type="dxa" w:w="160"/>
            </w:tcMar>
          </w:tcPr>
          <w:p>
            <w:pPr>
              <w:spacing w:after="40"/>
              <w:jc w:val="center"/>
            </w:pPr>
            <w:r>
              <w:rPr>
                <w:rFonts w:ascii="Calibri" w:cs="Calibri" w:eastAsia="Calibri" w:hAnsi="Calibri"/>
                <w:b w:val="false"/>
                <w:bCs w:val="false"/>
                <w:color w:val="1F2937"/>
                <w:sz w:val="20"/>
                <w:szCs w:val="20"/>
              </w:rPr>
              <w:t xml:space="preserve">~840 m² (unchanged)</w:t>
            </w:r>
          </w:p>
        </w:tc>
        <w:tc>
          <w:tcPr>
            <w:tcW w:type="pct" w:w="16%"/>
            <w:tcMar>
              <w:top w:type="dxa" w:w="120"/>
              <w:left w:type="dxa" w:w="160"/>
              <w:bottom w:type="dxa" w:w="120"/>
              <w:right w:type="dxa" w:w="160"/>
            </w:tcMar>
          </w:tcPr>
          <w:p>
            <w:pPr>
              <w:spacing w:after="40"/>
              <w:jc w:val="center"/>
            </w:pPr>
            <w:r>
              <w:rPr>
                <w:rFonts w:ascii="Calibri" w:cs="Calibri" w:eastAsia="Calibri" w:hAnsi="Calibri"/>
                <w:b w:val="false"/>
                <w:bCs w:val="false"/>
                <w:color w:val="1F2937"/>
                <w:sz w:val="20"/>
                <w:szCs w:val="20"/>
              </w:rPr>
              <w:t xml:space="preserve">—</w:t>
            </w:r>
          </w:p>
        </w:tc>
      </w:tr>
      <w:tr>
        <w:tc>
          <w:tcPr>
            <w:tcW w:type="pct" w:w="28%"/>
            <w:shd w:fill="FAF7F2" w:color="auto" w:val="clear"/>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GF enclosed area</w:t>
            </w:r>
          </w:p>
        </w:tc>
        <w:tc>
          <w:tcPr>
            <w:tcW w:type="pct" w:w="28%"/>
            <w:shd w:fill="FAF7F2" w:color="auto" w:val="clear"/>
            <w:tcMar>
              <w:top w:type="dxa" w:w="120"/>
              <w:left w:type="dxa" w:w="160"/>
              <w:bottom w:type="dxa" w:w="120"/>
              <w:right w:type="dxa" w:w="160"/>
            </w:tcMar>
          </w:tcPr>
          <w:p>
            <w:pPr>
              <w:spacing w:after="40"/>
              <w:jc w:val="center"/>
            </w:pPr>
            <w:r>
              <w:rPr>
                <w:rFonts w:ascii="Calibri" w:cs="Calibri" w:eastAsia="Calibri" w:hAnsi="Calibri"/>
                <w:b w:val="false"/>
                <w:bCs w:val="false"/>
                <w:color w:val="1F2937"/>
                <w:sz w:val="20"/>
                <w:szCs w:val="20"/>
              </w:rPr>
              <w:t xml:space="preserve">~300 m²</w:t>
            </w:r>
          </w:p>
        </w:tc>
        <w:tc>
          <w:tcPr>
            <w:tcW w:type="pct" w:w="28%"/>
            <w:shd w:fill="FAF7F2" w:color="auto" w:val="clear"/>
            <w:tcMar>
              <w:top w:type="dxa" w:w="120"/>
              <w:left w:type="dxa" w:w="160"/>
              <w:bottom w:type="dxa" w:w="120"/>
              <w:right w:type="dxa" w:w="160"/>
            </w:tcMar>
          </w:tcPr>
          <w:p>
            <w:pPr>
              <w:spacing w:after="40"/>
              <w:jc w:val="center"/>
            </w:pPr>
            <w:r>
              <w:rPr>
                <w:rFonts w:ascii="Calibri" w:cs="Calibri" w:eastAsia="Calibri" w:hAnsi="Calibri"/>
                <w:b w:val="false"/>
                <w:bCs w:val="false"/>
                <w:color w:val="1F2937"/>
                <w:sz w:val="20"/>
                <w:szCs w:val="20"/>
              </w:rPr>
              <w:t xml:space="preserve">~300 m²</w:t>
            </w:r>
          </w:p>
        </w:tc>
        <w:tc>
          <w:tcPr>
            <w:tcW w:type="pct" w:w="16%"/>
            <w:shd w:fill="FAF7F2" w:color="auto" w:val="clear"/>
            <w:tcMar>
              <w:top w:type="dxa" w:w="120"/>
              <w:left w:type="dxa" w:w="160"/>
              <w:bottom w:type="dxa" w:w="120"/>
              <w:right w:type="dxa" w:w="160"/>
            </w:tcMar>
          </w:tcPr>
          <w:p>
            <w:pPr>
              <w:spacing w:after="40"/>
              <w:jc w:val="center"/>
            </w:pPr>
            <w:r>
              <w:rPr>
                <w:rFonts w:ascii="Calibri" w:cs="Calibri" w:eastAsia="Calibri" w:hAnsi="Calibri"/>
                <w:b w:val="false"/>
                <w:bCs w:val="false"/>
                <w:color w:val="1F2937"/>
                <w:sz w:val="20"/>
                <w:szCs w:val="20"/>
              </w:rPr>
              <w:t xml:space="preserve">0</w:t>
            </w:r>
          </w:p>
        </w:tc>
      </w:tr>
      <w:tr>
        <w:tc>
          <w:tcPr>
            <w:tcW w:type="pct" w:w="28%"/>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L1 enclosed area</w:t>
            </w:r>
          </w:p>
        </w:tc>
        <w:tc>
          <w:tcPr>
            <w:tcW w:type="pct" w:w="28%"/>
            <w:tcMar>
              <w:top w:type="dxa" w:w="120"/>
              <w:left w:type="dxa" w:w="160"/>
              <w:bottom w:type="dxa" w:w="120"/>
              <w:right w:type="dxa" w:w="160"/>
            </w:tcMar>
          </w:tcPr>
          <w:p>
            <w:pPr>
              <w:spacing w:after="40"/>
              <w:jc w:val="center"/>
            </w:pPr>
            <w:r>
              <w:rPr>
                <w:rFonts w:ascii="Calibri" w:cs="Calibri" w:eastAsia="Calibri" w:hAnsi="Calibri"/>
                <w:b w:val="false"/>
                <w:bCs w:val="false"/>
                <w:color w:val="1F2937"/>
                <w:sz w:val="20"/>
                <w:szCs w:val="20"/>
              </w:rPr>
              <w:t xml:space="preserve">~152 m² (partial)</w:t>
            </w:r>
          </w:p>
        </w:tc>
        <w:tc>
          <w:tcPr>
            <w:tcW w:type="pct" w:w="28%"/>
            <w:tcMar>
              <w:top w:type="dxa" w:w="120"/>
              <w:left w:type="dxa" w:w="160"/>
              <w:bottom w:type="dxa" w:w="120"/>
              <w:right w:type="dxa" w:w="160"/>
            </w:tcMar>
          </w:tcPr>
          <w:p>
            <w:pPr>
              <w:spacing w:after="40"/>
              <w:jc w:val="center"/>
            </w:pPr>
            <w:r>
              <w:rPr>
                <w:rFonts w:ascii="Calibri" w:cs="Calibri" w:eastAsia="Calibri" w:hAnsi="Calibri"/>
                <w:b w:val="false"/>
                <w:bCs w:val="false"/>
                <w:color w:val="1F2937"/>
                <w:sz w:val="20"/>
                <w:szCs w:val="20"/>
              </w:rPr>
              <w:t xml:space="preserve">~300 m² (full match)</w:t>
            </w:r>
          </w:p>
        </w:tc>
        <w:tc>
          <w:tcPr>
            <w:tcW w:type="pct" w:w="16%"/>
            <w:tcMar>
              <w:top w:type="dxa" w:w="120"/>
              <w:left w:type="dxa" w:w="160"/>
              <w:bottom w:type="dxa" w:w="120"/>
              <w:right w:type="dxa" w:w="160"/>
            </w:tcMar>
          </w:tcPr>
          <w:p>
            <w:pPr>
              <w:spacing w:after="40"/>
              <w:jc w:val="center"/>
            </w:pPr>
            <w:r>
              <w:rPr>
                <w:rFonts w:ascii="Calibri" w:cs="Calibri" w:eastAsia="Calibri" w:hAnsi="Calibri"/>
                <w:b w:val="false"/>
                <w:bCs w:val="false"/>
                <w:color w:val="1F2937"/>
                <w:sz w:val="20"/>
                <w:szCs w:val="20"/>
              </w:rPr>
              <w:t xml:space="preserve">+148 m²</w:t>
            </w:r>
          </w:p>
        </w:tc>
      </w:tr>
      <w:tr>
        <w:tc>
          <w:tcPr>
            <w:tcW w:type="pct" w:w="28%"/>
            <w:shd w:fill="FAF7F2" w:color="auto" w:val="clear"/>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Total GFA</w:t>
            </w:r>
          </w:p>
        </w:tc>
        <w:tc>
          <w:tcPr>
            <w:tcW w:type="pct" w:w="28%"/>
            <w:shd w:fill="FAF7F2" w:color="auto" w:val="clear"/>
            <w:tcMar>
              <w:top w:type="dxa" w:w="120"/>
              <w:left w:type="dxa" w:w="160"/>
              <w:bottom w:type="dxa" w:w="120"/>
              <w:right w:type="dxa" w:w="160"/>
            </w:tcMar>
          </w:tcPr>
          <w:p>
            <w:pPr>
              <w:spacing w:after="40"/>
              <w:jc w:val="center"/>
            </w:pPr>
            <w:r>
              <w:rPr>
                <w:rFonts w:ascii="Calibri" w:cs="Calibri" w:eastAsia="Calibri" w:hAnsi="Calibri"/>
                <w:b w:val="false"/>
                <w:bCs w:val="false"/>
                <w:color w:val="1F2937"/>
                <w:sz w:val="20"/>
                <w:szCs w:val="20"/>
              </w:rPr>
              <w:t xml:space="preserve">~452 m²</w:t>
            </w:r>
          </w:p>
        </w:tc>
        <w:tc>
          <w:tcPr>
            <w:tcW w:type="pct" w:w="28%"/>
            <w:shd w:fill="FAF7F2" w:color="auto" w:val="clear"/>
            <w:tcMar>
              <w:top w:type="dxa" w:w="120"/>
              <w:left w:type="dxa" w:w="160"/>
              <w:bottom w:type="dxa" w:w="120"/>
              <w:right w:type="dxa" w:w="160"/>
            </w:tcMar>
          </w:tcPr>
          <w:p>
            <w:pPr>
              <w:spacing w:after="40"/>
              <w:jc w:val="center"/>
            </w:pPr>
            <w:r>
              <w:rPr>
                <w:rFonts w:ascii="Calibri" w:cs="Calibri" w:eastAsia="Calibri" w:hAnsi="Calibri"/>
                <w:b w:val="false"/>
                <w:bCs w:val="false"/>
                <w:color w:val="1F2937"/>
                <w:sz w:val="20"/>
                <w:szCs w:val="20"/>
              </w:rPr>
              <w:t xml:space="preserve">~600 m²</w:t>
            </w:r>
          </w:p>
        </w:tc>
        <w:tc>
          <w:tcPr>
            <w:tcW w:type="pct" w:w="16%"/>
            <w:shd w:fill="FAF7F2" w:color="auto" w:val="clear"/>
            <w:tcMar>
              <w:top w:type="dxa" w:w="120"/>
              <w:left w:type="dxa" w:w="160"/>
              <w:bottom w:type="dxa" w:w="120"/>
              <w:right w:type="dxa" w:w="160"/>
            </w:tcMar>
          </w:tcPr>
          <w:p>
            <w:pPr>
              <w:spacing w:after="40"/>
              <w:jc w:val="center"/>
            </w:pPr>
            <w:r>
              <w:rPr>
                <w:rFonts w:ascii="Calibri" w:cs="Calibri" w:eastAsia="Calibri" w:hAnsi="Calibri"/>
                <w:b w:val="false"/>
                <w:bCs w:val="false"/>
                <w:color w:val="1F2937"/>
                <w:sz w:val="20"/>
                <w:szCs w:val="20"/>
              </w:rPr>
              <w:t xml:space="preserve">+148 m² (+33%)</w:t>
            </w:r>
          </w:p>
        </w:tc>
      </w:tr>
      <w:tr>
        <w:tc>
          <w:tcPr>
            <w:tcW w:type="pct" w:w="28%"/>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Ridge height</w:t>
            </w:r>
          </w:p>
        </w:tc>
        <w:tc>
          <w:tcPr>
            <w:tcW w:type="pct" w:w="28%"/>
            <w:tcMar>
              <w:top w:type="dxa" w:w="120"/>
              <w:left w:type="dxa" w:w="160"/>
              <w:bottom w:type="dxa" w:w="120"/>
              <w:right w:type="dxa" w:w="160"/>
            </w:tcMar>
          </w:tcPr>
          <w:p>
            <w:pPr>
              <w:spacing w:after="40"/>
              <w:jc w:val="center"/>
            </w:pPr>
            <w:r>
              <w:rPr>
                <w:rFonts w:ascii="Calibri" w:cs="Calibri" w:eastAsia="Calibri" w:hAnsi="Calibri"/>
                <w:b w:val="false"/>
                <w:bCs w:val="false"/>
                <w:color w:val="1F2937"/>
                <w:sz w:val="20"/>
                <w:szCs w:val="20"/>
              </w:rPr>
              <w:t xml:space="preserve">~7.00 m (flat roof +6.97)</w:t>
            </w:r>
          </w:p>
        </w:tc>
        <w:tc>
          <w:tcPr>
            <w:tcW w:type="pct" w:w="28%"/>
            <w:tcMar>
              <w:top w:type="dxa" w:w="120"/>
              <w:left w:type="dxa" w:w="160"/>
              <w:bottom w:type="dxa" w:w="120"/>
              <w:right w:type="dxa" w:w="160"/>
            </w:tcMar>
          </w:tcPr>
          <w:p>
            <w:pPr>
              <w:spacing w:after="40"/>
              <w:jc w:val="center"/>
            </w:pPr>
            <w:r>
              <w:rPr>
                <w:rFonts w:ascii="Calibri" w:cs="Calibri" w:eastAsia="Calibri" w:hAnsi="Calibri"/>
                <w:b w:val="false"/>
                <w:bCs w:val="false"/>
                <w:color w:val="1F2937"/>
                <w:sz w:val="20"/>
                <w:szCs w:val="20"/>
              </w:rPr>
              <w:t xml:space="preserve">≤9.00 m (pitched, compliant)</w:t>
            </w:r>
          </w:p>
        </w:tc>
        <w:tc>
          <w:tcPr>
            <w:tcW w:type="pct" w:w="16%"/>
            <w:tcMar>
              <w:top w:type="dxa" w:w="120"/>
              <w:left w:type="dxa" w:w="160"/>
              <w:bottom w:type="dxa" w:w="120"/>
              <w:right w:type="dxa" w:w="160"/>
            </w:tcMar>
          </w:tcPr>
          <w:p>
            <w:pPr>
              <w:spacing w:after="40"/>
              <w:jc w:val="center"/>
            </w:pPr>
            <w:r>
              <w:rPr>
                <w:rFonts w:ascii="Calibri" w:cs="Calibri" w:eastAsia="Calibri" w:hAnsi="Calibri"/>
                <w:b w:val="false"/>
                <w:bCs w:val="false"/>
                <w:color w:val="1F2937"/>
                <w:sz w:val="20"/>
                <w:szCs w:val="20"/>
              </w:rPr>
              <w:t xml:space="preserve">within envelope</w:t>
            </w:r>
          </w:p>
        </w:tc>
      </w:tr>
      <w:tr>
        <w:tc>
          <w:tcPr>
            <w:tcW w:type="pct" w:w="28%"/>
            <w:shd w:fill="FAF7F2" w:color="auto" w:val="clear"/>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Bedrooms</w:t>
            </w:r>
          </w:p>
        </w:tc>
        <w:tc>
          <w:tcPr>
            <w:tcW w:type="pct" w:w="28%"/>
            <w:shd w:fill="FAF7F2" w:color="auto" w:val="clear"/>
            <w:tcMar>
              <w:top w:type="dxa" w:w="120"/>
              <w:left w:type="dxa" w:w="160"/>
              <w:bottom w:type="dxa" w:w="120"/>
              <w:right w:type="dxa" w:w="160"/>
            </w:tcMar>
          </w:tcPr>
          <w:p>
            <w:pPr>
              <w:spacing w:after="40"/>
              <w:jc w:val="center"/>
            </w:pPr>
            <w:r>
              <w:rPr>
                <w:rFonts w:ascii="Calibri" w:cs="Calibri" w:eastAsia="Calibri" w:hAnsi="Calibri"/>
                <w:b w:val="false"/>
                <w:bCs w:val="false"/>
                <w:color w:val="1F2937"/>
                <w:sz w:val="20"/>
                <w:szCs w:val="20"/>
              </w:rPr>
              <w:t xml:space="preserve">4 suites</w:t>
            </w:r>
          </w:p>
        </w:tc>
        <w:tc>
          <w:tcPr>
            <w:tcW w:type="pct" w:w="28%"/>
            <w:shd w:fill="FAF7F2" w:color="auto" w:val="clear"/>
            <w:tcMar>
              <w:top w:type="dxa" w:w="120"/>
              <w:left w:type="dxa" w:w="160"/>
              <w:bottom w:type="dxa" w:w="120"/>
              <w:right w:type="dxa" w:w="160"/>
            </w:tcMar>
          </w:tcPr>
          <w:p>
            <w:pPr>
              <w:spacing w:after="40"/>
              <w:jc w:val="center"/>
            </w:pPr>
            <w:r>
              <w:rPr>
                <w:rFonts w:ascii="Calibri" w:cs="Calibri" w:eastAsia="Calibri" w:hAnsi="Calibri"/>
                <w:b w:val="false"/>
                <w:bCs w:val="false"/>
                <w:color w:val="1F2937"/>
                <w:sz w:val="20"/>
                <w:szCs w:val="20"/>
              </w:rPr>
              <w:t xml:space="preserve">4 suites + study + staff</w:t>
            </w:r>
          </w:p>
        </w:tc>
        <w:tc>
          <w:tcPr>
            <w:tcW w:type="pct" w:w="16%"/>
            <w:shd w:fill="FAF7F2" w:color="auto" w:val="clear"/>
            <w:tcMar>
              <w:top w:type="dxa" w:w="120"/>
              <w:left w:type="dxa" w:w="160"/>
              <w:bottom w:type="dxa" w:w="120"/>
              <w:right w:type="dxa" w:w="160"/>
            </w:tcMar>
          </w:tcPr>
          <w:p>
            <w:pPr>
              <w:spacing w:after="40"/>
              <w:jc w:val="center"/>
            </w:pPr>
            <w:r>
              <w:rPr>
                <w:rFonts w:ascii="Calibri" w:cs="Calibri" w:eastAsia="Calibri" w:hAnsi="Calibri"/>
                <w:b w:val="false"/>
                <w:bCs w:val="false"/>
                <w:color w:val="1F2937"/>
                <w:sz w:val="20"/>
                <w:szCs w:val="20"/>
              </w:rPr>
              <w:t xml:space="preserve">program upgrade</w:t>
            </w:r>
          </w:p>
        </w:tc>
      </w:tr>
      <w:tr>
        <w:tc>
          <w:tcPr>
            <w:tcW w:type="pct" w:w="28%"/>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Style</w:t>
            </w:r>
          </w:p>
        </w:tc>
        <w:tc>
          <w:tcPr>
            <w:tcW w:type="pct" w:w="28%"/>
            <w:tcMar>
              <w:top w:type="dxa" w:w="120"/>
              <w:left w:type="dxa" w:w="160"/>
              <w:bottom w:type="dxa" w:w="120"/>
              <w:right w:type="dxa" w:w="160"/>
            </w:tcMar>
          </w:tcPr>
          <w:p>
            <w:pPr>
              <w:spacing w:after="40"/>
              <w:jc w:val="center"/>
            </w:pPr>
            <w:r>
              <w:rPr>
                <w:rFonts w:ascii="Calibri" w:cs="Calibri" w:eastAsia="Calibri" w:hAnsi="Calibri"/>
                <w:b w:val="false"/>
                <w:bCs w:val="false"/>
                <w:color w:val="1F2937"/>
                <w:sz w:val="20"/>
                <w:szCs w:val="20"/>
              </w:rPr>
              <w:t xml:space="preserve">Contemporary modernist</w:t>
            </w:r>
          </w:p>
        </w:tc>
        <w:tc>
          <w:tcPr>
            <w:tcW w:type="pct" w:w="28%"/>
            <w:tcMar>
              <w:top w:type="dxa" w:w="120"/>
              <w:left w:type="dxa" w:w="160"/>
              <w:bottom w:type="dxa" w:w="120"/>
              <w:right w:type="dxa" w:w="160"/>
            </w:tcMar>
          </w:tcPr>
          <w:p>
            <w:pPr>
              <w:spacing w:after="40"/>
              <w:jc w:val="center"/>
            </w:pPr>
            <w:r>
              <w:rPr>
                <w:rFonts w:ascii="Calibri" w:cs="Calibri" w:eastAsia="Calibri" w:hAnsi="Calibri"/>
                <w:b w:val="false"/>
                <w:bCs w:val="false"/>
                <w:color w:val="1F2937"/>
                <w:sz w:val="20"/>
                <w:szCs w:val="20"/>
              </w:rPr>
              <w:t xml:space="preserve">Colonial-tropical (Capella peer)</w:t>
            </w:r>
          </w:p>
        </w:tc>
        <w:tc>
          <w:tcPr>
            <w:tcW w:type="pct" w:w="16%"/>
            <w:tcMar>
              <w:top w:type="dxa" w:w="120"/>
              <w:left w:type="dxa" w:w="160"/>
              <w:bottom w:type="dxa" w:w="120"/>
              <w:right w:type="dxa" w:w="160"/>
            </w:tcMar>
          </w:tcPr>
          <w:p>
            <w:pPr>
              <w:spacing w:after="40"/>
              <w:jc w:val="center"/>
            </w:pPr>
            <w:r>
              <w:rPr>
                <w:rFonts w:ascii="Calibri" w:cs="Calibri" w:eastAsia="Calibri" w:hAnsi="Calibri"/>
                <w:b w:val="false"/>
                <w:bCs w:val="false"/>
                <w:color w:val="1F2937"/>
                <w:sz w:val="20"/>
                <w:szCs w:val="20"/>
              </w:rPr>
              <w:t xml:space="preserve">re-clad</w:t>
            </w:r>
          </w:p>
        </w:tc>
      </w:tr>
    </w:tbl>
    <w:p>
      <w:pPr>
        <w:spacing w:after="160" w:before="0"/>
      </w:pPr>
      <w:r>
        <w:t xml:space="preserve"/>
      </w:r>
    </w:p>
    <w:p>
      <w:pPr>
        <w:spacing w:after="140" w:line="300"/>
        <w:jc w:val="both"/>
      </w:pPr>
      <w:r>
        <w:rPr>
          <w:rFonts w:ascii="Calibri" w:cs="Calibri" w:eastAsia="Calibri" w:hAnsi="Calibri"/>
          <w:b w:val="false"/>
          <w:bCs w:val="false"/>
          <w:i w:val="false"/>
          <w:iCs w:val="false"/>
          <w:color w:val="1F2937"/>
          <w:sz w:val="22"/>
          <w:szCs w:val="22"/>
        </w:rPr>
        <w:t xml:space="preserve">Against the Capella Sentosa Manor benchmark of 434–436 m², the proposed villa is ~38% larger. This is the direct effect of the user-confirmed decision “Full match — L1 = GF footprint”, and satisfies the brief to build to the maximum area permitted by the approved 1/500 envelope.</w:t>
      </w:r>
    </w:p>
    <w:p>
      <w:r>
        <w:br w:type="page"/>
      </w:r>
    </w:p>
    <w:p>
      <w:pPr>
        <w:pStyle w:val="Heading1"/>
        <w:spacing w:after="160" w:before="360"/>
      </w:pPr>
      <w:r>
        <w:rPr>
          <w:rFonts w:ascii="Georgia" w:cs="Georgia" w:eastAsia="Georgia" w:hAnsi="Georgia"/>
          <w:b/>
          <w:bCs/>
          <w:color w:val="1F2937"/>
          <w:sz w:val="36"/>
          <w:szCs w:val="36"/>
        </w:rPr>
        <w:t xml:space="preserve">02 · Site, Approvals and Constraints</w:t>
      </w:r>
    </w:p>
    <w:p>
      <w:pPr>
        <w:pBdr>
          <w:bottom w:val="single" w:color="D6D3D1" w:sz="6" w:space="1"/>
        </w:pBdr>
        <w:spacing w:after="80" w:before="80"/>
      </w:pPr>
      <w:r>
        <w:t xml:space="preserve"/>
      </w:r>
    </w:p>
    <w:p>
      <w:pPr>
        <w:spacing w:after="140" w:line="300"/>
        <w:jc w:val="both"/>
      </w:pPr>
      <w:r>
        <w:rPr>
          <w:rFonts w:ascii="Calibri" w:cs="Calibri" w:eastAsia="Calibri" w:hAnsi="Calibri"/>
          <w:b w:val="false"/>
          <w:bCs w:val="false"/>
          <w:i w:val="false"/>
          <w:iCs w:val="false"/>
          <w:color w:val="1F2937"/>
          <w:sz w:val="22"/>
          <w:szCs w:val="22"/>
        </w:rPr>
        <w:t xml:space="preserve">The site sits on the eastern tip of Tuần Châu island, on plots covered by Land Use Right Certificates Bi 462036 (7,774 m²) and Bi 462037 (8,054 m²) — a combined 15,828 m² forming the Lâm Ngọc villa zone. The approved sub-division (Quyết định 1112/2012, master plan 1/500) contemplates eighteen ultra-premium villa plots arranged along the southern (bay-facing) edge, with service access from the north.</w:t>
      </w:r>
    </w:p>
    <w:p>
      <w:pPr>
        <w:pStyle w:val="Heading2"/>
        <w:spacing w:after="120" w:before="280"/>
      </w:pPr>
      <w:r>
        <w:rPr>
          <w:rFonts w:ascii="Georgia" w:cs="Georgia" w:eastAsia="Georgia" w:hAnsi="Georgia"/>
          <w:b/>
          <w:bCs/>
          <w:color w:val="B45309"/>
          <w:sz w:val="28"/>
          <w:szCs w:val="28"/>
        </w:rPr>
        <w:t xml:space="preserve">2.1 Statutory envelope</w:t>
      </w:r>
    </w:p>
    <w:tbl>
      <w:tblPr>
        <w:tblW w:type="pct" w:w="100%"/>
        <w:tblBorders>
          <w:top w:val="single" w:color="D6D3D1" w:sz="4"/>
          <w:left w:val="single" w:color="D6D3D1" w:sz="4"/>
          <w:bottom w:val="single" w:color="D6D3D1" w:sz="4"/>
          <w:right w:val="single" w:color="D6D3D1" w:sz="4"/>
          <w:insideH w:val="single" w:color="D6D3D1" w:sz="4"/>
          <w:insideV w:val="single" w:color="D6D3D1" w:sz="4"/>
        </w:tblBorders>
      </w:tblPr>
      <w:tblGrid>
        <w:gridCol w:w="3024"/>
        <w:gridCol w:w="3024"/>
        <w:gridCol w:w="3024"/>
      </w:tblGrid>
      <w:tr>
        <w:tc>
          <w:tcPr>
            <w:tcW w:type="pct" w:w="28%"/>
            <w:shd w:fill="1F2937" w:color="auto" w:val="clear"/>
            <w:tcMar>
              <w:top w:type="dxa" w:w="120"/>
              <w:left w:type="dxa" w:w="160"/>
              <w:bottom w:type="dxa" w:w="120"/>
              <w:right w:type="dxa" w:w="160"/>
            </w:tcMar>
          </w:tcPr>
          <w:p>
            <w:pPr>
              <w:spacing w:after="40"/>
              <w:jc w:val="left"/>
            </w:pPr>
            <w:r>
              <w:rPr>
                <w:rFonts w:ascii="Calibri" w:cs="Calibri" w:eastAsia="Calibri" w:hAnsi="Calibri"/>
                <w:b/>
                <w:bCs/>
                <w:color w:val="FFFFFF"/>
                <w:sz w:val="20"/>
                <w:szCs w:val="20"/>
              </w:rPr>
              <w:t xml:space="preserve">Approval / Constraint</w:t>
            </w:r>
          </w:p>
        </w:tc>
        <w:tc>
          <w:tcPr>
            <w:tcW w:type="pct" w:w="28%"/>
            <w:shd w:fill="1F2937" w:color="auto" w:val="clear"/>
            <w:tcMar>
              <w:top w:type="dxa" w:w="120"/>
              <w:left w:type="dxa" w:w="160"/>
              <w:bottom w:type="dxa" w:w="120"/>
              <w:right w:type="dxa" w:w="160"/>
            </w:tcMar>
          </w:tcPr>
          <w:p>
            <w:pPr>
              <w:spacing w:after="40"/>
              <w:jc w:val="left"/>
            </w:pPr>
            <w:r>
              <w:rPr>
                <w:rFonts w:ascii="Calibri" w:cs="Calibri" w:eastAsia="Calibri" w:hAnsi="Calibri"/>
                <w:b/>
                <w:bCs/>
                <w:color w:val="FFFFFF"/>
                <w:sz w:val="20"/>
                <w:szCs w:val="20"/>
              </w:rPr>
              <w:t xml:space="preserve">Reference</w:t>
            </w:r>
          </w:p>
        </w:tc>
        <w:tc>
          <w:tcPr>
            <w:tcW w:type="pct" w:w="44%"/>
            <w:shd w:fill="1F2937" w:color="auto" w:val="clear"/>
            <w:tcMar>
              <w:top w:type="dxa" w:w="120"/>
              <w:left w:type="dxa" w:w="160"/>
              <w:bottom w:type="dxa" w:w="120"/>
              <w:right w:type="dxa" w:w="160"/>
            </w:tcMar>
          </w:tcPr>
          <w:p>
            <w:pPr>
              <w:spacing w:after="40"/>
              <w:jc w:val="left"/>
            </w:pPr>
            <w:r>
              <w:rPr>
                <w:rFonts w:ascii="Calibri" w:cs="Calibri" w:eastAsia="Calibri" w:hAnsi="Calibri"/>
                <w:b/>
                <w:bCs/>
                <w:color w:val="FFFFFF"/>
                <w:sz w:val="20"/>
                <w:szCs w:val="20"/>
              </w:rPr>
              <w:t xml:space="preserve">Effect on design</w:t>
            </w:r>
          </w:p>
        </w:tc>
      </w:tr>
      <w:tr>
        <w:tc>
          <w:tcPr>
            <w:tcW w:type="pct" w:w="28%"/>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1/500 Master Plan — Lâm Ngọc</w:t>
            </w:r>
          </w:p>
        </w:tc>
        <w:tc>
          <w:tcPr>
            <w:tcW w:type="pct" w:w="28%"/>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QĐ 1112 · 11-05-2012</w:t>
            </w:r>
          </w:p>
        </w:tc>
        <w:tc>
          <w:tcPr>
            <w:tcW w:type="pct" w:w="44%"/>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Fixes plot, setbacks, 2–3 floor ceiling</w:t>
            </w:r>
          </w:p>
        </w:tc>
      </w:tr>
      <w:tr>
        <w:tc>
          <w:tcPr>
            <w:tcW w:type="pct" w:w="28%"/>
            <w:shd w:fill="FAF7F2" w:color="auto" w:val="clear"/>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1/2000 Master Plan — Cảng Ngọc Châu</w:t>
            </w:r>
          </w:p>
        </w:tc>
        <w:tc>
          <w:tcPr>
            <w:tcW w:type="pct" w:w="28%"/>
            <w:shd w:fill="FAF7F2" w:color="auto" w:val="clear"/>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QĐ 5222 · 12-12-2019</w:t>
            </w:r>
          </w:p>
        </w:tc>
        <w:tc>
          <w:tcPr>
            <w:tcW w:type="pct" w:w="44%"/>
            <w:shd w:fill="FAF7F2" w:color="auto" w:val="clear"/>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Context / road alignment</w:t>
            </w:r>
          </w:p>
        </w:tc>
      </w:tr>
      <w:tr>
        <w:tc>
          <w:tcPr>
            <w:tcW w:type="pct" w:w="28%"/>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Investment Certificate (5th revision)</w:t>
            </w:r>
          </w:p>
        </w:tc>
        <w:tc>
          <w:tcPr>
            <w:tcW w:type="pct" w:w="28%"/>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10-07-2025</w:t>
            </w:r>
          </w:p>
        </w:tc>
        <w:tc>
          <w:tcPr>
            <w:tcW w:type="pct" w:w="44%"/>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Project remains live; no expiry concern</w:t>
            </w:r>
          </w:p>
        </w:tc>
      </w:tr>
      <w:tr>
        <w:tc>
          <w:tcPr>
            <w:tcW w:type="pct" w:w="28%"/>
            <w:shd w:fill="FAF7F2" w:color="auto" w:val="clear"/>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Business classification</w:t>
            </w:r>
          </w:p>
        </w:tc>
        <w:tc>
          <w:tcPr>
            <w:tcW w:type="pct" w:w="28%"/>
            <w:shd w:fill="FAF7F2" w:color="auto" w:val="clear"/>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QCVN 06:2022/BXD — F1.2</w:t>
            </w:r>
          </w:p>
        </w:tc>
        <w:tc>
          <w:tcPr>
            <w:tcW w:type="pct" w:w="44%"/>
            <w:shd w:fill="FAF7F2" w:color="auto" w:val="clear"/>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≤3 floors residential/tourist lodging</w:t>
            </w:r>
          </w:p>
        </w:tc>
      </w:tr>
      <w:tr>
        <w:tc>
          <w:tcPr>
            <w:tcW w:type="pct" w:w="28%"/>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UNESCO Ha Long Bay buffer</w:t>
            </w:r>
          </w:p>
        </w:tc>
        <w:tc>
          <w:tcPr>
            <w:tcW w:type="pct" w:w="28%"/>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306 km² buffer zone</w:t>
            </w:r>
          </w:p>
        </w:tc>
        <w:tc>
          <w:tcPr>
            <w:tcW w:type="pct" w:w="44%"/>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Low rise, muted colour, no reflective finishes</w:t>
            </w:r>
          </w:p>
        </w:tc>
      </w:tr>
      <w:tr>
        <w:tc>
          <w:tcPr>
            <w:tcW w:type="pct" w:w="28%"/>
            <w:shd w:fill="FAF7F2" w:color="auto" w:val="clear"/>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Environmental commitment</w:t>
            </w:r>
          </w:p>
        </w:tc>
        <w:tc>
          <w:tcPr>
            <w:tcW w:type="pct" w:w="28%"/>
            <w:shd w:fill="FAF7F2" w:color="auto" w:val="clear"/>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§14 — DTM/CKBVMT accepted</w:t>
            </w:r>
          </w:p>
        </w:tc>
        <w:tc>
          <w:tcPr>
            <w:tcW w:type="pct" w:w="44%"/>
            <w:shd w:fill="FAF7F2" w:color="auto" w:val="clear"/>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No further EIA trigger at villa scale</w:t>
            </w:r>
          </w:p>
        </w:tc>
      </w:tr>
      <w:tr>
        <w:tc>
          <w:tcPr>
            <w:tcW w:type="pct" w:w="28%"/>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Building permit</w:t>
            </w:r>
          </w:p>
        </w:tc>
        <w:tc>
          <w:tcPr>
            <w:tcW w:type="pct" w:w="28%"/>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§13 — exempt (approved 1/500)</w:t>
            </w:r>
          </w:p>
        </w:tc>
        <w:tc>
          <w:tcPr>
            <w:tcW w:type="pct" w:w="44%"/>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No GPXD required; construction notice only</w:t>
            </w:r>
          </w:p>
        </w:tc>
      </w:tr>
    </w:tbl>
    <w:p>
      <w:pPr>
        <w:spacing w:after="160" w:before="0"/>
      </w:pPr>
      <w:r>
        <w:t xml:space="preserve"/>
      </w:r>
    </w:p>
    <w:p>
      <w:pPr>
        <w:pStyle w:val="Heading2"/>
        <w:spacing w:after="120" w:before="280"/>
      </w:pPr>
      <w:r>
        <w:rPr>
          <w:rFonts w:ascii="Georgia" w:cs="Georgia" w:eastAsia="Georgia" w:hAnsi="Georgia"/>
          <w:b/>
          <w:bCs/>
          <w:color w:val="B45309"/>
          <w:sz w:val="28"/>
          <w:szCs w:val="28"/>
        </w:rPr>
        <w:t xml:space="preserve">2.2 Risk register carried forward from the appraisal</w:t>
      </w:r>
    </w:p>
    <w:p>
      <w:pPr>
        <w:spacing w:after="140" w:line="300"/>
        <w:jc w:val="both"/>
      </w:pPr>
      <w:r>
        <w:rPr>
          <w:rFonts w:ascii="Calibri" w:cs="Calibri" w:eastAsia="Calibri" w:hAnsi="Calibri"/>
          <w:b w:val="false"/>
          <w:bCs w:val="false"/>
          <w:i w:val="false"/>
          <w:iCs w:val="false"/>
          <w:color w:val="1F2937"/>
          <w:sz w:val="22"/>
          <w:szCs w:val="22"/>
        </w:rPr>
        <w:t xml:space="preserve">The Jen Tuan Chau due-diligence appraisal (báo cáo thẩm định, 2025) scores the project MEDIUM-HIGH RISK on a 1R+3Y+2G traffic-light basis. The design must not worsen any of those flags:</w:t>
      </w:r>
    </w:p>
    <w:p>
      <w:pPr>
        <w:pStyle w:val="ListParagraph"/>
        <w:numPr>
          <w:ilvl w:val="0"/>
          <w:numId w:val="2"/>
        </w:numPr>
        <w:spacing w:after="60"/>
      </w:pPr>
      <w:r>
        <w:rPr>
          <w:rFonts w:ascii="Calibri" w:cs="Calibri" w:eastAsia="Calibri" w:hAnsi="Calibri"/>
          <w:b/>
          <w:bCs/>
          <w:i w:val="false"/>
          <w:iCs w:val="false"/>
          <w:color w:val="1F2937"/>
          <w:sz w:val="22"/>
          <w:szCs w:val="22"/>
        </w:rPr>
        <w:t xml:space="preserve">UNESCO buffer zone </w:t>
      </w:r>
      <w:r>
        <w:rPr>
          <w:rFonts w:ascii="Calibri" w:cs="Calibri" w:eastAsia="Calibri" w:hAnsi="Calibri"/>
          <w:b w:val="false"/>
          <w:bCs w:val="false"/>
          <w:i w:val="false"/>
          <w:iCs w:val="false"/>
          <w:color w:val="1F2937"/>
          <w:sz w:val="22"/>
          <w:szCs w:val="22"/>
        </w:rPr>
        <w:t xml:space="preserve">(🔴 red) — retain low ridge (≤9 m), muted palette, terracotta roof matched to Capella's copper heritage so the villa reads as landscape, not skyline.</w:t>
      </w:r>
    </w:p>
    <w:p>
      <w:pPr>
        <w:pStyle w:val="ListParagraph"/>
        <w:numPr>
          <w:ilvl w:val="0"/>
          <w:numId w:val="2"/>
        </w:numPr>
        <w:spacing w:after="60"/>
      </w:pPr>
      <w:r>
        <w:rPr>
          <w:rFonts w:ascii="Calibri" w:cs="Calibri" w:eastAsia="Calibri" w:hAnsi="Calibri"/>
          <w:b/>
          <w:bCs/>
          <w:i w:val="false"/>
          <w:iCs w:val="false"/>
          <w:color w:val="1F2937"/>
          <w:sz w:val="22"/>
          <w:szCs w:val="22"/>
        </w:rPr>
        <w:t xml:space="preserve">Land-use fees &amp; CCC </w:t>
      </w:r>
      <w:r>
        <w:rPr>
          <w:rFonts w:ascii="Calibri" w:cs="Calibri" w:eastAsia="Calibri" w:hAnsi="Calibri"/>
          <w:b w:val="false"/>
          <w:bCs w:val="false"/>
          <w:i w:val="false"/>
          <w:iCs w:val="false"/>
          <w:color w:val="1F2937"/>
          <w:sz w:val="22"/>
          <w:szCs w:val="22"/>
        </w:rPr>
        <w:t xml:space="preserve">(🟡 yellow) — design keeps GFA inside the approved 1/500 envelope; no rezoning needed.</w:t>
      </w:r>
    </w:p>
    <w:p>
      <w:pPr>
        <w:pStyle w:val="ListParagraph"/>
        <w:numPr>
          <w:ilvl w:val="0"/>
          <w:numId w:val="2"/>
        </w:numPr>
        <w:spacing w:after="60"/>
      </w:pPr>
      <w:r>
        <w:rPr>
          <w:rFonts w:ascii="Calibri" w:cs="Calibri" w:eastAsia="Calibri" w:hAnsi="Calibri"/>
          <w:b/>
          <w:bCs/>
          <w:i w:val="false"/>
          <w:iCs w:val="false"/>
          <w:color w:val="1F2937"/>
          <w:sz w:val="22"/>
          <w:szCs w:val="22"/>
        </w:rPr>
        <w:t xml:space="preserve">JVA governance </w:t>
      </w:r>
      <w:r>
        <w:rPr>
          <w:rFonts w:ascii="Calibri" w:cs="Calibri" w:eastAsia="Calibri" w:hAnsi="Calibri"/>
          <w:b w:val="false"/>
          <w:bCs w:val="false"/>
          <w:i w:val="false"/>
          <w:iCs w:val="false"/>
          <w:color w:val="1F2937"/>
          <w:sz w:val="22"/>
          <w:szCs w:val="22"/>
        </w:rPr>
        <w:t xml:space="preserve">(🟡 yellow) — deliverable is style-neutral to the Jen Cap × Đào Ngọc split; can be built by either party.</w:t>
      </w:r>
    </w:p>
    <w:p>
      <w:pPr>
        <w:pStyle w:val="ListParagraph"/>
        <w:numPr>
          <w:ilvl w:val="0"/>
          <w:numId w:val="2"/>
        </w:numPr>
        <w:spacing w:after="60"/>
      </w:pPr>
      <w:r>
        <w:rPr>
          <w:rFonts w:ascii="Calibri" w:cs="Calibri" w:eastAsia="Calibri" w:hAnsi="Calibri"/>
          <w:b/>
          <w:bCs/>
          <w:i w:val="false"/>
          <w:iCs w:val="false"/>
          <w:color w:val="1F2937"/>
          <w:sz w:val="22"/>
          <w:szCs w:val="22"/>
        </w:rPr>
        <w:t xml:space="preserve">Construction history </w:t>
      </w:r>
      <w:r>
        <w:rPr>
          <w:rFonts w:ascii="Calibri" w:cs="Calibri" w:eastAsia="Calibri" w:hAnsi="Calibri"/>
          <w:b w:val="false"/>
          <w:bCs w:val="false"/>
          <w:i w:val="false"/>
          <w:iCs w:val="false"/>
          <w:color w:val="1F2937"/>
          <w:sz w:val="22"/>
          <w:szCs w:val="22"/>
        </w:rPr>
        <w:t xml:space="preserve">(🟡 yellow) — PHG completion dated 19-06-2015; new works treated as refurbishment + L1 extension, not fresh ground-up.</w:t>
      </w:r>
    </w:p>
    <w:p>
      <w:pPr>
        <w:pStyle w:val="ListParagraph"/>
        <w:numPr>
          <w:ilvl w:val="0"/>
          <w:numId w:val="2"/>
        </w:numPr>
        <w:spacing w:after="60"/>
      </w:pPr>
      <w:r>
        <w:rPr>
          <w:rFonts w:ascii="Calibri" w:cs="Calibri" w:eastAsia="Calibri" w:hAnsi="Calibri"/>
          <w:b/>
          <w:bCs/>
          <w:i w:val="false"/>
          <w:iCs w:val="false"/>
          <w:color w:val="1F2937"/>
          <w:sz w:val="22"/>
          <w:szCs w:val="22"/>
        </w:rPr>
        <w:t xml:space="preserve">LURC clarity </w:t>
      </w:r>
      <w:r>
        <w:rPr>
          <w:rFonts w:ascii="Calibri" w:cs="Calibri" w:eastAsia="Calibri" w:hAnsi="Calibri"/>
          <w:b w:val="false"/>
          <w:bCs w:val="false"/>
          <w:i w:val="false"/>
          <w:iCs w:val="false"/>
          <w:color w:val="1F2937"/>
          <w:sz w:val="22"/>
          <w:szCs w:val="22"/>
        </w:rPr>
        <w:t xml:space="preserve">(🟢 green) — Bi 462036 + Bi 462037 preserved.</w:t>
      </w:r>
    </w:p>
    <w:p>
      <w:pPr>
        <w:pStyle w:val="ListParagraph"/>
        <w:numPr>
          <w:ilvl w:val="0"/>
          <w:numId w:val="2"/>
        </w:numPr>
        <w:spacing w:after="60"/>
      </w:pPr>
      <w:r>
        <w:rPr>
          <w:rFonts w:ascii="Calibri" w:cs="Calibri" w:eastAsia="Calibri" w:hAnsi="Calibri"/>
          <w:b/>
          <w:bCs/>
          <w:i w:val="false"/>
          <w:iCs w:val="false"/>
          <w:color w:val="1F2937"/>
          <w:sz w:val="22"/>
          <w:szCs w:val="22"/>
        </w:rPr>
        <w:t xml:space="preserve">Financial records </w:t>
      </w:r>
      <w:r>
        <w:rPr>
          <w:rFonts w:ascii="Calibri" w:cs="Calibri" w:eastAsia="Calibri" w:hAnsi="Calibri"/>
          <w:b w:val="false"/>
          <w:bCs w:val="false"/>
          <w:i w:val="false"/>
          <w:iCs w:val="false"/>
          <w:color w:val="1F2937"/>
          <w:sz w:val="22"/>
          <w:szCs w:val="22"/>
        </w:rPr>
        <w:t xml:space="preserve">(🟢 green) — six years of audited FS support the capex case.</w:t>
      </w:r>
    </w:p>
    <w:p>
      <w:r>
        <w:br w:type="page"/>
      </w:r>
    </w:p>
    <w:p>
      <w:pPr>
        <w:pStyle w:val="Heading1"/>
        <w:spacing w:after="160" w:before="360"/>
      </w:pPr>
      <w:r>
        <w:rPr>
          <w:rFonts w:ascii="Georgia" w:cs="Georgia" w:eastAsia="Georgia" w:hAnsi="Georgia"/>
          <w:b/>
          <w:bCs/>
          <w:color w:val="1F2937"/>
          <w:sz w:val="36"/>
          <w:szCs w:val="36"/>
        </w:rPr>
        <w:t xml:space="preserve">03 · Precedent — Capella Sentosa Manors</w:t>
      </w:r>
    </w:p>
    <w:p>
      <w:pPr>
        <w:pBdr>
          <w:bottom w:val="single" w:color="D6D3D1" w:sz="6" w:space="1"/>
        </w:pBdr>
        <w:spacing w:after="80" w:before="80"/>
      </w:pPr>
      <w:r>
        <w:t xml:space="preserve"/>
      </w:r>
    </w:p>
    <w:p>
      <w:pPr>
        <w:spacing w:after="140" w:line="300"/>
        <w:jc w:val="both"/>
      </w:pPr>
      <w:r>
        <w:rPr>
          <w:rFonts w:ascii="Calibri" w:cs="Calibri" w:eastAsia="Calibri" w:hAnsi="Calibri"/>
          <w:b w:val="false"/>
          <w:bCs w:val="false"/>
          <w:i w:val="false"/>
          <w:iCs w:val="false"/>
          <w:color w:val="1F2937"/>
          <w:sz w:val="22"/>
          <w:szCs w:val="22"/>
        </w:rPr>
        <w:t xml:space="preserve">Capella Singapore occupies two restored 1880s colonial “black-and-white bungalows” on Sentosa, wrapped by a new low-rise hotel wing designed by Foster + Partners (restoration completed 2009; interiors by Matthew Shang Design Office for the 2023 refresh). The three Sentosa Manors are three-bedroom, 434–436 m² private residences set inside the hotel's landscape, each with its own pool, garden and colonial-plantation architecture — deep overhanging pitched roofs, white-rendered walls, dark teak shutters, wraparound verandas, copper-to-terracotta roof tones, and an ivory/charcoal/brass interior palette punctuated by tropical planting.</w:t>
      </w:r>
    </w:p>
    <w:p>
      <w:pPr>
        <w:pStyle w:val="Heading2"/>
        <w:spacing w:after="120" w:before="280"/>
      </w:pPr>
      <w:r>
        <w:rPr>
          <w:rFonts w:ascii="Georgia" w:cs="Georgia" w:eastAsia="Georgia" w:hAnsi="Georgia"/>
          <w:b/>
          <w:bCs/>
          <w:color w:val="B45309"/>
          <w:sz w:val="28"/>
          <w:szCs w:val="28"/>
        </w:rPr>
        <w:t xml:space="preserve">3.1 Design language transferred to Jen Tuan Chau</w:t>
      </w:r>
    </w:p>
    <w:tbl>
      <w:tblPr>
        <w:tblW w:type="pct" w:w="100%"/>
        <w:tblBorders>
          <w:top w:val="single" w:color="D6D3D1" w:sz="4"/>
          <w:left w:val="single" w:color="D6D3D1" w:sz="4"/>
          <w:bottom w:val="single" w:color="D6D3D1" w:sz="4"/>
          <w:right w:val="single" w:color="D6D3D1" w:sz="4"/>
          <w:insideH w:val="single" w:color="D6D3D1" w:sz="4"/>
          <w:insideV w:val="single" w:color="D6D3D1" w:sz="4"/>
        </w:tblBorders>
      </w:tblPr>
      <w:tblGrid>
        <w:gridCol w:w="4536"/>
        <w:gridCol w:w="4536"/>
      </w:tblGrid>
      <w:tr>
        <w:tc>
          <w:tcPr>
            <w:tcW w:type="pct" w:w="45%"/>
            <w:shd w:fill="1F2937" w:color="auto" w:val="clear"/>
            <w:tcMar>
              <w:top w:type="dxa" w:w="120"/>
              <w:left w:type="dxa" w:w="160"/>
              <w:bottom w:type="dxa" w:w="120"/>
              <w:right w:type="dxa" w:w="160"/>
            </w:tcMar>
          </w:tcPr>
          <w:p>
            <w:pPr>
              <w:spacing w:after="40"/>
              <w:jc w:val="left"/>
            </w:pPr>
            <w:r>
              <w:rPr>
                <w:rFonts w:ascii="Calibri" w:cs="Calibri" w:eastAsia="Calibri" w:hAnsi="Calibri"/>
                <w:b/>
                <w:bCs/>
                <w:color w:val="FFFFFF"/>
                <w:sz w:val="20"/>
                <w:szCs w:val="20"/>
              </w:rPr>
              <w:t xml:space="preserve">Capella Sentosa Manor attribute</w:t>
            </w:r>
          </w:p>
        </w:tc>
        <w:tc>
          <w:tcPr>
            <w:tcW w:type="pct" w:w="55%"/>
            <w:shd w:fill="1F2937" w:color="auto" w:val="clear"/>
            <w:tcMar>
              <w:top w:type="dxa" w:w="120"/>
              <w:left w:type="dxa" w:w="160"/>
              <w:bottom w:type="dxa" w:w="120"/>
              <w:right w:type="dxa" w:w="160"/>
            </w:tcMar>
          </w:tcPr>
          <w:p>
            <w:pPr>
              <w:spacing w:after="40"/>
              <w:jc w:val="left"/>
            </w:pPr>
            <w:r>
              <w:rPr>
                <w:rFonts w:ascii="Calibri" w:cs="Calibri" w:eastAsia="Calibri" w:hAnsi="Calibri"/>
                <w:b/>
                <w:bCs/>
                <w:color w:val="FFFFFF"/>
                <w:sz w:val="20"/>
                <w:szCs w:val="20"/>
              </w:rPr>
              <w:t xml:space="preserve">Application at Jen Tuan Chau</w:t>
            </w:r>
          </w:p>
        </w:tc>
      </w:tr>
      <w:tr>
        <w:tc>
          <w:tcPr>
            <w:tcW w:type="pct" w:w="45%"/>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Low single/two-storey silhouette</w:t>
            </w:r>
          </w:p>
        </w:tc>
        <w:tc>
          <w:tcPr>
            <w:tcW w:type="pct" w:w="55%"/>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Retain ~7–9 m ridge; two storeys with pitched roof over flat-roof lines</w:t>
            </w:r>
          </w:p>
        </w:tc>
      </w:tr>
      <w:tr>
        <w:tc>
          <w:tcPr>
            <w:tcW w:type="pct" w:w="45%"/>
            <w:shd w:fill="FAF7F2" w:color="auto" w:val="clear"/>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White-rendered walls, dark timber shutters</w:t>
            </w:r>
          </w:p>
        </w:tc>
        <w:tc>
          <w:tcPr>
            <w:tcW w:type="pct" w:w="55%"/>
            <w:shd w:fill="FAF7F2" w:color="auto" w:val="clear"/>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Replace STW2 stone cladding on upper floors with lime-washed render; SDET-075 bamboo screens become teak louvered shutters</w:t>
            </w:r>
          </w:p>
        </w:tc>
      </w:tr>
      <w:tr>
        <w:tc>
          <w:tcPr>
            <w:tcW w:type="pct" w:w="45%"/>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Copper / terracotta pitched roof</w:t>
            </w:r>
          </w:p>
        </w:tc>
        <w:tc>
          <w:tcPr>
            <w:tcW w:type="pct" w:w="55%"/>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Introduce pitched clay-tile roof over the existing ArAD flat-roof datum; copper gutter + ridge</w:t>
            </w:r>
          </w:p>
        </w:tc>
      </w:tr>
      <w:tr>
        <w:tc>
          <w:tcPr>
            <w:tcW w:type="pct" w:w="45%"/>
            <w:shd w:fill="FAF7F2" w:color="auto" w:val="clear"/>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Deep verandas wrapping bay elevations</w:t>
            </w:r>
          </w:p>
        </w:tc>
        <w:tc>
          <w:tcPr>
            <w:tcW w:type="pct" w:w="55%"/>
            <w:shd w:fill="FAF7F2" w:color="auto" w:val="clear"/>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2.4 m cantilever veranda along south and west elevations</w:t>
            </w:r>
          </w:p>
        </w:tc>
      </w:tr>
      <w:tr>
        <w:tc>
          <w:tcPr>
            <w:tcW w:type="pct" w:w="45%"/>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Colonial symmetry around central foyer</w:t>
            </w:r>
          </w:p>
        </w:tc>
        <w:tc>
          <w:tcPr>
            <w:tcW w:type="pct" w:w="55%"/>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Keep existing gridline C as central axis; mirror plan around it</w:t>
            </w:r>
          </w:p>
        </w:tc>
      </w:tr>
      <w:tr>
        <w:tc>
          <w:tcPr>
            <w:tcW w:type="pct" w:w="45%"/>
            <w:shd w:fill="FAF7F2" w:color="auto" w:val="clear"/>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Neutral ivory/charcoal/brass interior</w:t>
            </w:r>
          </w:p>
        </w:tc>
        <w:tc>
          <w:tcPr>
            <w:tcW w:type="pct" w:w="55%"/>
            <w:shd w:fill="FAF7F2" w:color="auto" w:val="clear"/>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Replace contemporary palette of the SEA Type 2 with lime-washed walls, teak joinery, aged brass, raffia textiles</w:t>
            </w:r>
          </w:p>
        </w:tc>
      </w:tr>
      <w:tr>
        <w:tc>
          <w:tcPr>
            <w:tcW w:type="pct" w:w="45%"/>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Tropical botanical planting (frangipani, heliconia)</w:t>
            </w:r>
          </w:p>
        </w:tc>
        <w:tc>
          <w:tcPr>
            <w:tcW w:type="pct" w:w="55%"/>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Foreground planting on pool terrace; mature frangipani flanking entry court</w:t>
            </w:r>
          </w:p>
        </w:tc>
      </w:tr>
      <w:tr>
        <w:tc>
          <w:tcPr>
            <w:tcW w:type="pct" w:w="45%"/>
            <w:shd w:fill="FAF7F2" w:color="auto" w:val="clear"/>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Private pool, outdoor sala, BBQ</w:t>
            </w:r>
          </w:p>
        </w:tc>
        <w:tc>
          <w:tcPr>
            <w:tcW w:type="pct" w:w="55%"/>
            <w:shd w:fill="FAF7F2" w:color="auto" w:val="clear"/>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Retain existing pool; add a sala pavilion on the east lawn</w:t>
            </w:r>
          </w:p>
        </w:tc>
      </w:tr>
    </w:tbl>
    <w:p>
      <w:pPr>
        <w:spacing w:after="160" w:before="0"/>
      </w:pPr>
      <w:r>
        <w:t xml:space="preserve"/>
      </w:r>
    </w:p>
    <w:p>
      <w:pPr>
        <w:spacing w:after="140" w:line="300"/>
        <w:jc w:val="both"/>
      </w:pPr>
      <w:r>
        <w:rPr>
          <w:rFonts w:ascii="Calibri" w:cs="Calibri" w:eastAsia="Calibri" w:hAnsi="Calibri"/>
          <w:b w:val="false"/>
          <w:bCs w:val="false"/>
          <w:i w:val="false"/>
          <w:iCs w:val="false"/>
          <w:color w:val="1F2937"/>
          <w:sz w:val="22"/>
          <w:szCs w:val="22"/>
        </w:rPr>
        <w:t xml:space="preserve">The goal is not pastiche. Capella's authority comes from the honesty of the bungalow plan — a thick central spine with verandas on both long sides, cross-ventilated rooms, tall ceilings and a roof that does the aesthetic work. The existing Caye Sereno plan already has the right bones (a linear main block with secondary service wing); re-cladding the skin and pitching the roof is enough to carry the reference convincingly.</w:t>
      </w:r>
    </w:p>
    <w:p>
      <w:r>
        <w:br w:type="page"/>
      </w:r>
    </w:p>
    <w:p>
      <w:pPr>
        <w:pStyle w:val="Heading1"/>
        <w:spacing w:after="160" w:before="360"/>
      </w:pPr>
      <w:r>
        <w:rPr>
          <w:rFonts w:ascii="Georgia" w:cs="Georgia" w:eastAsia="Georgia" w:hAnsi="Georgia"/>
          <w:b/>
          <w:bCs/>
          <w:color w:val="1F2937"/>
          <w:sz w:val="36"/>
          <w:szCs w:val="36"/>
        </w:rPr>
        <w:t xml:space="preserve">04 · Base Drawings — Caye Sereno SEA Type 2</w:t>
      </w:r>
    </w:p>
    <w:p>
      <w:pPr>
        <w:pBdr>
          <w:bottom w:val="single" w:color="D6D3D1" w:sz="6" w:space="1"/>
        </w:pBdr>
        <w:spacing w:after="80" w:before="80"/>
      </w:pPr>
      <w:r>
        <w:t xml:space="preserve"/>
      </w:r>
    </w:p>
    <w:p>
      <w:pPr>
        <w:spacing w:after="140" w:line="300"/>
        <w:jc w:val="both"/>
      </w:pPr>
      <w:r>
        <w:rPr>
          <w:rFonts w:ascii="Calibri" w:cs="Calibri" w:eastAsia="Calibri" w:hAnsi="Calibri"/>
          <w:b w:val="false"/>
          <w:bCs w:val="false"/>
          <w:i w:val="false"/>
          <w:iCs w:val="false"/>
          <w:color w:val="1F2937"/>
          <w:sz w:val="22"/>
          <w:szCs w:val="22"/>
        </w:rPr>
        <w:t xml:space="preserve">The as-built package by Transform Architecture (sheet set ArAD, June 2015, executed by Phú Hưng Gia) provides the setting-out, structural grid and finishes library that the concept re-uses. Dimensions are preserved exactly; only the envelope, roof and L1 extent are modified.</w:t>
      </w:r>
    </w:p>
    <w:p>
      <w:pPr>
        <w:pStyle w:val="Heading2"/>
        <w:spacing w:after="120" w:before="280"/>
      </w:pPr>
      <w:r>
        <w:rPr>
          <w:rFonts w:ascii="Georgia" w:cs="Georgia" w:eastAsia="Georgia" w:hAnsi="Georgia"/>
          <w:b/>
          <w:bCs/>
          <w:color w:val="B45309"/>
          <w:sz w:val="28"/>
          <w:szCs w:val="28"/>
        </w:rPr>
        <w:t xml:space="preserve">4.1 Dimensional inventory</w:t>
      </w:r>
    </w:p>
    <w:tbl>
      <w:tblPr>
        <w:tblW w:type="pct" w:w="100%"/>
        <w:tblBorders>
          <w:top w:val="single" w:color="D6D3D1" w:sz="4"/>
          <w:left w:val="single" w:color="D6D3D1" w:sz="4"/>
          <w:bottom w:val="single" w:color="D6D3D1" w:sz="4"/>
          <w:right w:val="single" w:color="D6D3D1" w:sz="4"/>
          <w:insideH w:val="single" w:color="D6D3D1" w:sz="4"/>
          <w:insideV w:val="single" w:color="D6D3D1" w:sz="4"/>
        </w:tblBorders>
      </w:tblPr>
      <w:tblGrid>
        <w:gridCol w:w="3024"/>
        <w:gridCol w:w="3024"/>
        <w:gridCol w:w="3024"/>
      </w:tblGrid>
      <w:tr>
        <w:tc>
          <w:tcPr>
            <w:tcW w:type="pct" w:w="32%"/>
            <w:shd w:fill="1F2937" w:color="auto" w:val="clear"/>
            <w:tcMar>
              <w:top w:type="dxa" w:w="120"/>
              <w:left w:type="dxa" w:w="160"/>
              <w:bottom w:type="dxa" w:w="120"/>
              <w:right w:type="dxa" w:w="160"/>
            </w:tcMar>
          </w:tcPr>
          <w:p>
            <w:pPr>
              <w:spacing w:after="40"/>
              <w:jc w:val="left"/>
            </w:pPr>
            <w:r>
              <w:rPr>
                <w:rFonts w:ascii="Calibri" w:cs="Calibri" w:eastAsia="Calibri" w:hAnsi="Calibri"/>
                <w:b/>
                <w:bCs/>
                <w:color w:val="FFFFFF"/>
                <w:sz w:val="20"/>
                <w:szCs w:val="20"/>
              </w:rPr>
              <w:t xml:space="preserve">Parameter</w:t>
            </w:r>
          </w:p>
        </w:tc>
        <w:tc>
          <w:tcPr>
            <w:tcW w:type="pct" w:w="44%"/>
            <w:shd w:fill="1F2937" w:color="auto" w:val="clear"/>
            <w:tcMar>
              <w:top w:type="dxa" w:w="120"/>
              <w:left w:type="dxa" w:w="160"/>
              <w:bottom w:type="dxa" w:w="120"/>
              <w:right w:type="dxa" w:w="160"/>
            </w:tcMar>
          </w:tcPr>
          <w:p>
            <w:pPr>
              <w:spacing w:after="40"/>
              <w:jc w:val="left"/>
            </w:pPr>
            <w:r>
              <w:rPr>
                <w:rFonts w:ascii="Calibri" w:cs="Calibri" w:eastAsia="Calibri" w:hAnsi="Calibri"/>
                <w:b/>
                <w:bCs/>
                <w:color w:val="FFFFFF"/>
                <w:sz w:val="20"/>
                <w:szCs w:val="20"/>
              </w:rPr>
              <w:t xml:space="preserve">Value</w:t>
            </w:r>
          </w:p>
        </w:tc>
        <w:tc>
          <w:tcPr>
            <w:tcW w:type="pct" w:w="24%"/>
            <w:shd w:fill="1F2937" w:color="auto" w:val="clear"/>
            <w:tcMar>
              <w:top w:type="dxa" w:w="120"/>
              <w:left w:type="dxa" w:w="160"/>
              <w:bottom w:type="dxa" w:w="120"/>
              <w:right w:type="dxa" w:w="160"/>
            </w:tcMar>
          </w:tcPr>
          <w:p>
            <w:pPr>
              <w:spacing w:after="40"/>
              <w:jc w:val="left"/>
            </w:pPr>
            <w:r>
              <w:rPr>
                <w:rFonts w:ascii="Calibri" w:cs="Calibri" w:eastAsia="Calibri" w:hAnsi="Calibri"/>
                <w:b/>
                <w:bCs/>
                <w:color w:val="FFFFFF"/>
                <w:sz w:val="20"/>
                <w:szCs w:val="20"/>
              </w:rPr>
              <w:t xml:space="preserve">Source sheet</w:t>
            </w:r>
          </w:p>
        </w:tc>
      </w:tr>
      <w:tr>
        <w:tc>
          <w:tcPr>
            <w:tcW w:type="pct" w:w="32%"/>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Long-axis grid</w:t>
            </w:r>
          </w:p>
        </w:tc>
        <w:tc>
          <w:tcPr>
            <w:tcW w:type="pct" w:w="44%"/>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3,850 + 5,500 + 5,500 + 7,150 + 6,050 = 28,050 mm</w:t>
            </w:r>
          </w:p>
        </w:tc>
        <w:tc>
          <w:tcPr>
            <w:tcW w:type="pct" w:w="24%"/>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PLN-012</w:t>
            </w:r>
          </w:p>
        </w:tc>
      </w:tr>
      <w:tr>
        <w:tc>
          <w:tcPr>
            <w:tcW w:type="pct" w:w="32%"/>
            <w:shd w:fill="FAF7F2" w:color="auto" w:val="clear"/>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Plot depth</w:t>
            </w:r>
          </w:p>
        </w:tc>
        <w:tc>
          <w:tcPr>
            <w:tcW w:type="pct" w:w="44%"/>
            <w:shd w:fill="FAF7F2" w:color="auto" w:val="clear"/>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11,550 mm (living bay); 14,350 mm (dining wing)</w:t>
            </w:r>
          </w:p>
        </w:tc>
        <w:tc>
          <w:tcPr>
            <w:tcW w:type="pct" w:w="24%"/>
            <w:shd w:fill="FAF7F2" w:color="auto" w:val="clear"/>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PLN-012 / PLN-013</w:t>
            </w:r>
          </w:p>
        </w:tc>
      </w:tr>
      <w:tr>
        <w:tc>
          <w:tcPr>
            <w:tcW w:type="pct" w:w="32%"/>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GF FFL</w:t>
            </w:r>
          </w:p>
        </w:tc>
        <w:tc>
          <w:tcPr>
            <w:tcW w:type="pct" w:w="44%"/>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+2.930 m (SL +2.770)</w:t>
            </w:r>
          </w:p>
        </w:tc>
        <w:tc>
          <w:tcPr>
            <w:tcW w:type="pct" w:w="24%"/>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PLN-012</w:t>
            </w:r>
          </w:p>
        </w:tc>
      </w:tr>
      <w:tr>
        <w:tc>
          <w:tcPr>
            <w:tcW w:type="pct" w:w="32%"/>
            <w:shd w:fill="FAF7F2" w:color="auto" w:val="clear"/>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L1 FFL</w:t>
            </w:r>
          </w:p>
        </w:tc>
        <w:tc>
          <w:tcPr>
            <w:tcW w:type="pct" w:w="44%"/>
            <w:shd w:fill="FAF7F2" w:color="auto" w:val="clear"/>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+3.180 m</w:t>
            </w:r>
          </w:p>
        </w:tc>
        <w:tc>
          <w:tcPr>
            <w:tcW w:type="pct" w:w="24%"/>
            <w:shd w:fill="FAF7F2" w:color="auto" w:val="clear"/>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PLN-013</w:t>
            </w:r>
          </w:p>
        </w:tc>
      </w:tr>
      <w:tr>
        <w:tc>
          <w:tcPr>
            <w:tcW w:type="pct" w:w="32%"/>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Existing roof FFL</w:t>
            </w:r>
          </w:p>
        </w:tc>
        <w:tc>
          <w:tcPr>
            <w:tcW w:type="pct" w:w="44%"/>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+6.970 m (SL +6.800)</w:t>
            </w:r>
          </w:p>
        </w:tc>
        <w:tc>
          <w:tcPr>
            <w:tcW w:type="pct" w:w="24%"/>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PLN-014</w:t>
            </w:r>
          </w:p>
        </w:tc>
      </w:tr>
      <w:tr>
        <w:tc>
          <w:tcPr>
            <w:tcW w:type="pct" w:w="32%"/>
            <w:shd w:fill="FAF7F2" w:color="auto" w:val="clear"/>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Overall height (existing)</w:t>
            </w:r>
          </w:p>
        </w:tc>
        <w:tc>
          <w:tcPr>
            <w:tcW w:type="pct" w:w="44%"/>
            <w:shd w:fill="FAF7F2" w:color="auto" w:val="clear"/>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~7.00 m (flat roof)</w:t>
            </w:r>
          </w:p>
        </w:tc>
        <w:tc>
          <w:tcPr>
            <w:tcW w:type="pct" w:w="24%"/>
            <w:shd w:fill="FAF7F2" w:color="auto" w:val="clear"/>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ELE-031 / ELE-033</w:t>
            </w:r>
          </w:p>
        </w:tc>
      </w:tr>
      <w:tr>
        <w:tc>
          <w:tcPr>
            <w:tcW w:type="pct" w:w="32%"/>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Floor-to-floor GF→L1</w:t>
            </w:r>
          </w:p>
        </w:tc>
        <w:tc>
          <w:tcPr>
            <w:tcW w:type="pct" w:w="44%"/>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~3.55 m</w:t>
            </w:r>
          </w:p>
        </w:tc>
        <w:tc>
          <w:tcPr>
            <w:tcW w:type="pct" w:w="24%"/>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SEC-041</w:t>
            </w:r>
          </w:p>
        </w:tc>
      </w:tr>
    </w:tbl>
    <w:p>
      <w:pPr>
        <w:spacing w:after="140" w:before="0"/>
      </w:pPr>
      <w:r>
        <w:t xml:space="preserve"/>
      </w:r>
    </w:p>
    <w:p>
      <w:pPr>
        <w:pStyle w:val="Heading2"/>
        <w:spacing w:after="120" w:before="280"/>
      </w:pPr>
      <w:r>
        <w:rPr>
          <w:rFonts w:ascii="Georgia" w:cs="Georgia" w:eastAsia="Georgia" w:hAnsi="Georgia"/>
          <w:b/>
          <w:bCs/>
          <w:color w:val="B45309"/>
          <w:sz w:val="28"/>
          <w:szCs w:val="28"/>
        </w:rPr>
        <w:t xml:space="preserve">4.2 Sheet carry-over</w:t>
      </w:r>
    </w:p>
    <w:p>
      <w:pPr>
        <w:spacing w:after="140" w:line="300"/>
        <w:jc w:val="both"/>
      </w:pPr>
      <w:r>
        <w:rPr>
          <w:rFonts w:ascii="Calibri" w:cs="Calibri" w:eastAsia="Calibri" w:hAnsi="Calibri"/>
          <w:b w:val="false"/>
          <w:bCs w:val="false"/>
          <w:i w:val="false"/>
          <w:iCs w:val="false"/>
          <w:color w:val="1F2937"/>
          <w:sz w:val="22"/>
          <w:szCs w:val="22"/>
        </w:rPr>
        <w:t xml:space="preserve">The ArAD package inventoried below is treated as the reference baseline. Sheets marked ● are updated under this concept; sheets marked ○ are retained verbatim for coordination with civil, MEP and landscape packages.</w:t>
      </w:r>
    </w:p>
    <w:tbl>
      <w:tblPr>
        <w:tblW w:type="pct" w:w="100%"/>
        <w:tblBorders>
          <w:top w:val="single" w:color="D6D3D1" w:sz="4"/>
          <w:left w:val="single" w:color="D6D3D1" w:sz="4"/>
          <w:bottom w:val="single" w:color="D6D3D1" w:sz="4"/>
          <w:right w:val="single" w:color="D6D3D1" w:sz="4"/>
          <w:insideH w:val="single" w:color="D6D3D1" w:sz="4"/>
          <w:insideV w:val="single" w:color="D6D3D1" w:sz="4"/>
        </w:tblBorders>
      </w:tblPr>
      <w:tblGrid>
        <w:gridCol w:w="3024"/>
        <w:gridCol w:w="3024"/>
        <w:gridCol w:w="3024"/>
      </w:tblGrid>
      <w:tr>
        <w:tc>
          <w:tcPr>
            <w:tcW w:type="pct" w:w="22%"/>
            <w:shd w:fill="1F2937" w:color="auto" w:val="clear"/>
            <w:tcMar>
              <w:top w:type="dxa" w:w="120"/>
              <w:left w:type="dxa" w:w="160"/>
              <w:bottom w:type="dxa" w:w="120"/>
              <w:right w:type="dxa" w:w="160"/>
            </w:tcMar>
          </w:tcPr>
          <w:p>
            <w:pPr>
              <w:spacing w:after="40"/>
              <w:jc w:val="left"/>
            </w:pPr>
            <w:r>
              <w:rPr>
                <w:rFonts w:ascii="Calibri" w:cs="Calibri" w:eastAsia="Calibri" w:hAnsi="Calibri"/>
                <w:b/>
                <w:bCs/>
                <w:color w:val="FFFFFF"/>
                <w:sz w:val="20"/>
                <w:szCs w:val="20"/>
              </w:rPr>
              <w:t xml:space="preserve">Sheet group</w:t>
            </w:r>
          </w:p>
        </w:tc>
        <w:tc>
          <w:tcPr>
            <w:tcW w:type="pct" w:w="50%"/>
            <w:shd w:fill="1F2937" w:color="auto" w:val="clear"/>
            <w:tcMar>
              <w:top w:type="dxa" w:w="120"/>
              <w:left w:type="dxa" w:w="160"/>
              <w:bottom w:type="dxa" w:w="120"/>
              <w:right w:type="dxa" w:w="160"/>
            </w:tcMar>
          </w:tcPr>
          <w:p>
            <w:pPr>
              <w:spacing w:after="40"/>
              <w:jc w:val="left"/>
            </w:pPr>
            <w:r>
              <w:rPr>
                <w:rFonts w:ascii="Calibri" w:cs="Calibri" w:eastAsia="Calibri" w:hAnsi="Calibri"/>
                <w:b/>
                <w:bCs/>
                <w:color w:val="FFFFFF"/>
                <w:sz w:val="20"/>
                <w:szCs w:val="20"/>
              </w:rPr>
              <w:t xml:space="preserve">Sheets</w:t>
            </w:r>
          </w:p>
        </w:tc>
        <w:tc>
          <w:tcPr>
            <w:tcW w:type="pct" w:w="28%"/>
            <w:shd w:fill="1F2937" w:color="auto" w:val="clear"/>
            <w:tcMar>
              <w:top w:type="dxa" w:w="120"/>
              <w:left w:type="dxa" w:w="160"/>
              <w:bottom w:type="dxa" w:w="120"/>
              <w:right w:type="dxa" w:w="160"/>
            </w:tcMar>
          </w:tcPr>
          <w:p>
            <w:pPr>
              <w:spacing w:after="40"/>
              <w:jc w:val="left"/>
            </w:pPr>
            <w:r>
              <w:rPr>
                <w:rFonts w:ascii="Calibri" w:cs="Calibri" w:eastAsia="Calibri" w:hAnsi="Calibri"/>
                <w:b/>
                <w:bCs/>
                <w:color w:val="FFFFFF"/>
                <w:sz w:val="20"/>
                <w:szCs w:val="20"/>
              </w:rPr>
              <w:t xml:space="preserve">Carry-over</w:t>
            </w:r>
          </w:p>
        </w:tc>
      </w:tr>
      <w:tr>
        <w:tc>
          <w:tcPr>
            <w:tcW w:type="pct" w:w="22%"/>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Plans</w:t>
            </w:r>
          </w:p>
        </w:tc>
        <w:tc>
          <w:tcPr>
            <w:tcW w:type="pct" w:w="50%"/>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PLN-012 GF · PLN-013 L1 · PLN-014 Roof</w:t>
            </w:r>
          </w:p>
        </w:tc>
        <w:tc>
          <w:tcPr>
            <w:tcW w:type="pct" w:w="28%"/>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 Updated (L1 extended, roof pitched)</w:t>
            </w:r>
          </w:p>
        </w:tc>
      </w:tr>
      <w:tr>
        <w:tc>
          <w:tcPr>
            <w:tcW w:type="pct" w:w="22%"/>
            <w:shd w:fill="FAF7F2" w:color="auto" w:val="clear"/>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Floor finishes</w:t>
            </w:r>
          </w:p>
        </w:tc>
        <w:tc>
          <w:tcPr>
            <w:tcW w:type="pct" w:w="50%"/>
            <w:shd w:fill="FAF7F2" w:color="auto" w:val="clear"/>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FFL-015 GF · FFL-016 L1</w:t>
            </w:r>
          </w:p>
        </w:tc>
        <w:tc>
          <w:tcPr>
            <w:tcW w:type="pct" w:w="28%"/>
            <w:shd w:fill="FAF7F2" w:color="auto" w:val="clear"/>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 Updated (interior palette re-set)</w:t>
            </w:r>
          </w:p>
        </w:tc>
      </w:tr>
      <w:tr>
        <w:tc>
          <w:tcPr>
            <w:tcW w:type="pct" w:w="22%"/>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Ceiling / RCP</w:t>
            </w:r>
          </w:p>
        </w:tc>
        <w:tc>
          <w:tcPr>
            <w:tcW w:type="pct" w:w="50%"/>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CEL-017</w:t>
            </w:r>
          </w:p>
        </w:tc>
        <w:tc>
          <w:tcPr>
            <w:tcW w:type="pct" w:w="28%"/>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 Updated (coffered / tongue-groove)</w:t>
            </w:r>
          </w:p>
        </w:tc>
      </w:tr>
      <w:tr>
        <w:tc>
          <w:tcPr>
            <w:tcW w:type="pct" w:w="22%"/>
            <w:shd w:fill="FAF7F2" w:color="auto" w:val="clear"/>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Elevations</w:t>
            </w:r>
          </w:p>
        </w:tc>
        <w:tc>
          <w:tcPr>
            <w:tcW w:type="pct" w:w="50%"/>
            <w:shd w:fill="FAF7F2" w:color="auto" w:val="clear"/>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ELE-031/032/033 · 1A–4B (eight elevations)</w:t>
            </w:r>
          </w:p>
        </w:tc>
        <w:tc>
          <w:tcPr>
            <w:tcW w:type="pct" w:w="28%"/>
            <w:shd w:fill="FAF7F2" w:color="auto" w:val="clear"/>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 Updated (colonial re-clad)</w:t>
            </w:r>
          </w:p>
        </w:tc>
      </w:tr>
      <w:tr>
        <w:tc>
          <w:tcPr>
            <w:tcW w:type="pct" w:w="22%"/>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Sections</w:t>
            </w:r>
          </w:p>
        </w:tc>
        <w:tc>
          <w:tcPr>
            <w:tcW w:type="pct" w:w="50%"/>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SEC-041/042/043 · A–G (seven sections)</w:t>
            </w:r>
          </w:p>
        </w:tc>
        <w:tc>
          <w:tcPr>
            <w:tcW w:type="pct" w:w="28%"/>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 Updated (pitched roof profile)</w:t>
            </w:r>
          </w:p>
        </w:tc>
      </w:tr>
      <w:tr>
        <w:tc>
          <w:tcPr>
            <w:tcW w:type="pct" w:w="22%"/>
            <w:shd w:fill="FAF7F2" w:color="auto" w:val="clear"/>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Details</w:t>
            </w:r>
          </w:p>
        </w:tc>
        <w:tc>
          <w:tcPr>
            <w:tcW w:type="pct" w:w="50%"/>
            <w:shd w:fill="FAF7F2" w:color="auto" w:val="clear"/>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SDET-075 bamboo screen · AD-series glazing · STW2 stone base</w:t>
            </w:r>
          </w:p>
        </w:tc>
        <w:tc>
          <w:tcPr>
            <w:tcW w:type="pct" w:w="28%"/>
            <w:shd w:fill="FAF7F2" w:color="auto" w:val="clear"/>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 Retained; re-issued in teak / clay tile / stone</w:t>
            </w:r>
          </w:p>
        </w:tc>
      </w:tr>
    </w:tbl>
    <w:p>
      <w:r>
        <w:br w:type="page"/>
      </w:r>
    </w:p>
    <w:p>
      <w:pPr>
        <w:pStyle w:val="Heading1"/>
        <w:spacing w:after="160" w:before="360"/>
      </w:pPr>
      <w:r>
        <w:rPr>
          <w:rFonts w:ascii="Georgia" w:cs="Georgia" w:eastAsia="Georgia" w:hAnsi="Georgia"/>
          <w:b/>
          <w:bCs/>
          <w:color w:val="1F2937"/>
          <w:sz w:val="36"/>
          <w:szCs w:val="36"/>
        </w:rPr>
        <w:t xml:space="preserve">05 · Design Strategy</w:t>
      </w:r>
    </w:p>
    <w:p>
      <w:pPr>
        <w:pBdr>
          <w:bottom w:val="single" w:color="D6D3D1" w:sz="6" w:space="1"/>
        </w:pBdr>
        <w:spacing w:after="80" w:before="80"/>
      </w:pPr>
      <w:r>
        <w:t xml:space="preserve"/>
      </w:r>
    </w:p>
    <w:p>
      <w:pPr>
        <w:pStyle w:val="Heading2"/>
        <w:spacing w:after="120" w:before="280"/>
      </w:pPr>
      <w:r>
        <w:rPr>
          <w:rFonts w:ascii="Georgia" w:cs="Georgia" w:eastAsia="Georgia" w:hAnsi="Georgia"/>
          <w:b/>
          <w:bCs/>
          <w:color w:val="B45309"/>
          <w:sz w:val="28"/>
          <w:szCs w:val="28"/>
        </w:rPr>
        <w:t xml:space="preserve">5.1 Five moves</w:t>
      </w:r>
    </w:p>
    <w:p>
      <w:pPr>
        <w:spacing w:after="140" w:line="300"/>
        <w:jc w:val="both"/>
      </w:pPr>
      <w:r>
        <w:rPr>
          <w:rFonts w:ascii="Calibri" w:cs="Calibri" w:eastAsia="Calibri" w:hAnsi="Calibri"/>
          <w:b/>
          <w:bCs/>
          <w:i w:val="false"/>
          <w:iCs w:val="false"/>
          <w:color w:val="1F2937"/>
          <w:sz w:val="22"/>
          <w:szCs w:val="22"/>
        </w:rPr>
        <w:t xml:space="preserve">Move 1 · Extend L1 to the full GF footprint.</w:t>
      </w:r>
      <w:r>
        <w:rPr>
          <w:rFonts w:ascii="Calibri" w:cs="Calibri" w:eastAsia="Calibri" w:hAnsi="Calibri"/>
          <w:b w:val="false"/>
          <w:bCs w:val="false"/>
          <w:i w:val="false"/>
          <w:iCs w:val="false"/>
          <w:color w:val="1F2937"/>
          <w:sz w:val="22"/>
          <w:szCs w:val="22"/>
        </w:rPr>
        <w:t xml:space="preserve">  The existing plan leaves a ~148 m² open roof terrace over the dining and primary-suite wings. This is the single biggest GFA opportunity; the concept converts that void into conditioned floor, giving three additional guest suites plus an upper lounge while keeping ridge height below 9 m.</w:t>
      </w:r>
    </w:p>
    <w:p>
      <w:pPr>
        <w:spacing w:after="140" w:line="300"/>
        <w:jc w:val="both"/>
      </w:pPr>
      <w:r>
        <w:rPr>
          <w:rFonts w:ascii="Calibri" w:cs="Calibri" w:eastAsia="Calibri" w:hAnsi="Calibri"/>
          <w:b/>
          <w:bCs/>
          <w:i w:val="false"/>
          <w:iCs w:val="false"/>
          <w:color w:val="1F2937"/>
          <w:sz w:val="22"/>
          <w:szCs w:val="22"/>
        </w:rPr>
        <w:t xml:space="preserve">Move 2 · Pitch the roof.</w:t>
      </w:r>
      <w:r>
        <w:rPr>
          <w:rFonts w:ascii="Calibri" w:cs="Calibri" w:eastAsia="Calibri" w:hAnsi="Calibri"/>
          <w:b w:val="false"/>
          <w:bCs w:val="false"/>
          <w:i w:val="false"/>
          <w:iCs w:val="false"/>
          <w:color w:val="1F2937"/>
          <w:sz w:val="22"/>
          <w:szCs w:val="22"/>
        </w:rPr>
        <w:t xml:space="preserve">  The flat ArAD roof at +6.97 is replaced with a 25° hipped clay-tile roof rising to ridge ~+9.00. The pitched profile reads as Capella-peer at 100 m distance and is the dominant image in bay-view photography.</w:t>
      </w:r>
    </w:p>
    <w:p>
      <w:pPr>
        <w:spacing w:after="140" w:line="300"/>
        <w:jc w:val="both"/>
      </w:pPr>
      <w:r>
        <w:rPr>
          <w:rFonts w:ascii="Calibri" w:cs="Calibri" w:eastAsia="Calibri" w:hAnsi="Calibri"/>
          <w:b/>
          <w:bCs/>
          <w:i w:val="false"/>
          <w:iCs w:val="false"/>
          <w:color w:val="1F2937"/>
          <w:sz w:val="22"/>
          <w:szCs w:val="22"/>
        </w:rPr>
        <w:t xml:space="preserve">Move 3 · Re-clad in colonial white.</w:t>
      </w:r>
      <w:r>
        <w:rPr>
          <w:rFonts w:ascii="Calibri" w:cs="Calibri" w:eastAsia="Calibri" w:hAnsi="Calibri"/>
          <w:b w:val="false"/>
          <w:bCs w:val="false"/>
          <w:i w:val="false"/>
          <w:iCs w:val="false"/>
          <w:color w:val="1F2937"/>
          <w:sz w:val="22"/>
          <w:szCs w:val="22"/>
        </w:rPr>
        <w:t xml:space="preserve">  Stone base (retained where existing) to +3.18; white lime-washed render to underside of eaves; teak louvered shutters on all openings to the south and west; deep reveals (300 mm) to give plasticity in raking sunlight.</w:t>
      </w:r>
    </w:p>
    <w:p>
      <w:pPr>
        <w:spacing w:after="140" w:line="300"/>
        <w:jc w:val="both"/>
      </w:pPr>
      <w:r>
        <w:rPr>
          <w:rFonts w:ascii="Calibri" w:cs="Calibri" w:eastAsia="Calibri" w:hAnsi="Calibri"/>
          <w:b/>
          <w:bCs/>
          <w:i w:val="false"/>
          <w:iCs w:val="false"/>
          <w:color w:val="1F2937"/>
          <w:sz w:val="22"/>
          <w:szCs w:val="22"/>
        </w:rPr>
        <w:t xml:space="preserve">Move 4 · Wrap the bay elevation in veranda.</w:t>
      </w:r>
      <w:r>
        <w:rPr>
          <w:rFonts w:ascii="Calibri" w:cs="Calibri" w:eastAsia="Calibri" w:hAnsi="Calibri"/>
          <w:b w:val="false"/>
          <w:bCs w:val="false"/>
          <w:i w:val="false"/>
          <w:iCs w:val="false"/>
          <w:color w:val="1F2937"/>
          <w:sz w:val="22"/>
          <w:szCs w:val="22"/>
        </w:rPr>
        <w:t xml:space="preserve">  A 2.4 m cantilevered veranda along the south (bay-facing) and west elevations on both GF and L1 — the classic colonial bungalow move — shades the glazing, protects the render from rain and gives every principal room a direct outdoor-to-bay transition.</w:t>
      </w:r>
    </w:p>
    <w:p>
      <w:pPr>
        <w:spacing w:after="140" w:line="300"/>
        <w:jc w:val="both"/>
      </w:pPr>
      <w:r>
        <w:rPr>
          <w:rFonts w:ascii="Calibri" w:cs="Calibri" w:eastAsia="Calibri" w:hAnsi="Calibri"/>
          <w:b/>
          <w:bCs/>
          <w:i w:val="false"/>
          <w:iCs w:val="false"/>
          <w:color w:val="1F2937"/>
          <w:sz w:val="22"/>
          <w:szCs w:val="22"/>
        </w:rPr>
        <w:t xml:space="preserve">Move 5 · Re-interior around an ivory/teak/brass palette.</w:t>
      </w:r>
      <w:r>
        <w:rPr>
          <w:rFonts w:ascii="Calibri" w:cs="Calibri" w:eastAsia="Calibri" w:hAnsi="Calibri"/>
          <w:b w:val="false"/>
          <w:bCs w:val="false"/>
          <w:i w:val="false"/>
          <w:iCs w:val="false"/>
          <w:color w:val="1F2937"/>
          <w:sz w:val="22"/>
          <w:szCs w:val="22"/>
        </w:rPr>
        <w:t xml:space="preserve">  Replace the contemporary interior with rough-plastered walls in warm ivory, herringbone teak floors, woven raffia ceiling panels, aged-brass hardware, linen upholstery in oat and ink, art and textiles sourced from Hạ Long / Đông Hồ craft traditions.</w:t>
      </w:r>
    </w:p>
    <w:p>
      <w:pPr>
        <w:pStyle w:val="Heading2"/>
        <w:spacing w:after="120" w:before="280"/>
      </w:pPr>
      <w:r>
        <w:rPr>
          <w:rFonts w:ascii="Georgia" w:cs="Georgia" w:eastAsia="Georgia" w:hAnsi="Georgia"/>
          <w:b/>
          <w:bCs/>
          <w:color w:val="B45309"/>
          <w:sz w:val="28"/>
          <w:szCs w:val="28"/>
        </w:rPr>
        <w:t xml:space="preserve">5.2 Program brief</w:t>
      </w:r>
    </w:p>
    <w:tbl>
      <w:tblPr>
        <w:tblW w:type="pct" w:w="100%"/>
        <w:tblBorders>
          <w:top w:val="single" w:color="D6D3D1" w:sz="4"/>
          <w:left w:val="single" w:color="D6D3D1" w:sz="4"/>
          <w:bottom w:val="single" w:color="D6D3D1" w:sz="4"/>
          <w:right w:val="single" w:color="D6D3D1" w:sz="4"/>
          <w:insideH w:val="single" w:color="D6D3D1" w:sz="4"/>
          <w:insideV w:val="single" w:color="D6D3D1" w:sz="4"/>
        </w:tblBorders>
      </w:tblPr>
      <w:tblGrid>
        <w:gridCol w:w="3024"/>
        <w:gridCol w:w="3024"/>
        <w:gridCol w:w="3024"/>
      </w:tblGrid>
      <w:tr>
        <w:tc>
          <w:tcPr>
            <w:tcW w:type="pct" w:w="22%"/>
            <w:shd w:fill="1F2937" w:color="auto" w:val="clear"/>
            <w:tcMar>
              <w:top w:type="dxa" w:w="120"/>
              <w:left w:type="dxa" w:w="160"/>
              <w:bottom w:type="dxa" w:w="120"/>
              <w:right w:type="dxa" w:w="160"/>
            </w:tcMar>
          </w:tcPr>
          <w:p>
            <w:pPr>
              <w:spacing w:after="40"/>
              <w:jc w:val="left"/>
            </w:pPr>
            <w:r>
              <w:rPr>
                <w:rFonts w:ascii="Calibri" w:cs="Calibri" w:eastAsia="Calibri" w:hAnsi="Calibri"/>
                <w:b/>
                <w:bCs/>
                <w:color w:val="FFFFFF"/>
                <w:sz w:val="20"/>
                <w:szCs w:val="20"/>
              </w:rPr>
              <w:t xml:space="preserve">Level</w:t>
            </w:r>
          </w:p>
        </w:tc>
        <w:tc>
          <w:tcPr>
            <w:tcW w:type="pct" w:w="58%"/>
            <w:shd w:fill="1F2937" w:color="auto" w:val="clear"/>
            <w:tcMar>
              <w:top w:type="dxa" w:w="120"/>
              <w:left w:type="dxa" w:w="160"/>
              <w:bottom w:type="dxa" w:w="120"/>
              <w:right w:type="dxa" w:w="160"/>
            </w:tcMar>
          </w:tcPr>
          <w:p>
            <w:pPr>
              <w:spacing w:after="40"/>
              <w:jc w:val="left"/>
            </w:pPr>
            <w:r>
              <w:rPr>
                <w:rFonts w:ascii="Calibri" w:cs="Calibri" w:eastAsia="Calibri" w:hAnsi="Calibri"/>
                <w:b/>
                <w:bCs/>
                <w:color w:val="FFFFFF"/>
                <w:sz w:val="20"/>
                <w:szCs w:val="20"/>
              </w:rPr>
              <w:t xml:space="preserve">Rooms</w:t>
            </w:r>
          </w:p>
        </w:tc>
        <w:tc>
          <w:tcPr>
            <w:tcW w:type="pct" w:w="20%"/>
            <w:shd w:fill="1F2937" w:color="auto" w:val="clear"/>
            <w:tcMar>
              <w:top w:type="dxa" w:w="120"/>
              <w:left w:type="dxa" w:w="160"/>
              <w:bottom w:type="dxa" w:w="120"/>
              <w:right w:type="dxa" w:w="160"/>
            </w:tcMar>
          </w:tcPr>
          <w:p>
            <w:pPr>
              <w:spacing w:after="40"/>
              <w:jc w:val="left"/>
            </w:pPr>
            <w:r>
              <w:rPr>
                <w:rFonts w:ascii="Calibri" w:cs="Calibri" w:eastAsia="Calibri" w:hAnsi="Calibri"/>
                <w:b/>
                <w:bCs/>
                <w:color w:val="FFFFFF"/>
                <w:sz w:val="20"/>
                <w:szCs w:val="20"/>
              </w:rPr>
              <w:t xml:space="preserve">Area (approx.)</w:t>
            </w:r>
          </w:p>
        </w:tc>
      </w:tr>
      <w:tr>
        <w:tc>
          <w:tcPr>
            <w:tcW w:type="pct" w:w="22%"/>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GF (~300 m²)</w:t>
            </w:r>
          </w:p>
        </w:tc>
        <w:tc>
          <w:tcPr>
            <w:tcW w:type="pct" w:w="58%"/>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Porte-cochère · formal entry foyer · formal living (bay) · dining (bay) · family living · study / library · open kitchen · service kitchen · pantry · primary suite + dressing + ensuite · powder · maid · utility · south + west veranda (2.4 m)</w:t>
            </w:r>
          </w:p>
        </w:tc>
        <w:tc>
          <w:tcPr>
            <w:tcW w:type="pct" w:w="20%"/>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300 m² enclosed + ~120 m² covered veranda</w:t>
            </w:r>
          </w:p>
        </w:tc>
      </w:tr>
      <w:tr>
        <w:tc>
          <w:tcPr>
            <w:tcW w:type="pct" w:w="22%"/>
            <w:shd w:fill="FAF7F2" w:color="auto" w:val="clear"/>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L1 (~300 m², new full match)</w:t>
            </w:r>
          </w:p>
        </w:tc>
        <w:tc>
          <w:tcPr>
            <w:tcW w:type="pct" w:w="58%"/>
            <w:shd w:fill="FAF7F2" w:color="auto" w:val="clear"/>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Guest suite 1 (bay, king) · Guest suite 2 (bay, king) · Guest suite 3 (garden, twin) · guest lounge / gallery · reading nook · upper veranda (bay)</w:t>
            </w:r>
          </w:p>
        </w:tc>
        <w:tc>
          <w:tcPr>
            <w:tcW w:type="pct" w:w="20%"/>
            <w:shd w:fill="FAF7F2" w:color="auto" w:val="clear"/>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300 m² enclosed + ~90 m² covered upper veranda</w:t>
            </w:r>
          </w:p>
        </w:tc>
      </w:tr>
      <w:tr>
        <w:tc>
          <w:tcPr>
            <w:tcW w:type="pct" w:w="22%"/>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Roof</w:t>
            </w:r>
          </w:p>
        </w:tc>
        <w:tc>
          <w:tcPr>
            <w:tcW w:type="pct" w:w="58%"/>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Hipped clay-tile, 25°, copper ridge + gutters; ridge vent; concealed PV option at rear slope</w:t>
            </w:r>
          </w:p>
        </w:tc>
        <w:tc>
          <w:tcPr>
            <w:tcW w:type="pct" w:w="20%"/>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w:t>
            </w:r>
          </w:p>
        </w:tc>
      </w:tr>
      <w:tr>
        <w:tc>
          <w:tcPr>
            <w:tcW w:type="pct" w:w="22%"/>
            <w:shd w:fill="FAF7F2" w:color="auto" w:val="clear"/>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Site</w:t>
            </w:r>
          </w:p>
        </w:tc>
        <w:tc>
          <w:tcPr>
            <w:tcW w:type="pct" w:w="58%"/>
            <w:shd w:fill="FAF7F2" w:color="auto" w:val="clear"/>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Infinity pool (retained, re-edged in tumbled basalt) · pool deck in teak · detached sala pavilion · outdoor kitchen / BBQ · service yard at north · motor court with frangipani pair · gardener's store</w:t>
            </w:r>
          </w:p>
        </w:tc>
        <w:tc>
          <w:tcPr>
            <w:tcW w:type="pct" w:w="20%"/>
            <w:shd w:fill="FAF7F2" w:color="auto" w:val="clear"/>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~540 m² external program</w:t>
            </w:r>
          </w:p>
        </w:tc>
      </w:tr>
    </w:tbl>
    <w:p>
      <w:r>
        <w:br w:type="page"/>
      </w:r>
    </w:p>
    <w:p>
      <w:pPr>
        <w:pStyle w:val="Heading1"/>
        <w:spacing w:after="160" w:before="360"/>
      </w:pPr>
      <w:r>
        <w:rPr>
          <w:rFonts w:ascii="Georgia" w:cs="Georgia" w:eastAsia="Georgia" w:hAnsi="Georgia"/>
          <w:b/>
          <w:bCs/>
          <w:color w:val="1F2937"/>
          <w:sz w:val="36"/>
          <w:szCs w:val="36"/>
        </w:rPr>
        <w:t xml:space="preserve">06 · Massing, Plans, Elevations</w:t>
      </w:r>
    </w:p>
    <w:p>
      <w:pPr>
        <w:pBdr>
          <w:bottom w:val="single" w:color="D6D3D1" w:sz="6" w:space="1"/>
        </w:pBdr>
        <w:spacing w:after="80" w:before="80"/>
      </w:pPr>
      <w:r>
        <w:t xml:space="preserve"/>
      </w:r>
    </w:p>
    <w:p>
      <w:pPr>
        <w:pStyle w:val="Heading2"/>
        <w:spacing w:after="120" w:before="280"/>
      </w:pPr>
      <w:r>
        <w:rPr>
          <w:rFonts w:ascii="Georgia" w:cs="Georgia" w:eastAsia="Georgia" w:hAnsi="Georgia"/>
          <w:b/>
          <w:bCs/>
          <w:color w:val="B45309"/>
          <w:sz w:val="28"/>
          <w:szCs w:val="28"/>
        </w:rPr>
        <w:t xml:space="preserve">6.1 Massing diagram (narrative)</w:t>
      </w:r>
    </w:p>
    <w:p>
      <w:pPr>
        <w:spacing w:after="140" w:line="300"/>
        <w:jc w:val="both"/>
      </w:pPr>
      <w:r>
        <w:rPr>
          <w:rFonts w:ascii="Calibri" w:cs="Calibri" w:eastAsia="Calibri" w:hAnsi="Calibri"/>
          <w:b w:val="false"/>
          <w:bCs w:val="false"/>
          <w:i w:val="false"/>
          <w:iCs w:val="false"/>
          <w:color w:val="1F2937"/>
          <w:sz w:val="22"/>
          <w:szCs w:val="22"/>
        </w:rPr>
        <w:t xml:space="preserve">Looking south from the motor court, the villa presents a long linear mass parallel to the bay. The GF base is a continuous white-rendered volume of 28.05 × 11.55 m with a projecting dining wing to the east (+2.8 m). The L1, now extended to the full GF outline, sits directly above with a 300 mm overhang forming the veranda ceiling. A 25° hipped clay-tile roof covers the whole, peaking centrally on gridline C and hipping to the east and west gables. The roof line reads as a single unified profile — the single most important change from the existing flat-roofed scheme.</w:t>
      </w:r>
    </w:p>
    <w:p>
      <w:pPr>
        <w:pStyle w:val="Heading2"/>
        <w:spacing w:after="120" w:before="280"/>
      </w:pPr>
      <w:r>
        <w:rPr>
          <w:rFonts w:ascii="Georgia" w:cs="Georgia" w:eastAsia="Georgia" w:hAnsi="Georgia"/>
          <w:b/>
          <w:bCs/>
          <w:color w:val="B45309"/>
          <w:sz w:val="28"/>
          <w:szCs w:val="28"/>
        </w:rPr>
        <w:t xml:space="preserve">6.2 Ground floor plan — narrative</w:t>
      </w:r>
    </w:p>
    <w:p>
      <w:pPr>
        <w:spacing w:after="140" w:line="300"/>
        <w:jc w:val="both"/>
      </w:pPr>
      <w:r>
        <w:rPr>
          <w:rFonts w:ascii="Calibri" w:cs="Calibri" w:eastAsia="Calibri" w:hAnsi="Calibri"/>
          <w:b w:val="false"/>
          <w:bCs w:val="false"/>
          <w:i w:val="false"/>
          <w:iCs w:val="false"/>
          <w:color w:val="1F2937"/>
          <w:sz w:val="22"/>
          <w:szCs w:val="22"/>
        </w:rPr>
        <w:t xml:space="preserve">Arrival is from the north onto a paved motor court flanked by a pair of mature frangipani trees. The porte-cochère sits on gridline C–D; beyond it, a double-height foyer with coffered teak ceiling opens left to the formal living room (bay view, full-height sliding glass to south veranda) and right to the formal dining (bay view, 10-seat teak table). A service spine at the north edge contains the pantry, service kitchen, maid's room and utility — keeping back-of-house invisible from the bay elevation. The primary suite occupies the west end of the GF, with its own covered terrace stepping directly down to the pool. The east end carries the study/library (half-panelled teak, writing desk, three armchairs) and a guest powder room.</w:t>
      </w:r>
    </w:p>
    <w:p>
      <w:pPr>
        <w:pStyle w:val="Heading2"/>
        <w:spacing w:after="120" w:before="280"/>
      </w:pPr>
      <w:r>
        <w:rPr>
          <w:rFonts w:ascii="Georgia" w:cs="Georgia" w:eastAsia="Georgia" w:hAnsi="Georgia"/>
          <w:b/>
          <w:bCs/>
          <w:color w:val="B45309"/>
          <w:sz w:val="28"/>
          <w:szCs w:val="28"/>
        </w:rPr>
        <w:t xml:space="preserve">6.3 First floor plan — the extension</w:t>
      </w:r>
    </w:p>
    <w:p>
      <w:pPr>
        <w:spacing w:after="140" w:line="300"/>
        <w:jc w:val="both"/>
      </w:pPr>
      <w:r>
        <w:rPr>
          <w:rFonts w:ascii="Calibri" w:cs="Calibri" w:eastAsia="Calibri" w:hAnsi="Calibri"/>
          <w:b w:val="false"/>
          <w:bCs w:val="false"/>
          <w:i w:val="false"/>
          <w:iCs w:val="false"/>
          <w:color w:val="1F2937"/>
          <w:sz w:val="22"/>
          <w:szCs w:val="22"/>
        </w:rPr>
        <w:t xml:space="preserve">L1 mirrors the GF outline (28.05 × 11.55 m plus the 14.35 m dining-wing projection). The plan is organised around a central axial corridor on gridline C running east–west. Two principal guest suites (Suite A and Suite B) sit on the south, bay-facing wall, each with a private slice of the 2.4 m upper veranda. Suite C (twin-bed, garden view) sits on the north. The central ‘gallery' widens over the GF foyer into a double-height reading atrium with a roof lantern (the only break in the hipped roof). At the east end, what was the open dining-roof terrace becomes the guest lounge and small library.</w:t>
      </w:r>
    </w:p>
    <w:p>
      <w:pPr>
        <w:pStyle w:val="Heading2"/>
        <w:spacing w:after="120" w:before="280"/>
      </w:pPr>
      <w:r>
        <w:rPr>
          <w:rFonts w:ascii="Georgia" w:cs="Georgia" w:eastAsia="Georgia" w:hAnsi="Georgia"/>
          <w:b/>
          <w:bCs/>
          <w:color w:val="B45309"/>
          <w:sz w:val="28"/>
          <w:szCs w:val="28"/>
        </w:rPr>
        <w:t xml:space="preserve">6.4 Elevations</w:t>
      </w:r>
    </w:p>
    <w:tbl>
      <w:tblPr>
        <w:tblW w:type="pct" w:w="100%"/>
        <w:tblBorders>
          <w:top w:val="single" w:color="D6D3D1" w:sz="4"/>
          <w:left w:val="single" w:color="D6D3D1" w:sz="4"/>
          <w:bottom w:val="single" w:color="D6D3D1" w:sz="4"/>
          <w:right w:val="single" w:color="D6D3D1" w:sz="4"/>
          <w:insideH w:val="single" w:color="D6D3D1" w:sz="4"/>
          <w:insideV w:val="single" w:color="D6D3D1" w:sz="4"/>
        </w:tblBorders>
      </w:tblPr>
      <w:tblGrid>
        <w:gridCol w:w="3024"/>
        <w:gridCol w:w="3024"/>
        <w:gridCol w:w="3024"/>
      </w:tblGrid>
      <w:tr>
        <w:tc>
          <w:tcPr>
            <w:tcW w:type="pct" w:w="24%"/>
            <w:shd w:fill="1F2937" w:color="auto" w:val="clear"/>
            <w:tcMar>
              <w:top w:type="dxa" w:w="120"/>
              <w:left w:type="dxa" w:w="160"/>
              <w:bottom w:type="dxa" w:w="120"/>
              <w:right w:type="dxa" w:w="160"/>
            </w:tcMar>
          </w:tcPr>
          <w:p>
            <w:pPr>
              <w:spacing w:after="40"/>
              <w:jc w:val="left"/>
            </w:pPr>
            <w:r>
              <w:rPr>
                <w:rFonts w:ascii="Calibri" w:cs="Calibri" w:eastAsia="Calibri" w:hAnsi="Calibri"/>
                <w:b/>
                <w:bCs/>
                <w:color w:val="FFFFFF"/>
                <w:sz w:val="20"/>
                <w:szCs w:val="20"/>
              </w:rPr>
              <w:t xml:space="preserve">Elevation</w:t>
            </w:r>
          </w:p>
        </w:tc>
        <w:tc>
          <w:tcPr>
            <w:tcW w:type="pct" w:w="22%"/>
            <w:shd w:fill="1F2937" w:color="auto" w:val="clear"/>
            <w:tcMar>
              <w:top w:type="dxa" w:w="120"/>
              <w:left w:type="dxa" w:w="160"/>
              <w:bottom w:type="dxa" w:w="120"/>
              <w:right w:type="dxa" w:w="160"/>
            </w:tcMar>
          </w:tcPr>
          <w:p>
            <w:pPr>
              <w:spacing w:after="40"/>
              <w:jc w:val="left"/>
            </w:pPr>
            <w:r>
              <w:rPr>
                <w:rFonts w:ascii="Calibri" w:cs="Calibri" w:eastAsia="Calibri" w:hAnsi="Calibri"/>
                <w:b/>
                <w:bCs/>
                <w:color w:val="FFFFFF"/>
                <w:sz w:val="20"/>
                <w:szCs w:val="20"/>
              </w:rPr>
              <w:t xml:space="preserve">Role</w:t>
            </w:r>
          </w:p>
        </w:tc>
        <w:tc>
          <w:tcPr>
            <w:tcW w:type="pct" w:w="54%"/>
            <w:shd w:fill="1F2937" w:color="auto" w:val="clear"/>
            <w:tcMar>
              <w:top w:type="dxa" w:w="120"/>
              <w:left w:type="dxa" w:w="160"/>
              <w:bottom w:type="dxa" w:w="120"/>
              <w:right w:type="dxa" w:w="160"/>
            </w:tcMar>
          </w:tcPr>
          <w:p>
            <w:pPr>
              <w:spacing w:after="40"/>
              <w:jc w:val="left"/>
            </w:pPr>
            <w:r>
              <w:rPr>
                <w:rFonts w:ascii="Calibri" w:cs="Calibri" w:eastAsia="Calibri" w:hAnsi="Calibri"/>
                <w:b/>
                <w:bCs/>
                <w:color w:val="FFFFFF"/>
                <w:sz w:val="20"/>
                <w:szCs w:val="20"/>
              </w:rPr>
              <w:t xml:space="preserve">Key notes</w:t>
            </w:r>
          </w:p>
        </w:tc>
      </w:tr>
      <w:tr>
        <w:tc>
          <w:tcPr>
            <w:tcW w:type="pct" w:w="24%"/>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South (1A/1B) — bay</w:t>
            </w:r>
          </w:p>
        </w:tc>
        <w:tc>
          <w:tcPr>
            <w:tcW w:type="pct" w:w="22%"/>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Hero image</w:t>
            </w:r>
          </w:p>
        </w:tc>
        <w:tc>
          <w:tcPr>
            <w:tcW w:type="pct" w:w="54%"/>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Full 28 m veranda run; 5 bays of teak louvered shutters; L1 over-sailing the GF at 2.4 m; clay-tile roof pitching down to +6.50 eave</w:t>
            </w:r>
          </w:p>
        </w:tc>
      </w:tr>
      <w:tr>
        <w:tc>
          <w:tcPr>
            <w:tcW w:type="pct" w:w="24%"/>
            <w:shd w:fill="FAF7F2" w:color="auto" w:val="clear"/>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East (2A/2B) — dining wing</w:t>
            </w:r>
          </w:p>
        </w:tc>
        <w:tc>
          <w:tcPr>
            <w:tcW w:type="pct" w:w="22%"/>
            <w:shd w:fill="FAF7F2" w:color="auto" w:val="clear"/>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Secondary hero</w:t>
            </w:r>
          </w:p>
        </w:tc>
        <w:tc>
          <w:tcPr>
            <w:tcW w:type="pct" w:w="54%"/>
            <w:shd w:fill="FAF7F2" w:color="auto" w:val="clear"/>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Projecting gable end with a jack-arch teak window to the dining room; sala pavilion in foreground</w:t>
            </w:r>
          </w:p>
        </w:tc>
      </w:tr>
      <w:tr>
        <w:tc>
          <w:tcPr>
            <w:tcW w:type="pct" w:w="24%"/>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North (3A/3B) — arrival</w:t>
            </w:r>
          </w:p>
        </w:tc>
        <w:tc>
          <w:tcPr>
            <w:tcW w:type="pct" w:w="22%"/>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Arrival</w:t>
            </w:r>
          </w:p>
        </w:tc>
        <w:tc>
          <w:tcPr>
            <w:tcW w:type="pct" w:w="54%"/>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Porte-cochère with stone base, double-leaf teak doors, clerestory lantern above foyer; service yard screened by a low masonry wall</w:t>
            </w:r>
          </w:p>
        </w:tc>
      </w:tr>
      <w:tr>
        <w:tc>
          <w:tcPr>
            <w:tcW w:type="pct" w:w="24%"/>
            <w:shd w:fill="FAF7F2" w:color="auto" w:val="clear"/>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West (4A/4B) — primary suite</w:t>
            </w:r>
          </w:p>
        </w:tc>
        <w:tc>
          <w:tcPr>
            <w:tcW w:type="pct" w:w="22%"/>
            <w:shd w:fill="FAF7F2" w:color="auto" w:val="clear"/>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Private</w:t>
            </w:r>
          </w:p>
        </w:tc>
        <w:tc>
          <w:tcPr>
            <w:tcW w:type="pct" w:w="54%"/>
            <w:shd w:fill="FAF7F2" w:color="auto" w:val="clear"/>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Primary suite terrace; roof hips in toward centre; solid render with two shuttered windows only</w:t>
            </w:r>
          </w:p>
        </w:tc>
      </w:tr>
    </w:tbl>
    <w:p>
      <w:pPr>
        <w:pStyle w:val="Heading2"/>
        <w:spacing w:after="120" w:before="280"/>
      </w:pPr>
      <w:r>
        <w:rPr>
          <w:rFonts w:ascii="Georgia" w:cs="Georgia" w:eastAsia="Georgia" w:hAnsi="Georgia"/>
          <w:b/>
          <w:bCs/>
          <w:color w:val="B45309"/>
          <w:sz w:val="28"/>
          <w:szCs w:val="28"/>
        </w:rPr>
        <w:t xml:space="preserve">6.5 Section A–A (transverse)</w:t>
      </w:r>
    </w:p>
    <w:p>
      <w:pPr>
        <w:spacing w:after="140" w:line="300"/>
        <w:jc w:val="both"/>
      </w:pPr>
      <w:r>
        <w:rPr>
          <w:rFonts w:ascii="Calibri" w:cs="Calibri" w:eastAsia="Calibri" w:hAnsi="Calibri"/>
          <w:b w:val="false"/>
          <w:bCs w:val="false"/>
          <w:i w:val="false"/>
          <w:iCs w:val="false"/>
          <w:color w:val="1F2937"/>
          <w:sz w:val="22"/>
          <w:szCs w:val="22"/>
        </w:rPr>
        <w:t xml:space="preserve">Cut north–south through gridline D, the section reads (from bay to service): 2.4 m veranda · 5.5 m formal living (GF) / guest suite (L1) · 1.5 m circulation spine · 2.2 m service zone. Floor-to-floor GF = 3.55 m; L1 = 3.20 m; roof ridge at central gridline = +9.00 m. The pitched roof geometry is set so that every principal bay-facing room has a minimum 3.0 m ceiling height at the head of the bed; the ridge line is concealed from the pool deck by the upper veranda eave.</w:t>
      </w:r>
    </w:p>
    <w:p>
      <w:r>
        <w:br w:type="page"/>
      </w:r>
    </w:p>
    <w:p>
      <w:pPr>
        <w:pStyle w:val="Heading1"/>
        <w:spacing w:after="160" w:before="360"/>
      </w:pPr>
      <w:r>
        <w:rPr>
          <w:rFonts w:ascii="Georgia" w:cs="Georgia" w:eastAsia="Georgia" w:hAnsi="Georgia"/>
          <w:b/>
          <w:bCs/>
          <w:color w:val="1F2937"/>
          <w:sz w:val="36"/>
          <w:szCs w:val="36"/>
        </w:rPr>
        <w:t xml:space="preserve">07 · Materials, Finishes, Colour</w:t>
      </w:r>
    </w:p>
    <w:p>
      <w:pPr>
        <w:pBdr>
          <w:bottom w:val="single" w:color="D6D3D1" w:sz="6" w:space="1"/>
        </w:pBdr>
        <w:spacing w:after="80" w:before="80"/>
      </w:pPr>
      <w:r>
        <w:t xml:space="preserve"/>
      </w:r>
    </w:p>
    <w:p>
      <w:pPr>
        <w:pStyle w:val="Heading2"/>
        <w:spacing w:after="120" w:before="280"/>
      </w:pPr>
      <w:r>
        <w:rPr>
          <w:rFonts w:ascii="Georgia" w:cs="Georgia" w:eastAsia="Georgia" w:hAnsi="Georgia"/>
          <w:b/>
          <w:bCs/>
          <w:color w:val="B45309"/>
          <w:sz w:val="28"/>
          <w:szCs w:val="28"/>
        </w:rPr>
        <w:t xml:space="preserve">7.1 External palette</w:t>
      </w:r>
    </w:p>
    <w:tbl>
      <w:tblPr>
        <w:tblW w:type="pct" w:w="100%"/>
        <w:tblBorders>
          <w:top w:val="single" w:color="D6D3D1" w:sz="4"/>
          <w:left w:val="single" w:color="D6D3D1" w:sz="4"/>
          <w:bottom w:val="single" w:color="D6D3D1" w:sz="4"/>
          <w:right w:val="single" w:color="D6D3D1" w:sz="4"/>
          <w:insideH w:val="single" w:color="D6D3D1" w:sz="4"/>
          <w:insideV w:val="single" w:color="D6D3D1" w:sz="4"/>
        </w:tblBorders>
      </w:tblPr>
      <w:tblGrid>
        <w:gridCol w:w="2268"/>
        <w:gridCol w:w="2268"/>
        <w:gridCol w:w="2268"/>
        <w:gridCol w:w="2268"/>
      </w:tblGrid>
      <w:tr>
        <w:tc>
          <w:tcPr>
            <w:tcW w:type="pct" w:w="18%"/>
            <w:shd w:fill="1F2937" w:color="auto" w:val="clear"/>
            <w:tcMar>
              <w:top w:type="dxa" w:w="120"/>
              <w:left w:type="dxa" w:w="160"/>
              <w:bottom w:type="dxa" w:w="120"/>
              <w:right w:type="dxa" w:w="160"/>
            </w:tcMar>
          </w:tcPr>
          <w:p>
            <w:pPr>
              <w:spacing w:after="40"/>
              <w:jc w:val="left"/>
            </w:pPr>
            <w:r>
              <w:rPr>
                <w:rFonts w:ascii="Calibri" w:cs="Calibri" w:eastAsia="Calibri" w:hAnsi="Calibri"/>
                <w:b/>
                <w:bCs/>
                <w:color w:val="FFFFFF"/>
                <w:sz w:val="20"/>
                <w:szCs w:val="20"/>
              </w:rPr>
              <w:t xml:space="preserve">Element</w:t>
            </w:r>
          </w:p>
        </w:tc>
        <w:tc>
          <w:tcPr>
            <w:tcW w:type="pct" w:w="28%"/>
            <w:shd w:fill="1F2937" w:color="auto" w:val="clear"/>
            <w:tcMar>
              <w:top w:type="dxa" w:w="120"/>
              <w:left w:type="dxa" w:w="160"/>
              <w:bottom w:type="dxa" w:w="120"/>
              <w:right w:type="dxa" w:w="160"/>
            </w:tcMar>
          </w:tcPr>
          <w:p>
            <w:pPr>
              <w:spacing w:after="40"/>
              <w:jc w:val="left"/>
            </w:pPr>
            <w:r>
              <w:rPr>
                <w:rFonts w:ascii="Calibri" w:cs="Calibri" w:eastAsia="Calibri" w:hAnsi="Calibri"/>
                <w:b/>
                <w:bCs/>
                <w:color w:val="FFFFFF"/>
                <w:sz w:val="20"/>
                <w:szCs w:val="20"/>
              </w:rPr>
              <w:t xml:space="preserve">Material</w:t>
            </w:r>
          </w:p>
        </w:tc>
        <w:tc>
          <w:tcPr>
            <w:tcW w:type="pct" w:w="30%"/>
            <w:shd w:fill="1F2937" w:color="auto" w:val="clear"/>
            <w:tcMar>
              <w:top w:type="dxa" w:w="120"/>
              <w:left w:type="dxa" w:w="160"/>
              <w:bottom w:type="dxa" w:w="120"/>
              <w:right w:type="dxa" w:w="160"/>
            </w:tcMar>
          </w:tcPr>
          <w:p>
            <w:pPr>
              <w:spacing w:after="40"/>
              <w:jc w:val="left"/>
            </w:pPr>
            <w:r>
              <w:rPr>
                <w:rFonts w:ascii="Calibri" w:cs="Calibri" w:eastAsia="Calibri" w:hAnsi="Calibri"/>
                <w:b/>
                <w:bCs/>
                <w:color w:val="FFFFFF"/>
                <w:sz w:val="20"/>
                <w:szCs w:val="20"/>
              </w:rPr>
              <w:t xml:space="preserve">Colour / finish</w:t>
            </w:r>
          </w:p>
        </w:tc>
        <w:tc>
          <w:tcPr>
            <w:tcW w:type="pct" w:w="24%"/>
            <w:shd w:fill="1F2937" w:color="auto" w:val="clear"/>
            <w:tcMar>
              <w:top w:type="dxa" w:w="120"/>
              <w:left w:type="dxa" w:w="160"/>
              <w:bottom w:type="dxa" w:w="120"/>
              <w:right w:type="dxa" w:w="160"/>
            </w:tcMar>
          </w:tcPr>
          <w:p>
            <w:pPr>
              <w:spacing w:after="40"/>
              <w:jc w:val="left"/>
            </w:pPr>
            <w:r>
              <w:rPr>
                <w:rFonts w:ascii="Calibri" w:cs="Calibri" w:eastAsia="Calibri" w:hAnsi="Calibri"/>
                <w:b/>
                <w:bCs/>
                <w:color w:val="FFFFFF"/>
                <w:sz w:val="20"/>
                <w:szCs w:val="20"/>
              </w:rPr>
              <w:t xml:space="preserve">UNESCO-buffer note</w:t>
            </w:r>
          </w:p>
        </w:tc>
      </w:tr>
      <w:tr>
        <w:tc>
          <w:tcPr>
            <w:tcW w:type="pct" w:w="18%"/>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Roof</w:t>
            </w:r>
          </w:p>
        </w:tc>
        <w:tc>
          <w:tcPr>
            <w:tcW w:type="pct" w:w="28%"/>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Hand-made clay pan tile, hipped, 25°</w:t>
            </w:r>
          </w:p>
        </w:tc>
        <w:tc>
          <w:tcPr>
            <w:tcW w:type="pct" w:w="30%"/>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Weathered terracotta (Capella copper match)</w:t>
            </w:r>
          </w:p>
        </w:tc>
        <w:tc>
          <w:tcPr>
            <w:tcW w:type="pct" w:w="24%"/>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Muted, matte, no metallic glint</w:t>
            </w:r>
          </w:p>
        </w:tc>
      </w:tr>
      <w:tr>
        <w:tc>
          <w:tcPr>
            <w:tcW w:type="pct" w:w="18%"/>
            <w:shd w:fill="FAF7F2" w:color="auto" w:val="clear"/>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Ridge + gutters</w:t>
            </w:r>
          </w:p>
        </w:tc>
        <w:tc>
          <w:tcPr>
            <w:tcW w:type="pct" w:w="28%"/>
            <w:shd w:fill="FAF7F2" w:color="auto" w:val="clear"/>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Patinated copper</w:t>
            </w:r>
          </w:p>
        </w:tc>
        <w:tc>
          <w:tcPr>
            <w:tcW w:type="pct" w:w="30%"/>
            <w:shd w:fill="FAF7F2" w:color="auto" w:val="clear"/>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Verdigris over 5 years</w:t>
            </w:r>
          </w:p>
        </w:tc>
        <w:tc>
          <w:tcPr>
            <w:tcW w:type="pct" w:w="24%"/>
            <w:shd w:fill="FAF7F2" w:color="auto" w:val="clear"/>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Aged finish at handover — pre-weathered</w:t>
            </w:r>
          </w:p>
        </w:tc>
      </w:tr>
      <w:tr>
        <w:tc>
          <w:tcPr>
            <w:tcW w:type="pct" w:w="18%"/>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Walls (upper)</w:t>
            </w:r>
          </w:p>
        </w:tc>
        <w:tc>
          <w:tcPr>
            <w:tcW w:type="pct" w:w="28%"/>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Lime-wash render over masonry</w:t>
            </w:r>
          </w:p>
        </w:tc>
        <w:tc>
          <w:tcPr>
            <w:tcW w:type="pct" w:w="30%"/>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Warm ivory (NCS S 1005-Y20R)</w:t>
            </w:r>
          </w:p>
        </w:tc>
        <w:tc>
          <w:tcPr>
            <w:tcW w:type="pct" w:w="24%"/>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Non-reflective, no colour competing with karst</w:t>
            </w:r>
          </w:p>
        </w:tc>
      </w:tr>
      <w:tr>
        <w:tc>
          <w:tcPr>
            <w:tcW w:type="pct" w:w="18%"/>
            <w:shd w:fill="FAF7F2" w:color="auto" w:val="clear"/>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Walls (base to +3.18)</w:t>
            </w:r>
          </w:p>
        </w:tc>
        <w:tc>
          <w:tcPr>
            <w:tcW w:type="pct" w:w="28%"/>
            <w:shd w:fill="FAF7F2" w:color="auto" w:val="clear"/>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Retained STW2 split-face basalt</w:t>
            </w:r>
          </w:p>
        </w:tc>
        <w:tc>
          <w:tcPr>
            <w:tcW w:type="pct" w:w="30%"/>
            <w:shd w:fill="FAF7F2" w:color="auto" w:val="clear"/>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Natural dark charcoal</w:t>
            </w:r>
          </w:p>
        </w:tc>
        <w:tc>
          <w:tcPr>
            <w:tcW w:type="pct" w:w="24%"/>
            <w:shd w:fill="FAF7F2" w:color="auto" w:val="clear"/>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Existing finish, no change</w:t>
            </w:r>
          </w:p>
        </w:tc>
      </w:tr>
      <w:tr>
        <w:tc>
          <w:tcPr>
            <w:tcW w:type="pct" w:w="18%"/>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Shutters / louvres</w:t>
            </w:r>
          </w:p>
        </w:tc>
        <w:tc>
          <w:tcPr>
            <w:tcW w:type="pct" w:w="28%"/>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FSC teak, oiled</w:t>
            </w:r>
          </w:p>
        </w:tc>
        <w:tc>
          <w:tcPr>
            <w:tcW w:type="pct" w:w="30%"/>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Ink-charcoal stain, matte</w:t>
            </w:r>
          </w:p>
        </w:tc>
        <w:tc>
          <w:tcPr>
            <w:tcW w:type="pct" w:w="24%"/>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Directly replaces SDET-075 bamboo</w:t>
            </w:r>
          </w:p>
        </w:tc>
      </w:tr>
      <w:tr>
        <w:tc>
          <w:tcPr>
            <w:tcW w:type="pct" w:w="18%"/>
            <w:shd w:fill="FAF7F2" w:color="auto" w:val="clear"/>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Veranda ceiling</w:t>
            </w:r>
          </w:p>
        </w:tc>
        <w:tc>
          <w:tcPr>
            <w:tcW w:type="pct" w:w="28%"/>
            <w:shd w:fill="FAF7F2" w:color="auto" w:val="clear"/>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Tongue-and-groove teak</w:t>
            </w:r>
          </w:p>
        </w:tc>
        <w:tc>
          <w:tcPr>
            <w:tcW w:type="pct" w:w="30%"/>
            <w:shd w:fill="FAF7F2" w:color="auto" w:val="clear"/>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Natural oil</w:t>
            </w:r>
          </w:p>
        </w:tc>
        <w:tc>
          <w:tcPr>
            <w:tcW w:type="pct" w:w="24%"/>
            <w:shd w:fill="FAF7F2" w:color="auto" w:val="clear"/>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Softens overhang in photographs</w:t>
            </w:r>
          </w:p>
        </w:tc>
      </w:tr>
      <w:tr>
        <w:tc>
          <w:tcPr>
            <w:tcW w:type="pct" w:w="18%"/>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Glazing</w:t>
            </w:r>
          </w:p>
        </w:tc>
        <w:tc>
          <w:tcPr>
            <w:tcW w:type="pct" w:w="28%"/>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Retained AD-series, bronze frames</w:t>
            </w:r>
          </w:p>
        </w:tc>
        <w:tc>
          <w:tcPr>
            <w:tcW w:type="pct" w:w="30%"/>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Neutral solar tint 20%</w:t>
            </w:r>
          </w:p>
        </w:tc>
        <w:tc>
          <w:tcPr>
            <w:tcW w:type="pct" w:w="24%"/>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No reflective coatings</w:t>
            </w:r>
          </w:p>
        </w:tc>
      </w:tr>
      <w:tr>
        <w:tc>
          <w:tcPr>
            <w:tcW w:type="pct" w:w="18%"/>
            <w:shd w:fill="FAF7F2" w:color="auto" w:val="clear"/>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Veranda floor</w:t>
            </w:r>
          </w:p>
        </w:tc>
        <w:tc>
          <w:tcPr>
            <w:tcW w:type="pct" w:w="28%"/>
            <w:shd w:fill="FAF7F2" w:color="auto" w:val="clear"/>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Reclaimed teak deck</w:t>
            </w:r>
          </w:p>
        </w:tc>
        <w:tc>
          <w:tcPr>
            <w:tcW w:type="pct" w:w="30%"/>
            <w:shd w:fill="FAF7F2" w:color="auto" w:val="clear"/>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Natural silver-grey weathering</w:t>
            </w:r>
          </w:p>
        </w:tc>
        <w:tc>
          <w:tcPr>
            <w:tcW w:type="pct" w:w="24%"/>
            <w:shd w:fill="FAF7F2" w:color="auto" w:val="clear"/>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Timber reads as landscape</w:t>
            </w:r>
          </w:p>
        </w:tc>
      </w:tr>
      <w:tr>
        <w:tc>
          <w:tcPr>
            <w:tcW w:type="pct" w:w="18%"/>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Pool edge</w:t>
            </w:r>
          </w:p>
        </w:tc>
        <w:tc>
          <w:tcPr>
            <w:tcW w:type="pct" w:w="28%"/>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Tumbled Indonesian basalt</w:t>
            </w:r>
          </w:p>
        </w:tc>
        <w:tc>
          <w:tcPr>
            <w:tcW w:type="pct" w:w="30%"/>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Charcoal, honed</w:t>
            </w:r>
          </w:p>
        </w:tc>
        <w:tc>
          <w:tcPr>
            <w:tcW w:type="pct" w:w="24%"/>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Matches base wall</w:t>
            </w:r>
          </w:p>
        </w:tc>
      </w:tr>
      <w:tr>
        <w:tc>
          <w:tcPr>
            <w:tcW w:type="pct" w:w="18%"/>
            <w:shd w:fill="FAF7F2" w:color="auto" w:val="clear"/>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Paths &amp; motor court</w:t>
            </w:r>
          </w:p>
        </w:tc>
        <w:tc>
          <w:tcPr>
            <w:tcW w:type="pct" w:w="28%"/>
            <w:shd w:fill="FAF7F2" w:color="auto" w:val="clear"/>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Sawn basalt setts with grass joints</w:t>
            </w:r>
          </w:p>
        </w:tc>
        <w:tc>
          <w:tcPr>
            <w:tcW w:type="pct" w:w="30%"/>
            <w:shd w:fill="FAF7F2" w:color="auto" w:val="clear"/>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Charcoal + green</w:t>
            </w:r>
          </w:p>
        </w:tc>
        <w:tc>
          <w:tcPr>
            <w:tcW w:type="pct" w:w="24%"/>
            <w:shd w:fill="FAF7F2" w:color="auto" w:val="clear"/>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Permeable paving</w:t>
            </w:r>
          </w:p>
        </w:tc>
      </w:tr>
    </w:tbl>
    <w:p>
      <w:pPr>
        <w:spacing w:after="120" w:before="0"/>
      </w:pPr>
      <w:r>
        <w:t xml:space="preserve"/>
      </w:r>
    </w:p>
    <w:p>
      <w:pPr>
        <w:pStyle w:val="Heading2"/>
        <w:spacing w:after="120" w:before="280"/>
      </w:pPr>
      <w:r>
        <w:rPr>
          <w:rFonts w:ascii="Georgia" w:cs="Georgia" w:eastAsia="Georgia" w:hAnsi="Georgia"/>
          <w:b/>
          <w:bCs/>
          <w:color w:val="B45309"/>
          <w:sz w:val="28"/>
          <w:szCs w:val="28"/>
        </w:rPr>
        <w:t xml:space="preserve">7.2 Interior palette</w:t>
      </w:r>
    </w:p>
    <w:tbl>
      <w:tblPr>
        <w:tblW w:type="pct" w:w="100%"/>
        <w:tblBorders>
          <w:top w:val="single" w:color="D6D3D1" w:sz="4"/>
          <w:left w:val="single" w:color="D6D3D1" w:sz="4"/>
          <w:bottom w:val="single" w:color="D6D3D1" w:sz="4"/>
          <w:right w:val="single" w:color="D6D3D1" w:sz="4"/>
          <w:insideH w:val="single" w:color="D6D3D1" w:sz="4"/>
          <w:insideV w:val="single" w:color="D6D3D1" w:sz="4"/>
        </w:tblBorders>
      </w:tblPr>
      <w:tblGrid>
        <w:gridCol w:w="1814"/>
        <w:gridCol w:w="1814"/>
        <w:gridCol w:w="1814"/>
        <w:gridCol w:w="1814"/>
        <w:gridCol w:w="1814"/>
      </w:tblGrid>
      <w:tr>
        <w:tc>
          <w:tcPr>
            <w:tcW w:type="pct" w:w="18%"/>
            <w:shd w:fill="1F2937" w:color="auto" w:val="clear"/>
            <w:tcMar>
              <w:top w:type="dxa" w:w="120"/>
              <w:left w:type="dxa" w:w="160"/>
              <w:bottom w:type="dxa" w:w="120"/>
              <w:right w:type="dxa" w:w="160"/>
            </w:tcMar>
          </w:tcPr>
          <w:p>
            <w:pPr>
              <w:spacing w:after="40"/>
              <w:jc w:val="left"/>
            </w:pPr>
            <w:r>
              <w:rPr>
                <w:rFonts w:ascii="Calibri" w:cs="Calibri" w:eastAsia="Calibri" w:hAnsi="Calibri"/>
                <w:b/>
                <w:bCs/>
                <w:color w:val="FFFFFF"/>
                <w:sz w:val="20"/>
                <w:szCs w:val="20"/>
              </w:rPr>
              <w:t xml:space="preserve">Zone</w:t>
            </w:r>
          </w:p>
        </w:tc>
        <w:tc>
          <w:tcPr>
            <w:tcW w:type="pct" w:w="22%"/>
            <w:shd w:fill="1F2937" w:color="auto" w:val="clear"/>
            <w:tcMar>
              <w:top w:type="dxa" w:w="120"/>
              <w:left w:type="dxa" w:w="160"/>
              <w:bottom w:type="dxa" w:w="120"/>
              <w:right w:type="dxa" w:w="160"/>
            </w:tcMar>
          </w:tcPr>
          <w:p>
            <w:pPr>
              <w:spacing w:after="40"/>
              <w:jc w:val="left"/>
            </w:pPr>
            <w:r>
              <w:rPr>
                <w:rFonts w:ascii="Calibri" w:cs="Calibri" w:eastAsia="Calibri" w:hAnsi="Calibri"/>
                <w:b/>
                <w:bCs/>
                <w:color w:val="FFFFFF"/>
                <w:sz w:val="20"/>
                <w:szCs w:val="20"/>
              </w:rPr>
              <w:t xml:space="preserve">Walls</w:t>
            </w:r>
          </w:p>
        </w:tc>
        <w:tc>
          <w:tcPr>
            <w:tcW w:type="pct" w:w="16%"/>
            <w:shd w:fill="1F2937" w:color="auto" w:val="clear"/>
            <w:tcMar>
              <w:top w:type="dxa" w:w="120"/>
              <w:left w:type="dxa" w:w="160"/>
              <w:bottom w:type="dxa" w:w="120"/>
              <w:right w:type="dxa" w:w="160"/>
            </w:tcMar>
          </w:tcPr>
          <w:p>
            <w:pPr>
              <w:spacing w:after="40"/>
              <w:jc w:val="left"/>
            </w:pPr>
            <w:r>
              <w:rPr>
                <w:rFonts w:ascii="Calibri" w:cs="Calibri" w:eastAsia="Calibri" w:hAnsi="Calibri"/>
                <w:b/>
                <w:bCs/>
                <w:color w:val="FFFFFF"/>
                <w:sz w:val="20"/>
                <w:szCs w:val="20"/>
              </w:rPr>
              <w:t xml:space="preserve">Floor</w:t>
            </w:r>
          </w:p>
        </w:tc>
        <w:tc>
          <w:tcPr>
            <w:tcW w:type="pct" w:w="22%"/>
            <w:shd w:fill="1F2937" w:color="auto" w:val="clear"/>
            <w:tcMar>
              <w:top w:type="dxa" w:w="120"/>
              <w:left w:type="dxa" w:w="160"/>
              <w:bottom w:type="dxa" w:w="120"/>
              <w:right w:type="dxa" w:w="160"/>
            </w:tcMar>
          </w:tcPr>
          <w:p>
            <w:pPr>
              <w:spacing w:after="40"/>
              <w:jc w:val="left"/>
            </w:pPr>
            <w:r>
              <w:rPr>
                <w:rFonts w:ascii="Calibri" w:cs="Calibri" w:eastAsia="Calibri" w:hAnsi="Calibri"/>
                <w:b/>
                <w:bCs/>
                <w:color w:val="FFFFFF"/>
                <w:sz w:val="20"/>
                <w:szCs w:val="20"/>
              </w:rPr>
              <w:t xml:space="preserve">Ceiling</w:t>
            </w:r>
          </w:p>
        </w:tc>
        <w:tc>
          <w:tcPr>
            <w:tcW w:type="pct" w:w="22%"/>
            <w:shd w:fill="1F2937" w:color="auto" w:val="clear"/>
            <w:tcMar>
              <w:top w:type="dxa" w:w="120"/>
              <w:left w:type="dxa" w:w="160"/>
              <w:bottom w:type="dxa" w:w="120"/>
              <w:right w:type="dxa" w:w="160"/>
            </w:tcMar>
          </w:tcPr>
          <w:p>
            <w:pPr>
              <w:spacing w:after="40"/>
              <w:jc w:val="left"/>
            </w:pPr>
            <w:r>
              <w:rPr>
                <w:rFonts w:ascii="Calibri" w:cs="Calibri" w:eastAsia="Calibri" w:hAnsi="Calibri"/>
                <w:b/>
                <w:bCs/>
                <w:color w:val="FFFFFF"/>
                <w:sz w:val="20"/>
                <w:szCs w:val="20"/>
              </w:rPr>
              <w:t xml:space="preserve">Feature</w:t>
            </w:r>
          </w:p>
        </w:tc>
      </w:tr>
      <w:tr>
        <w:tc>
          <w:tcPr>
            <w:tcW w:type="pct" w:w="18%"/>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Entry foyer</w:t>
            </w:r>
          </w:p>
        </w:tc>
        <w:tc>
          <w:tcPr>
            <w:tcW w:type="pct" w:w="22%"/>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Venetian-plaster ivory</w:t>
            </w:r>
          </w:p>
        </w:tc>
        <w:tc>
          <w:tcPr>
            <w:tcW w:type="pct" w:w="16%"/>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Tumbled travertine</w:t>
            </w:r>
          </w:p>
        </w:tc>
        <w:tc>
          <w:tcPr>
            <w:tcW w:type="pct" w:w="22%"/>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Coffered teak</w:t>
            </w:r>
          </w:p>
        </w:tc>
        <w:tc>
          <w:tcPr>
            <w:tcW w:type="pct" w:w="22%"/>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Aged-brass lantern, 1.6 m dia</w:t>
            </w:r>
          </w:p>
        </w:tc>
      </w:tr>
      <w:tr>
        <w:tc>
          <w:tcPr>
            <w:tcW w:type="pct" w:w="18%"/>
            <w:shd w:fill="FAF7F2" w:color="auto" w:val="clear"/>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Formal living</w:t>
            </w:r>
          </w:p>
        </w:tc>
        <w:tc>
          <w:tcPr>
            <w:tcW w:type="pct" w:w="22%"/>
            <w:shd w:fill="FAF7F2" w:color="auto" w:val="clear"/>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Rough-plaster ivory, dado rail</w:t>
            </w:r>
          </w:p>
        </w:tc>
        <w:tc>
          <w:tcPr>
            <w:tcW w:type="pct" w:w="16%"/>
            <w:shd w:fill="FAF7F2" w:color="auto" w:val="clear"/>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Herringbone teak</w:t>
            </w:r>
          </w:p>
        </w:tc>
        <w:tc>
          <w:tcPr>
            <w:tcW w:type="pct" w:w="22%"/>
            <w:shd w:fill="FAF7F2" w:color="auto" w:val="clear"/>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Raffia-panel between teak joists</w:t>
            </w:r>
          </w:p>
        </w:tc>
        <w:tc>
          <w:tcPr>
            <w:tcW w:type="pct" w:w="22%"/>
            <w:shd w:fill="FAF7F2" w:color="auto" w:val="clear"/>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Linen sofas, oat; ink velvet armchairs</w:t>
            </w:r>
          </w:p>
        </w:tc>
      </w:tr>
      <w:tr>
        <w:tc>
          <w:tcPr>
            <w:tcW w:type="pct" w:w="18%"/>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Formal dining</w:t>
            </w:r>
          </w:p>
        </w:tc>
        <w:tc>
          <w:tcPr>
            <w:tcW w:type="pct" w:w="22%"/>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Ivory with teak wainscoting</w:t>
            </w:r>
          </w:p>
        </w:tc>
        <w:tc>
          <w:tcPr>
            <w:tcW w:type="pct" w:w="16%"/>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Herringbone teak</w:t>
            </w:r>
          </w:p>
        </w:tc>
        <w:tc>
          <w:tcPr>
            <w:tcW w:type="pct" w:w="22%"/>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Coffered, raffia infill</w:t>
            </w:r>
          </w:p>
        </w:tc>
        <w:tc>
          <w:tcPr>
            <w:tcW w:type="pct" w:w="22%"/>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10-seat teak table, rattan chairs</w:t>
            </w:r>
          </w:p>
        </w:tc>
      </w:tr>
      <w:tr>
        <w:tc>
          <w:tcPr>
            <w:tcW w:type="pct" w:w="18%"/>
            <w:shd w:fill="FAF7F2" w:color="auto" w:val="clear"/>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Kitchen (open)</w:t>
            </w:r>
          </w:p>
        </w:tc>
        <w:tc>
          <w:tcPr>
            <w:tcW w:type="pct" w:w="22%"/>
            <w:shd w:fill="FAF7F2" w:color="auto" w:val="clear"/>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Ivory with marble splashback</w:t>
            </w:r>
          </w:p>
        </w:tc>
        <w:tc>
          <w:tcPr>
            <w:tcW w:type="pct" w:w="16%"/>
            <w:shd w:fill="FAF7F2" w:color="auto" w:val="clear"/>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Tumbled travertine</w:t>
            </w:r>
          </w:p>
        </w:tc>
        <w:tc>
          <w:tcPr>
            <w:tcW w:type="pct" w:w="22%"/>
            <w:shd w:fill="FAF7F2" w:color="auto" w:val="clear"/>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Flush plaster</w:t>
            </w:r>
          </w:p>
        </w:tc>
        <w:tc>
          <w:tcPr>
            <w:tcW w:type="pct" w:w="22%"/>
            <w:shd w:fill="FAF7F2" w:color="auto" w:val="clear"/>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Honed Carrara island, brass hardware</w:t>
            </w:r>
          </w:p>
        </w:tc>
      </w:tr>
      <w:tr>
        <w:tc>
          <w:tcPr>
            <w:tcW w:type="pct" w:w="18%"/>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Primary suite</w:t>
            </w:r>
          </w:p>
        </w:tc>
        <w:tc>
          <w:tcPr>
            <w:tcW w:type="pct" w:w="22%"/>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Warm ivory, textile headboard wall</w:t>
            </w:r>
          </w:p>
        </w:tc>
        <w:tc>
          <w:tcPr>
            <w:tcW w:type="pct" w:w="16%"/>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White oak</w:t>
            </w:r>
          </w:p>
        </w:tc>
        <w:tc>
          <w:tcPr>
            <w:tcW w:type="pct" w:w="22%"/>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Flush plaster</w:t>
            </w:r>
          </w:p>
        </w:tc>
        <w:tc>
          <w:tcPr>
            <w:tcW w:type="pct" w:w="22%"/>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Teak four-poster, raffia pendant</w:t>
            </w:r>
          </w:p>
        </w:tc>
      </w:tr>
      <w:tr>
        <w:tc>
          <w:tcPr>
            <w:tcW w:type="pct" w:w="18%"/>
            <w:shd w:fill="FAF7F2" w:color="auto" w:val="clear"/>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Primary bath</w:t>
            </w:r>
          </w:p>
        </w:tc>
        <w:tc>
          <w:tcPr>
            <w:tcW w:type="pct" w:w="22%"/>
            <w:shd w:fill="FAF7F2" w:color="auto" w:val="clear"/>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Honed Carrara panels</w:t>
            </w:r>
          </w:p>
        </w:tc>
        <w:tc>
          <w:tcPr>
            <w:tcW w:type="pct" w:w="16%"/>
            <w:shd w:fill="FAF7F2" w:color="auto" w:val="clear"/>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Honed Carrara</w:t>
            </w:r>
          </w:p>
        </w:tc>
        <w:tc>
          <w:tcPr>
            <w:tcW w:type="pct" w:w="22%"/>
            <w:shd w:fill="FAF7F2" w:color="auto" w:val="clear"/>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Flush plaster</w:t>
            </w:r>
          </w:p>
        </w:tc>
        <w:tc>
          <w:tcPr>
            <w:tcW w:type="pct" w:w="22%"/>
            <w:shd w:fill="FAF7F2" w:color="auto" w:val="clear"/>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Freestanding brass tub, bay view</w:t>
            </w:r>
          </w:p>
        </w:tc>
      </w:tr>
      <w:tr>
        <w:tc>
          <w:tcPr>
            <w:tcW w:type="pct" w:w="18%"/>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Guest suites (L1)</w:t>
            </w:r>
          </w:p>
        </w:tc>
        <w:tc>
          <w:tcPr>
            <w:tcW w:type="pct" w:w="22%"/>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Rough-plaster ivory</w:t>
            </w:r>
          </w:p>
        </w:tc>
        <w:tc>
          <w:tcPr>
            <w:tcW w:type="pct" w:w="16%"/>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White oak</w:t>
            </w:r>
          </w:p>
        </w:tc>
        <w:tc>
          <w:tcPr>
            <w:tcW w:type="pct" w:w="22%"/>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Flush plaster with exposed tie-beam</w:t>
            </w:r>
          </w:p>
        </w:tc>
        <w:tc>
          <w:tcPr>
            <w:tcW w:type="pct" w:w="22%"/>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Shutter-framed bay view from bed</w:t>
            </w:r>
          </w:p>
        </w:tc>
      </w:tr>
      <w:tr>
        <w:tc>
          <w:tcPr>
            <w:tcW w:type="pct" w:w="18%"/>
            <w:shd w:fill="FAF7F2" w:color="auto" w:val="clear"/>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Guest lounge (L1)</w:t>
            </w:r>
          </w:p>
        </w:tc>
        <w:tc>
          <w:tcPr>
            <w:tcW w:type="pct" w:w="22%"/>
            <w:shd w:fill="FAF7F2" w:color="auto" w:val="clear"/>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Half-panel teak, ivory above</w:t>
            </w:r>
          </w:p>
        </w:tc>
        <w:tc>
          <w:tcPr>
            <w:tcW w:type="pct" w:w="16%"/>
            <w:shd w:fill="FAF7F2" w:color="auto" w:val="clear"/>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Herringbone teak</w:t>
            </w:r>
          </w:p>
        </w:tc>
        <w:tc>
          <w:tcPr>
            <w:tcW w:type="pct" w:w="22%"/>
            <w:shd w:fill="FAF7F2" w:color="auto" w:val="clear"/>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Coffered teak</w:t>
            </w:r>
          </w:p>
        </w:tc>
        <w:tc>
          <w:tcPr>
            <w:tcW w:type="pct" w:w="22%"/>
            <w:shd w:fill="FAF7F2" w:color="auto" w:val="clear"/>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Reading lamp, library wall</w:t>
            </w:r>
          </w:p>
        </w:tc>
      </w:tr>
    </w:tbl>
    <w:p>
      <w:r>
        <w:br w:type="page"/>
      </w:r>
    </w:p>
    <w:p>
      <w:pPr>
        <w:pStyle w:val="Heading1"/>
        <w:spacing w:after="160" w:before="360"/>
      </w:pPr>
      <w:r>
        <w:rPr>
          <w:rFonts w:ascii="Georgia" w:cs="Georgia" w:eastAsia="Georgia" w:hAnsi="Georgia"/>
          <w:b/>
          <w:bCs/>
          <w:color w:val="1F2937"/>
          <w:sz w:val="36"/>
          <w:szCs w:val="36"/>
        </w:rPr>
        <w:t xml:space="preserve">08 · Interior &amp; Landscape Narrative</w:t>
      </w:r>
    </w:p>
    <w:p>
      <w:pPr>
        <w:pBdr>
          <w:bottom w:val="single" w:color="D6D3D1" w:sz="6" w:space="1"/>
        </w:pBdr>
        <w:spacing w:after="80" w:before="80"/>
      </w:pPr>
      <w:r>
        <w:t xml:space="preserve"/>
      </w:r>
    </w:p>
    <w:p>
      <w:pPr>
        <w:pStyle w:val="Heading2"/>
        <w:spacing w:after="120" w:before="280"/>
      </w:pPr>
      <w:r>
        <w:rPr>
          <w:rFonts w:ascii="Georgia" w:cs="Georgia" w:eastAsia="Georgia" w:hAnsi="Georgia"/>
          <w:b/>
          <w:bCs/>
          <w:color w:val="B45309"/>
          <w:sz w:val="28"/>
          <w:szCs w:val="28"/>
        </w:rPr>
        <w:t xml:space="preserve">8.1 Arrival sequence</w:t>
      </w:r>
    </w:p>
    <w:p>
      <w:pPr>
        <w:spacing w:after="140" w:line="300"/>
        <w:jc w:val="both"/>
      </w:pPr>
      <w:r>
        <w:rPr>
          <w:rFonts w:ascii="Calibri" w:cs="Calibri" w:eastAsia="Calibri" w:hAnsi="Calibri"/>
          <w:b w:val="false"/>
          <w:bCs w:val="false"/>
          <w:i w:val="false"/>
          <w:iCs w:val="false"/>
          <w:color w:val="1F2937"/>
          <w:sz w:val="22"/>
          <w:szCs w:val="22"/>
        </w:rPr>
        <w:t xml:space="preserve">Guests enter from the north through a 4 m wide motor court of sawn basalt with grass joints, flanked by two mature frangipani in raised stone planters. The porte-cochère is a single stone-clad volume with a pair of solid teak doors (2.4 m high, recessed teak panelling, aged-brass pulls). Crossing the threshold, the foyer rises to a double-height space capped by a coffered teak ceiling and a 1.6 m aged-brass lantern; a central axial vista draws the eye through the living and dining rooms to the bay beyond. The arrival sequence is staged for photography — 12 m of compressed-to-released ceiling height, charcoal-to-ivory contrast, and a first sight of the bay framed by teak mullions.</w:t>
      </w:r>
    </w:p>
    <w:p>
      <w:pPr>
        <w:pStyle w:val="Heading2"/>
        <w:spacing w:after="120" w:before="280"/>
      </w:pPr>
      <w:r>
        <w:rPr>
          <w:rFonts w:ascii="Georgia" w:cs="Georgia" w:eastAsia="Georgia" w:hAnsi="Georgia"/>
          <w:b/>
          <w:bCs/>
          <w:color w:val="B45309"/>
          <w:sz w:val="28"/>
          <w:szCs w:val="28"/>
        </w:rPr>
        <w:t xml:space="preserve">8.2 The bay room (formal living)</w:t>
      </w:r>
    </w:p>
    <w:p>
      <w:pPr>
        <w:spacing w:after="140" w:line="300"/>
        <w:jc w:val="both"/>
      </w:pPr>
      <w:r>
        <w:rPr>
          <w:rFonts w:ascii="Calibri" w:cs="Calibri" w:eastAsia="Calibri" w:hAnsi="Calibri"/>
          <w:b w:val="false"/>
          <w:bCs w:val="false"/>
          <w:i w:val="false"/>
          <w:iCs w:val="false"/>
          <w:color w:val="1F2937"/>
          <w:sz w:val="22"/>
          <w:szCs w:val="22"/>
        </w:rPr>
        <w:t xml:space="preserve">The formal living room is oriented along the south elevation — 11 m wide, 6 m deep, 3.4 m ceiling. Four pairs of full-height sliding teak-and-glass doors open onto the veranda. The central seating group is two 3.2 m linen sofas in oat facing each other across a reclaimed-teak coffee table, bracketed by two ink-velvet armchairs. A paired fireplace wall of honed travertine sits opposite the bay (non-functional in climate terms, but giving the room an axial anchor). Raffia-panel ceiling between exposed teak joists; vintage Turkish rug in faded rust; two aged-brass pendant lanterns. At dusk, the shutters half-closed throw horizontal-striped shadows across the floor.</w:t>
      </w:r>
    </w:p>
    <w:p>
      <w:pPr>
        <w:pStyle w:val="Heading2"/>
        <w:spacing w:after="120" w:before="280"/>
      </w:pPr>
      <w:r>
        <w:rPr>
          <w:rFonts w:ascii="Georgia" w:cs="Georgia" w:eastAsia="Georgia" w:hAnsi="Georgia"/>
          <w:b/>
          <w:bCs/>
          <w:color w:val="B45309"/>
          <w:sz w:val="28"/>
          <w:szCs w:val="28"/>
        </w:rPr>
        <w:t xml:space="preserve">8.3 Primary suite</w:t>
      </w:r>
    </w:p>
    <w:p>
      <w:pPr>
        <w:spacing w:after="140" w:line="300"/>
        <w:jc w:val="both"/>
      </w:pPr>
      <w:r>
        <w:rPr>
          <w:rFonts w:ascii="Calibri" w:cs="Calibri" w:eastAsia="Calibri" w:hAnsi="Calibri"/>
          <w:b w:val="false"/>
          <w:bCs w:val="false"/>
          <w:i w:val="false"/>
          <w:iCs w:val="false"/>
          <w:color w:val="1F2937"/>
          <w:sz w:val="22"/>
          <w:szCs w:val="22"/>
        </w:rPr>
        <w:t xml:space="preserve">The primary suite occupies the west end of the GF, with its own covered terrace stepping directly onto the pool deck. A teak four-poster bed faces south to the bay; the textile headboard wall is covered in handwoven raffia. A pair of pivoting teak shutters frames the bay view from bed. The bathroom is a single honed-Carrara volume: a freestanding aged-brass tub sits on the south wall under a 1.2 × 1.2 m pivot window, giving a bath-with-bay-view moment that reads in Instagram format. The dressing room is panelled in teak with aged-brass inlays.</w:t>
      </w:r>
    </w:p>
    <w:p>
      <w:pPr>
        <w:pStyle w:val="Heading2"/>
        <w:spacing w:after="120" w:before="280"/>
      </w:pPr>
      <w:r>
        <w:rPr>
          <w:rFonts w:ascii="Georgia" w:cs="Georgia" w:eastAsia="Georgia" w:hAnsi="Georgia"/>
          <w:b/>
          <w:bCs/>
          <w:color w:val="B45309"/>
          <w:sz w:val="28"/>
          <w:szCs w:val="28"/>
        </w:rPr>
        <w:t xml:space="preserve">8.4 Landscape — the bay terrace</w:t>
      </w:r>
    </w:p>
    <w:p>
      <w:pPr>
        <w:spacing w:after="140" w:line="300"/>
        <w:jc w:val="both"/>
      </w:pPr>
      <w:r>
        <w:rPr>
          <w:rFonts w:ascii="Calibri" w:cs="Calibri" w:eastAsia="Calibri" w:hAnsi="Calibri"/>
          <w:b w:val="false"/>
          <w:bCs w:val="false"/>
          <w:i w:val="false"/>
          <w:iCs w:val="false"/>
          <w:color w:val="1F2937"/>
          <w:sz w:val="22"/>
          <w:szCs w:val="22"/>
        </w:rPr>
        <w:t xml:space="preserve">The existing pool is retained but re-edged in tumbled basalt and extended by 1.5 m south toward a freshly landscaped planting bed of heliconia, bird-of-paradise and tropical grasses. A detached sala pavilion (3.6 × 3.6 m, pitched clay-tile roof to match the main house, open on four sides, day bed + brass drinks cart) sits on the east lawn as a shaded outdoor living room. An outdoor kitchen with a wood-fired grill is tucked into the south-east corner of the house. Mature mango and sea-almond trees edge the west boundary, giving afternoon shade to the primary suite terrace and framing the bay view in long-tail.</w:t>
      </w:r>
    </w:p>
    <w:p>
      <w:r>
        <w:br w:type="page"/>
      </w:r>
    </w:p>
    <w:p>
      <w:pPr>
        <w:pStyle w:val="Heading1"/>
        <w:spacing w:after="160" w:before="360"/>
      </w:pPr>
      <w:r>
        <w:rPr>
          <w:rFonts w:ascii="Georgia" w:cs="Georgia" w:eastAsia="Georgia" w:hAnsi="Georgia"/>
          <w:b/>
          <w:bCs/>
          <w:color w:val="1F2937"/>
          <w:sz w:val="36"/>
          <w:szCs w:val="36"/>
        </w:rPr>
        <w:t xml:space="preserve">09 · Compliance Checklist</w:t>
      </w:r>
    </w:p>
    <w:p>
      <w:pPr>
        <w:pBdr>
          <w:bottom w:val="single" w:color="D6D3D1" w:sz="6" w:space="1"/>
        </w:pBdr>
        <w:spacing w:after="80" w:before="80"/>
      </w:pPr>
      <w:r>
        <w:t xml:space="preserve"/>
      </w:r>
    </w:p>
    <w:tbl>
      <w:tblPr>
        <w:tblW w:type="pct" w:w="100%"/>
        <w:tblBorders>
          <w:top w:val="single" w:color="D6D3D1" w:sz="4"/>
          <w:left w:val="single" w:color="D6D3D1" w:sz="4"/>
          <w:bottom w:val="single" w:color="D6D3D1" w:sz="4"/>
          <w:right w:val="single" w:color="D6D3D1" w:sz="4"/>
          <w:insideH w:val="single" w:color="D6D3D1" w:sz="4"/>
          <w:insideV w:val="single" w:color="D6D3D1" w:sz="4"/>
        </w:tblBorders>
      </w:tblPr>
      <w:tblGrid>
        <w:gridCol w:w="2268"/>
        <w:gridCol w:w="2268"/>
        <w:gridCol w:w="2268"/>
        <w:gridCol w:w="2268"/>
      </w:tblGrid>
      <w:tr>
        <w:tc>
          <w:tcPr>
            <w:tcW w:type="pct" w:w="6%"/>
            <w:shd w:fill="1F2937" w:color="auto" w:val="clear"/>
            <w:tcMar>
              <w:top w:type="dxa" w:w="120"/>
              <w:left w:type="dxa" w:w="160"/>
              <w:bottom w:type="dxa" w:w="120"/>
              <w:right w:type="dxa" w:w="160"/>
            </w:tcMar>
          </w:tcPr>
          <w:p>
            <w:pPr>
              <w:spacing w:after="40"/>
              <w:jc w:val="left"/>
            </w:pPr>
            <w:r>
              <w:rPr>
                <w:rFonts w:ascii="Calibri" w:cs="Calibri" w:eastAsia="Calibri" w:hAnsi="Calibri"/>
                <w:b/>
                <w:bCs/>
                <w:color w:val="FFFFFF"/>
                <w:sz w:val="20"/>
                <w:szCs w:val="20"/>
              </w:rPr>
              <w:t xml:space="preserve">#</w:t>
            </w:r>
          </w:p>
        </w:tc>
        <w:tc>
          <w:tcPr>
            <w:tcW w:type="pct" w:w="40%"/>
            <w:shd w:fill="1F2937" w:color="auto" w:val="clear"/>
            <w:tcMar>
              <w:top w:type="dxa" w:w="120"/>
              <w:left w:type="dxa" w:w="160"/>
              <w:bottom w:type="dxa" w:w="120"/>
              <w:right w:type="dxa" w:w="160"/>
            </w:tcMar>
          </w:tcPr>
          <w:p>
            <w:pPr>
              <w:spacing w:after="40"/>
              <w:jc w:val="left"/>
            </w:pPr>
            <w:r>
              <w:rPr>
                <w:rFonts w:ascii="Calibri" w:cs="Calibri" w:eastAsia="Calibri" w:hAnsi="Calibri"/>
                <w:b/>
                <w:bCs/>
                <w:color w:val="FFFFFF"/>
                <w:sz w:val="20"/>
                <w:szCs w:val="20"/>
              </w:rPr>
              <w:t xml:space="preserve">Requirement</w:t>
            </w:r>
          </w:p>
        </w:tc>
        <w:tc>
          <w:tcPr>
            <w:tcW w:type="pct" w:w="26%"/>
            <w:shd w:fill="1F2937" w:color="auto" w:val="clear"/>
            <w:tcMar>
              <w:top w:type="dxa" w:w="120"/>
              <w:left w:type="dxa" w:w="160"/>
              <w:bottom w:type="dxa" w:w="120"/>
              <w:right w:type="dxa" w:w="160"/>
            </w:tcMar>
          </w:tcPr>
          <w:p>
            <w:pPr>
              <w:spacing w:after="40"/>
              <w:jc w:val="left"/>
            </w:pPr>
            <w:r>
              <w:rPr>
                <w:rFonts w:ascii="Calibri" w:cs="Calibri" w:eastAsia="Calibri" w:hAnsi="Calibri"/>
                <w:b/>
                <w:bCs/>
                <w:color w:val="FFFFFF"/>
                <w:sz w:val="20"/>
                <w:szCs w:val="20"/>
              </w:rPr>
              <w:t xml:space="preserve">Source</w:t>
            </w:r>
          </w:p>
        </w:tc>
        <w:tc>
          <w:tcPr>
            <w:tcW w:type="pct" w:w="28%"/>
            <w:shd w:fill="1F2937" w:color="auto" w:val="clear"/>
            <w:tcMar>
              <w:top w:type="dxa" w:w="120"/>
              <w:left w:type="dxa" w:w="160"/>
              <w:bottom w:type="dxa" w:w="120"/>
              <w:right w:type="dxa" w:w="160"/>
            </w:tcMar>
          </w:tcPr>
          <w:p>
            <w:pPr>
              <w:spacing w:after="40"/>
              <w:jc w:val="left"/>
            </w:pPr>
            <w:r>
              <w:rPr>
                <w:rFonts w:ascii="Calibri" w:cs="Calibri" w:eastAsia="Calibri" w:hAnsi="Calibri"/>
                <w:b/>
                <w:bCs/>
                <w:color w:val="FFFFFF"/>
                <w:sz w:val="20"/>
                <w:szCs w:val="20"/>
              </w:rPr>
              <w:t xml:space="preserve">Status</w:t>
            </w:r>
          </w:p>
        </w:tc>
      </w:tr>
      <w:tr>
        <w:tc>
          <w:tcPr>
            <w:tcW w:type="pct" w:w="6%"/>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1</w:t>
            </w:r>
          </w:p>
        </w:tc>
        <w:tc>
          <w:tcPr>
            <w:tcW w:type="pct" w:w="40%"/>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Number of floors ≤ 3 (F1.2)</w:t>
            </w:r>
          </w:p>
        </w:tc>
        <w:tc>
          <w:tcPr>
            <w:tcW w:type="pct" w:w="26%"/>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QCVN 06:2022/BXD</w:t>
            </w:r>
          </w:p>
        </w:tc>
        <w:tc>
          <w:tcPr>
            <w:tcW w:type="pct" w:w="28%"/>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 GF + L1 only</w:t>
            </w:r>
          </w:p>
        </w:tc>
      </w:tr>
      <w:tr>
        <w:tc>
          <w:tcPr>
            <w:tcW w:type="pct" w:w="6%"/>
            <w:shd w:fill="FAF7F2" w:color="auto" w:val="clear"/>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2</w:t>
            </w:r>
          </w:p>
        </w:tc>
        <w:tc>
          <w:tcPr>
            <w:tcW w:type="pct" w:w="40%"/>
            <w:shd w:fill="FAF7F2" w:color="auto" w:val="clear"/>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GFA within approved 1/500 envelope</w:t>
            </w:r>
          </w:p>
        </w:tc>
        <w:tc>
          <w:tcPr>
            <w:tcW w:type="pct" w:w="26%"/>
            <w:shd w:fill="FAF7F2" w:color="auto" w:val="clear"/>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QĐ 1112/2012</w:t>
            </w:r>
          </w:p>
        </w:tc>
        <w:tc>
          <w:tcPr>
            <w:tcW w:type="pct" w:w="28%"/>
            <w:shd w:fill="FAF7F2" w:color="auto" w:val="clear"/>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 L1 matches GF outline; no plot extension</w:t>
            </w:r>
          </w:p>
        </w:tc>
      </w:tr>
      <w:tr>
        <w:tc>
          <w:tcPr>
            <w:tcW w:type="pct" w:w="6%"/>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3</w:t>
            </w:r>
          </w:p>
        </w:tc>
        <w:tc>
          <w:tcPr>
            <w:tcW w:type="pct" w:w="40%"/>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Setbacks per 1/500</w:t>
            </w:r>
          </w:p>
        </w:tc>
        <w:tc>
          <w:tcPr>
            <w:tcW w:type="pct" w:w="26%"/>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QĐ 1112/2012</w:t>
            </w:r>
          </w:p>
        </w:tc>
        <w:tc>
          <w:tcPr>
            <w:tcW w:type="pct" w:w="28%"/>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 Existing Caye Sereno setbacks retained unchanged</w:t>
            </w:r>
          </w:p>
        </w:tc>
      </w:tr>
      <w:tr>
        <w:tc>
          <w:tcPr>
            <w:tcW w:type="pct" w:w="6%"/>
            <w:shd w:fill="FAF7F2" w:color="auto" w:val="clear"/>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4</w:t>
            </w:r>
          </w:p>
        </w:tc>
        <w:tc>
          <w:tcPr>
            <w:tcW w:type="pct" w:w="40%"/>
            <w:shd w:fill="FAF7F2" w:color="auto" w:val="clear"/>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Ridge ≤ 9.0 m</w:t>
            </w:r>
          </w:p>
        </w:tc>
        <w:tc>
          <w:tcPr>
            <w:tcW w:type="pct" w:w="26%"/>
            <w:shd w:fill="FAF7F2" w:color="auto" w:val="clear"/>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UNESCO buffer convention</w:t>
            </w:r>
          </w:p>
        </w:tc>
        <w:tc>
          <w:tcPr>
            <w:tcW w:type="pct" w:w="28%"/>
            <w:shd w:fill="FAF7F2" w:color="auto" w:val="clear"/>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 Central ridge +9.00 m; eave +6.50 m</w:t>
            </w:r>
          </w:p>
        </w:tc>
      </w:tr>
      <w:tr>
        <w:tc>
          <w:tcPr>
            <w:tcW w:type="pct" w:w="6%"/>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5</w:t>
            </w:r>
          </w:p>
        </w:tc>
        <w:tc>
          <w:tcPr>
            <w:tcW w:type="pct" w:w="40%"/>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Muted, non-reflective exterior palette</w:t>
            </w:r>
          </w:p>
        </w:tc>
        <w:tc>
          <w:tcPr>
            <w:tcW w:type="pct" w:w="26%"/>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UNESCO buffer convention</w:t>
            </w:r>
          </w:p>
        </w:tc>
        <w:tc>
          <w:tcPr>
            <w:tcW w:type="pct" w:w="28%"/>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 Terracotta + ivory + basalt + teak</w:t>
            </w:r>
          </w:p>
        </w:tc>
      </w:tr>
      <w:tr>
        <w:tc>
          <w:tcPr>
            <w:tcW w:type="pct" w:w="6%"/>
            <w:shd w:fill="FAF7F2" w:color="auto" w:val="clear"/>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6</w:t>
            </w:r>
          </w:p>
        </w:tc>
        <w:tc>
          <w:tcPr>
            <w:tcW w:type="pct" w:w="40%"/>
            <w:shd w:fill="FAF7F2" w:color="auto" w:val="clear"/>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No new land-use fee trigger</w:t>
            </w:r>
          </w:p>
        </w:tc>
        <w:tc>
          <w:tcPr>
            <w:tcW w:type="pct" w:w="26%"/>
            <w:shd w:fill="FAF7F2" w:color="auto" w:val="clear"/>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§5 LU fee receipts on file</w:t>
            </w:r>
          </w:p>
        </w:tc>
        <w:tc>
          <w:tcPr>
            <w:tcW w:type="pct" w:w="28%"/>
            <w:shd w:fill="FAF7F2" w:color="auto" w:val="clear"/>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 No plot change, no re-zoning</w:t>
            </w:r>
          </w:p>
        </w:tc>
      </w:tr>
      <w:tr>
        <w:tc>
          <w:tcPr>
            <w:tcW w:type="pct" w:w="6%"/>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7</w:t>
            </w:r>
          </w:p>
        </w:tc>
        <w:tc>
          <w:tcPr>
            <w:tcW w:type="pct" w:w="40%"/>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Environmental commitment still satisfied</w:t>
            </w:r>
          </w:p>
        </w:tc>
        <w:tc>
          <w:tcPr>
            <w:tcW w:type="pct" w:w="26%"/>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§14 CKBVMT accepted</w:t>
            </w:r>
          </w:p>
        </w:tc>
        <w:tc>
          <w:tcPr>
            <w:tcW w:type="pct" w:w="28%"/>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 Refurb + L1 extension within approved scope</w:t>
            </w:r>
          </w:p>
        </w:tc>
      </w:tr>
      <w:tr>
        <w:tc>
          <w:tcPr>
            <w:tcW w:type="pct" w:w="6%"/>
            <w:shd w:fill="FAF7F2" w:color="auto" w:val="clear"/>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8</w:t>
            </w:r>
          </w:p>
        </w:tc>
        <w:tc>
          <w:tcPr>
            <w:tcW w:type="pct" w:w="40%"/>
            <w:shd w:fill="FAF7F2" w:color="auto" w:val="clear"/>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Building permit exemption preserved</w:t>
            </w:r>
          </w:p>
        </w:tc>
        <w:tc>
          <w:tcPr>
            <w:tcW w:type="pct" w:w="26%"/>
            <w:shd w:fill="FAF7F2" w:color="auto" w:val="clear"/>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§13 GPXD-miễn</w:t>
            </w:r>
          </w:p>
        </w:tc>
        <w:tc>
          <w:tcPr>
            <w:tcW w:type="pct" w:w="28%"/>
            <w:shd w:fill="FAF7F2" w:color="auto" w:val="clear"/>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 1/500 approval still governs</w:t>
            </w:r>
          </w:p>
        </w:tc>
      </w:tr>
      <w:tr>
        <w:tc>
          <w:tcPr>
            <w:tcW w:type="pct" w:w="6%"/>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9</w:t>
            </w:r>
          </w:p>
        </w:tc>
        <w:tc>
          <w:tcPr>
            <w:tcW w:type="pct" w:w="40%"/>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LURC parcels unchanged</w:t>
            </w:r>
          </w:p>
        </w:tc>
        <w:tc>
          <w:tcPr>
            <w:tcW w:type="pct" w:w="26%"/>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Bi 462036 / Bi 462037</w:t>
            </w:r>
          </w:p>
        </w:tc>
        <w:tc>
          <w:tcPr>
            <w:tcW w:type="pct" w:w="28%"/>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 No sub-division</w:t>
            </w:r>
          </w:p>
        </w:tc>
      </w:tr>
      <w:tr>
        <w:tc>
          <w:tcPr>
            <w:tcW w:type="pct" w:w="6%"/>
            <w:shd w:fill="FAF7F2" w:color="auto" w:val="clear"/>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10</w:t>
            </w:r>
          </w:p>
        </w:tc>
        <w:tc>
          <w:tcPr>
            <w:tcW w:type="pct" w:w="40%"/>
            <w:shd w:fill="FAF7F2" w:color="auto" w:val="clear"/>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JVA obligations neutral</w:t>
            </w:r>
          </w:p>
        </w:tc>
        <w:tc>
          <w:tcPr>
            <w:tcW w:type="pct" w:w="26%"/>
            <w:shd w:fill="FAF7F2" w:color="auto" w:val="clear"/>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JVA 06-07-2012 + addenda</w:t>
            </w:r>
          </w:p>
        </w:tc>
        <w:tc>
          <w:tcPr>
            <w:tcW w:type="pct" w:w="28%"/>
            <w:shd w:fill="FAF7F2" w:color="auto" w:val="clear"/>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 Design deliverable is style-neutral</w:t>
            </w:r>
          </w:p>
        </w:tc>
      </w:tr>
    </w:tbl>
    <w:p>
      <w:pPr>
        <w:spacing w:after="160" w:before="0"/>
      </w:pPr>
      <w:r>
        <w:t xml:space="preserve"/>
      </w:r>
    </w:p>
    <w:p>
      <w:pPr>
        <w:pStyle w:val="Heading2"/>
        <w:spacing w:after="120" w:before="280"/>
      </w:pPr>
      <w:r>
        <w:rPr>
          <w:rFonts w:ascii="Georgia" w:cs="Georgia" w:eastAsia="Georgia" w:hAnsi="Georgia"/>
          <w:b/>
          <w:bCs/>
          <w:color w:val="B45309"/>
          <w:sz w:val="28"/>
          <w:szCs w:val="28"/>
        </w:rPr>
        <w:t xml:space="preserve">9.1 Open items for engineering coordination</w:t>
      </w:r>
    </w:p>
    <w:p>
      <w:pPr>
        <w:pStyle w:val="ListParagraph"/>
        <w:numPr>
          <w:ilvl w:val="0"/>
          <w:numId w:val="2"/>
        </w:numPr>
        <w:spacing w:after="60"/>
      </w:pPr>
      <w:r>
        <w:rPr>
          <w:rFonts w:ascii="Calibri" w:cs="Calibri" w:eastAsia="Calibri" w:hAnsi="Calibri"/>
          <w:color w:val="1F2937"/>
          <w:sz w:val="22"/>
          <w:szCs w:val="22"/>
        </w:rPr>
        <w:t xml:space="preserve">Structural — confirm existing columns/beams can take the new L1 slab over the former roof terrace (likely; the existing structure was sized for a full L1 floor in the original Transform scheme).</w:t>
      </w:r>
    </w:p>
    <w:p>
      <w:pPr>
        <w:pStyle w:val="ListParagraph"/>
        <w:numPr>
          <w:ilvl w:val="0"/>
          <w:numId w:val="2"/>
        </w:numPr>
        <w:spacing w:after="60"/>
      </w:pPr>
      <w:r>
        <w:rPr>
          <w:rFonts w:ascii="Calibri" w:cs="Calibri" w:eastAsia="Calibri" w:hAnsi="Calibri"/>
          <w:color w:val="1F2937"/>
          <w:sz w:val="22"/>
          <w:szCs w:val="22"/>
        </w:rPr>
        <w:t xml:space="preserve">Structural — new pitched roof truss span ≤ 11.55 m (primary) / 14.35 m (dining wing); teak glulam feasible, steel backup acceptable.</w:t>
      </w:r>
    </w:p>
    <w:p>
      <w:pPr>
        <w:pStyle w:val="ListParagraph"/>
        <w:numPr>
          <w:ilvl w:val="0"/>
          <w:numId w:val="2"/>
        </w:numPr>
        <w:spacing w:after="60"/>
      </w:pPr>
      <w:r>
        <w:rPr>
          <w:rFonts w:ascii="Calibri" w:cs="Calibri" w:eastAsia="Calibri" w:hAnsi="Calibri"/>
          <w:color w:val="1F2937"/>
          <w:sz w:val="22"/>
          <w:szCs w:val="22"/>
        </w:rPr>
        <w:t xml:space="preserve">MEP — cooling load grows ~33% with new L1 conditioned area; confirm existing chiller plant capacity or size an additional compressor.</w:t>
      </w:r>
    </w:p>
    <w:p>
      <w:pPr>
        <w:pStyle w:val="ListParagraph"/>
        <w:numPr>
          <w:ilvl w:val="0"/>
          <w:numId w:val="2"/>
        </w:numPr>
        <w:spacing w:after="60"/>
      </w:pPr>
      <w:r>
        <w:rPr>
          <w:rFonts w:ascii="Calibri" w:cs="Calibri" w:eastAsia="Calibri" w:hAnsi="Calibri"/>
          <w:color w:val="1F2937"/>
          <w:sz w:val="22"/>
          <w:szCs w:val="22"/>
        </w:rPr>
        <w:t xml:space="preserve">Drainage — pitched roof increases rainwater volume; new copper gutters + downpipes + sub-surface soakaway in the side setbacks.</w:t>
      </w:r>
    </w:p>
    <w:p>
      <w:pPr>
        <w:pStyle w:val="ListParagraph"/>
        <w:numPr>
          <w:ilvl w:val="0"/>
          <w:numId w:val="2"/>
        </w:numPr>
        <w:spacing w:after="60"/>
      </w:pPr>
      <w:r>
        <w:rPr>
          <w:rFonts w:ascii="Calibri" w:cs="Calibri" w:eastAsia="Calibri" w:hAnsi="Calibri"/>
          <w:color w:val="1F2937"/>
          <w:sz w:val="22"/>
          <w:szCs w:val="22"/>
        </w:rPr>
        <w:t xml:space="preserve">Fire — two escape staircases required at ≤25 m travel distance; existing single stair to be supplemented with a secondary stair at the dining-wing east gable.</w:t>
      </w:r>
    </w:p>
    <w:p>
      <w:pPr>
        <w:pStyle w:val="ListParagraph"/>
        <w:numPr>
          <w:ilvl w:val="0"/>
          <w:numId w:val="2"/>
        </w:numPr>
        <w:spacing w:after="60"/>
      </w:pPr>
      <w:r>
        <w:rPr>
          <w:rFonts w:ascii="Calibri" w:cs="Calibri" w:eastAsia="Calibri" w:hAnsi="Calibri"/>
          <w:color w:val="1F2937"/>
          <w:sz w:val="22"/>
          <w:szCs w:val="22"/>
        </w:rPr>
        <w:t xml:space="preserve">Acoustics — raffia ceiling panels specified as perforated backing board to maintain Rw ≥ 45 dB between guest suites.</w:t>
      </w:r>
    </w:p>
    <w:p>
      <w:r>
        <w:br w:type="page"/>
      </w:r>
    </w:p>
    <w:p>
      <w:pPr>
        <w:pStyle w:val="Heading1"/>
        <w:spacing w:after="160" w:before="360"/>
      </w:pPr>
      <w:r>
        <w:rPr>
          <w:rFonts w:ascii="Georgia" w:cs="Georgia" w:eastAsia="Georgia" w:hAnsi="Georgia"/>
          <w:b/>
          <w:bCs/>
          <w:color w:val="1F2937"/>
          <w:sz w:val="36"/>
          <w:szCs w:val="36"/>
        </w:rPr>
        <w:t xml:space="preserve">10 · Deliverables Register</w:t>
      </w:r>
    </w:p>
    <w:p>
      <w:pPr>
        <w:pBdr>
          <w:bottom w:val="single" w:color="D6D3D1" w:sz="6" w:space="1"/>
        </w:pBdr>
        <w:spacing w:after="80" w:before="80"/>
      </w:pPr>
      <w:r>
        <w:t xml:space="preserve"/>
      </w:r>
    </w:p>
    <w:p>
      <w:pPr>
        <w:spacing w:after="140" w:line="300"/>
        <w:jc w:val="both"/>
      </w:pPr>
      <w:r>
        <w:rPr>
          <w:rFonts w:ascii="Calibri" w:cs="Calibri" w:eastAsia="Calibri" w:hAnsi="Calibri"/>
          <w:b w:val="false"/>
          <w:bCs w:val="false"/>
          <w:i w:val="false"/>
          <w:iCs w:val="false"/>
          <w:color w:val="1F2937"/>
          <w:sz w:val="22"/>
          <w:szCs w:val="22"/>
        </w:rPr>
        <w:t xml:space="preserve">This concept design is one of three co-produced deliverables. The full package is listed below for the Jen Tuan Chau team:</w:t>
      </w:r>
    </w:p>
    <w:tbl>
      <w:tblPr>
        <w:tblW w:type="pct" w:w="100%"/>
        <w:tblBorders>
          <w:top w:val="single" w:color="D6D3D1" w:sz="4"/>
          <w:left w:val="single" w:color="D6D3D1" w:sz="4"/>
          <w:bottom w:val="single" w:color="D6D3D1" w:sz="4"/>
          <w:right w:val="single" w:color="D6D3D1" w:sz="4"/>
          <w:insideH w:val="single" w:color="D6D3D1" w:sz="4"/>
          <w:insideV w:val="single" w:color="D6D3D1" w:sz="4"/>
        </w:tblBorders>
      </w:tblPr>
      <w:tblGrid>
        <w:gridCol w:w="2268"/>
        <w:gridCol w:w="2268"/>
        <w:gridCol w:w="2268"/>
        <w:gridCol w:w="2268"/>
      </w:tblGrid>
      <w:tr>
        <w:tc>
          <w:tcPr>
            <w:tcW w:type="pct" w:w="6%"/>
            <w:shd w:fill="1F2937" w:color="auto" w:val="clear"/>
            <w:tcMar>
              <w:top w:type="dxa" w:w="120"/>
              <w:left w:type="dxa" w:w="160"/>
              <w:bottom w:type="dxa" w:w="120"/>
              <w:right w:type="dxa" w:w="160"/>
            </w:tcMar>
          </w:tcPr>
          <w:p>
            <w:pPr>
              <w:spacing w:after="40"/>
              <w:jc w:val="left"/>
            </w:pPr>
            <w:r>
              <w:rPr>
                <w:rFonts w:ascii="Calibri" w:cs="Calibri" w:eastAsia="Calibri" w:hAnsi="Calibri"/>
                <w:b/>
                <w:bCs/>
                <w:color w:val="FFFFFF"/>
                <w:sz w:val="20"/>
                <w:szCs w:val="20"/>
              </w:rPr>
              <w:t xml:space="preserve">#</w:t>
            </w:r>
          </w:p>
        </w:tc>
        <w:tc>
          <w:tcPr>
            <w:tcW w:type="pct" w:w="50%"/>
            <w:shd w:fill="1F2937" w:color="auto" w:val="clear"/>
            <w:tcMar>
              <w:top w:type="dxa" w:w="120"/>
              <w:left w:type="dxa" w:w="160"/>
              <w:bottom w:type="dxa" w:w="120"/>
              <w:right w:type="dxa" w:w="160"/>
            </w:tcMar>
          </w:tcPr>
          <w:p>
            <w:pPr>
              <w:spacing w:after="40"/>
              <w:jc w:val="left"/>
            </w:pPr>
            <w:r>
              <w:rPr>
                <w:rFonts w:ascii="Calibri" w:cs="Calibri" w:eastAsia="Calibri" w:hAnsi="Calibri"/>
                <w:b/>
                <w:bCs/>
                <w:color w:val="FFFFFF"/>
                <w:sz w:val="20"/>
                <w:szCs w:val="20"/>
              </w:rPr>
              <w:t xml:space="preserve">Deliverable</w:t>
            </w:r>
          </w:p>
        </w:tc>
        <w:tc>
          <w:tcPr>
            <w:tcW w:type="pct" w:w="20%"/>
            <w:shd w:fill="1F2937" w:color="auto" w:val="clear"/>
            <w:tcMar>
              <w:top w:type="dxa" w:w="120"/>
              <w:left w:type="dxa" w:w="160"/>
              <w:bottom w:type="dxa" w:w="120"/>
              <w:right w:type="dxa" w:w="160"/>
            </w:tcMar>
          </w:tcPr>
          <w:p>
            <w:pPr>
              <w:spacing w:after="40"/>
              <w:jc w:val="left"/>
            </w:pPr>
            <w:r>
              <w:rPr>
                <w:rFonts w:ascii="Calibri" w:cs="Calibri" w:eastAsia="Calibri" w:hAnsi="Calibri"/>
                <w:b/>
                <w:bCs/>
                <w:color w:val="FFFFFF"/>
                <w:sz w:val="20"/>
                <w:szCs w:val="20"/>
              </w:rPr>
              <w:t xml:space="preserve">Format</w:t>
            </w:r>
          </w:p>
        </w:tc>
        <w:tc>
          <w:tcPr>
            <w:tcW w:type="pct" w:w="24%"/>
            <w:shd w:fill="1F2937" w:color="auto" w:val="clear"/>
            <w:tcMar>
              <w:top w:type="dxa" w:w="120"/>
              <w:left w:type="dxa" w:w="160"/>
              <w:bottom w:type="dxa" w:w="120"/>
              <w:right w:type="dxa" w:w="160"/>
            </w:tcMar>
          </w:tcPr>
          <w:p>
            <w:pPr>
              <w:spacing w:after="40"/>
              <w:jc w:val="left"/>
            </w:pPr>
            <w:r>
              <w:rPr>
                <w:rFonts w:ascii="Calibri" w:cs="Calibri" w:eastAsia="Calibri" w:hAnsi="Calibri"/>
                <w:b/>
                <w:bCs/>
                <w:color w:val="FFFFFF"/>
                <w:sz w:val="20"/>
                <w:szCs w:val="20"/>
              </w:rPr>
              <w:t xml:space="preserve">Audience</w:t>
            </w:r>
          </w:p>
        </w:tc>
      </w:tr>
      <w:tr>
        <w:tc>
          <w:tcPr>
            <w:tcW w:type="pct" w:w="6%"/>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1</w:t>
            </w:r>
          </w:p>
        </w:tc>
        <w:tc>
          <w:tcPr>
            <w:tcW w:type="pct" w:w="50%"/>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Concept Design — this document</w:t>
            </w:r>
          </w:p>
        </w:tc>
        <w:tc>
          <w:tcPr>
            <w:tcW w:type="pct" w:w="20%"/>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.docx</w:t>
            </w:r>
          </w:p>
        </w:tc>
        <w:tc>
          <w:tcPr>
            <w:tcW w:type="pct" w:w="24%"/>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Board, JVA partners, planning reviewer</w:t>
            </w:r>
          </w:p>
        </w:tc>
      </w:tr>
      <w:tr>
        <w:tc>
          <w:tcPr>
            <w:tcW w:type="pct" w:w="6%"/>
            <w:shd w:fill="FAF7F2" w:color="auto" w:val="clear"/>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2</w:t>
            </w:r>
          </w:p>
        </w:tc>
        <w:tc>
          <w:tcPr>
            <w:tcW w:type="pct" w:w="50%"/>
            <w:shd w:fill="FAF7F2" w:color="auto" w:val="clear"/>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Visual package — interactive site/plan/elevation viewer</w:t>
            </w:r>
          </w:p>
        </w:tc>
        <w:tc>
          <w:tcPr>
            <w:tcW w:type="pct" w:w="20%"/>
            <w:shd w:fill="FAF7F2" w:color="auto" w:val="clear"/>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.html</w:t>
            </w:r>
          </w:p>
        </w:tc>
        <w:tc>
          <w:tcPr>
            <w:tcW w:type="pct" w:w="24%"/>
            <w:shd w:fill="FAF7F2" w:color="auto" w:val="clear"/>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Board, marketing, investor deck</w:t>
            </w:r>
          </w:p>
        </w:tc>
      </w:tr>
      <w:tr>
        <w:tc>
          <w:tcPr>
            <w:tcW w:type="pct" w:w="6%"/>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3</w:t>
            </w:r>
          </w:p>
        </w:tc>
        <w:tc>
          <w:tcPr>
            <w:tcW w:type="pct" w:w="50%"/>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External-render prompt pack</w:t>
            </w:r>
          </w:p>
        </w:tc>
        <w:tc>
          <w:tcPr>
            <w:tcW w:type="pct" w:w="20%"/>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.md</w:t>
            </w:r>
          </w:p>
        </w:tc>
        <w:tc>
          <w:tcPr>
            <w:tcW w:type="pct" w:w="24%"/>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Visualisation studio / Midjourney / Flux</w:t>
            </w:r>
          </w:p>
        </w:tc>
      </w:tr>
    </w:tbl>
    <w:p>
      <w:pPr>
        <w:spacing w:after="160" w:before="0"/>
      </w:pPr>
      <w:r>
        <w:t xml:space="preserve"/>
      </w:r>
    </w:p>
    <w:p>
      <w:pPr>
        <w:pStyle w:val="Heading2"/>
        <w:spacing w:after="120" w:before="280"/>
      </w:pPr>
      <w:r>
        <w:rPr>
          <w:rFonts w:ascii="Georgia" w:cs="Georgia" w:eastAsia="Georgia" w:hAnsi="Georgia"/>
          <w:b/>
          <w:bCs/>
          <w:color w:val="B45309"/>
          <w:sz w:val="28"/>
          <w:szCs w:val="28"/>
        </w:rPr>
        <w:t xml:space="preserve">10.1 Prompt pack — summary</w:t>
      </w:r>
    </w:p>
    <w:p>
      <w:pPr>
        <w:pStyle w:val="ListParagraph"/>
        <w:numPr>
          <w:ilvl w:val="0"/>
          <w:numId w:val="2"/>
        </w:numPr>
        <w:spacing w:after="60"/>
      </w:pPr>
      <w:r>
        <w:rPr>
          <w:rFonts w:ascii="Calibri" w:cs="Calibri" w:eastAsia="Calibri" w:hAnsi="Calibri"/>
          <w:color w:val="1F2937"/>
          <w:sz w:val="22"/>
          <w:szCs w:val="22"/>
        </w:rPr>
        <w:t xml:space="preserve">Hero exterior (south-west corner, golden hour, veranda lit from within, bay in background).</w:t>
      </w:r>
    </w:p>
    <w:p>
      <w:pPr>
        <w:pStyle w:val="ListParagraph"/>
        <w:numPr>
          <w:ilvl w:val="0"/>
          <w:numId w:val="2"/>
        </w:numPr>
        <w:spacing w:after="60"/>
      </w:pPr>
      <w:r>
        <w:rPr>
          <w:rFonts w:ascii="Calibri" w:cs="Calibri" w:eastAsia="Calibri" w:hAnsi="Calibri"/>
          <w:color w:val="1F2937"/>
          <w:sz w:val="22"/>
          <w:szCs w:val="22"/>
        </w:rPr>
        <w:t xml:space="preserve">Arrival / porte-cochère at dusk (copper lanterns, frangipani, teak doors).</w:t>
      </w:r>
    </w:p>
    <w:p>
      <w:pPr>
        <w:pStyle w:val="ListParagraph"/>
        <w:numPr>
          <w:ilvl w:val="0"/>
          <w:numId w:val="2"/>
        </w:numPr>
        <w:spacing w:after="60"/>
      </w:pPr>
      <w:r>
        <w:rPr>
          <w:rFonts w:ascii="Calibri" w:cs="Calibri" w:eastAsia="Calibri" w:hAnsi="Calibri"/>
          <w:color w:val="1F2937"/>
          <w:sz w:val="22"/>
          <w:szCs w:val="22"/>
        </w:rPr>
        <w:t xml:space="preserve">Formal living room — bay view through open shutters, linen sofa, raffia ceiling.</w:t>
      </w:r>
    </w:p>
    <w:p>
      <w:pPr>
        <w:pStyle w:val="ListParagraph"/>
        <w:numPr>
          <w:ilvl w:val="0"/>
          <w:numId w:val="2"/>
        </w:numPr>
        <w:spacing w:after="60"/>
      </w:pPr>
      <w:r>
        <w:rPr>
          <w:rFonts w:ascii="Calibri" w:cs="Calibri" w:eastAsia="Calibri" w:hAnsi="Calibri"/>
          <w:color w:val="1F2937"/>
          <w:sz w:val="22"/>
          <w:szCs w:val="22"/>
        </w:rPr>
        <w:t xml:space="preserve">Primary suite — four-poster bed, shutter-framed bay view, warm morning light.</w:t>
      </w:r>
    </w:p>
    <w:p>
      <w:pPr>
        <w:pStyle w:val="ListParagraph"/>
        <w:numPr>
          <w:ilvl w:val="0"/>
          <w:numId w:val="2"/>
        </w:numPr>
        <w:spacing w:after="60"/>
      </w:pPr>
      <w:r>
        <w:rPr>
          <w:rFonts w:ascii="Calibri" w:cs="Calibri" w:eastAsia="Calibri" w:hAnsi="Calibri"/>
          <w:color w:val="1F2937"/>
          <w:sz w:val="22"/>
          <w:szCs w:val="22"/>
        </w:rPr>
        <w:t xml:space="preserve">Pool terrace — infinity edge to bay, sala pavilion mid-frame, planting foreground.</w:t>
      </w:r>
    </w:p>
    <w:p>
      <w:pPr>
        <w:pStyle w:val="Heading2"/>
        <w:spacing w:after="120" w:before="280"/>
      </w:pPr>
      <w:r>
        <w:rPr>
          <w:rFonts w:ascii="Georgia" w:cs="Georgia" w:eastAsia="Georgia" w:hAnsi="Georgia"/>
          <w:b/>
          <w:bCs/>
          <w:color w:val="B45309"/>
          <w:sz w:val="28"/>
          <w:szCs w:val="28"/>
        </w:rPr>
        <w:t xml:space="preserve">10.2 Next steps</w:t>
      </w:r>
    </w:p>
    <w:p>
      <w:pPr>
        <w:pStyle w:val="ListParagraph"/>
        <w:numPr>
          <w:ilvl w:val="0"/>
          <w:numId w:val="2"/>
        </w:numPr>
        <w:spacing w:after="60"/>
      </w:pPr>
      <w:r>
        <w:rPr>
          <w:rFonts w:ascii="Calibri" w:cs="Calibri" w:eastAsia="Calibri" w:hAnsi="Calibri"/>
          <w:color w:val="1F2937"/>
          <w:sz w:val="22"/>
          <w:szCs w:val="22"/>
        </w:rPr>
        <w:t xml:space="preserve">Client review of this concept package — 5 working days.</w:t>
      </w:r>
    </w:p>
    <w:p>
      <w:pPr>
        <w:pStyle w:val="ListParagraph"/>
        <w:numPr>
          <w:ilvl w:val="0"/>
          <w:numId w:val="2"/>
        </w:numPr>
        <w:spacing w:after="60"/>
      </w:pPr>
      <w:r>
        <w:rPr>
          <w:rFonts w:ascii="Calibri" w:cs="Calibri" w:eastAsia="Calibri" w:hAnsi="Calibri"/>
          <w:color w:val="1F2937"/>
          <w:sz w:val="22"/>
          <w:szCs w:val="22"/>
        </w:rPr>
        <w:t xml:space="preserve">Structural feasibility sign-off on L1 slab over former roof terrace — 10 working days.</w:t>
      </w:r>
    </w:p>
    <w:p>
      <w:pPr>
        <w:pStyle w:val="ListParagraph"/>
        <w:numPr>
          <w:ilvl w:val="0"/>
          <w:numId w:val="2"/>
        </w:numPr>
        <w:spacing w:after="60"/>
      </w:pPr>
      <w:r>
        <w:rPr>
          <w:rFonts w:ascii="Calibri" w:cs="Calibri" w:eastAsia="Calibri" w:hAnsi="Calibri"/>
          <w:color w:val="1F2937"/>
          <w:sz w:val="22"/>
          <w:szCs w:val="22"/>
        </w:rPr>
        <w:t xml:space="preserve">Schematic Design (SD) package authorisation — target 1 June 2026.</w:t>
      </w:r>
    </w:p>
    <w:p>
      <w:pPr>
        <w:pStyle w:val="ListParagraph"/>
        <w:numPr>
          <w:ilvl w:val="0"/>
          <w:numId w:val="2"/>
        </w:numPr>
        <w:spacing w:after="60"/>
      </w:pPr>
      <w:r>
        <w:rPr>
          <w:rFonts w:ascii="Calibri" w:cs="Calibri" w:eastAsia="Calibri" w:hAnsi="Calibri"/>
          <w:color w:val="1F2937"/>
          <w:sz w:val="22"/>
          <w:szCs w:val="22"/>
        </w:rPr>
        <w:t xml:space="preserve">Design Development (DD) including MEP, FF&amp;E, landscape — target 1 September 2026.</w:t>
      </w:r>
    </w:p>
    <w:p>
      <w:pPr>
        <w:pStyle w:val="ListParagraph"/>
        <w:numPr>
          <w:ilvl w:val="0"/>
          <w:numId w:val="2"/>
        </w:numPr>
        <w:spacing w:after="60"/>
      </w:pPr>
      <w:r>
        <w:rPr>
          <w:rFonts w:ascii="Calibri" w:cs="Calibri" w:eastAsia="Calibri" w:hAnsi="Calibri"/>
          <w:color w:val="1F2937"/>
          <w:sz w:val="22"/>
          <w:szCs w:val="22"/>
        </w:rPr>
        <w:t xml:space="preserve">Tender and construction authority notice (no GPXD required per §13) — target Q4 2026.</w:t>
      </w:r>
    </w:p>
    <w:p>
      <w:r>
        <w:br w:type="page"/>
      </w:r>
    </w:p>
    <w:p>
      <w:pPr>
        <w:pStyle w:val="Heading1"/>
        <w:spacing w:after="160" w:before="360"/>
      </w:pPr>
      <w:r>
        <w:rPr>
          <w:rFonts w:ascii="Georgia" w:cs="Georgia" w:eastAsia="Georgia" w:hAnsi="Georgia"/>
          <w:b/>
          <w:bCs/>
          <w:color w:val="1F2937"/>
          <w:sz w:val="36"/>
          <w:szCs w:val="36"/>
        </w:rPr>
        <w:t xml:space="preserve">Appendix A · Capella Sentosa Manor Spec Transfer</w:t>
      </w:r>
    </w:p>
    <w:p>
      <w:pPr>
        <w:pBdr>
          <w:bottom w:val="single" w:color="D6D3D1" w:sz="6" w:space="1"/>
        </w:pBdr>
        <w:spacing w:after="80" w:before="80"/>
      </w:pPr>
      <w:r>
        <w:t xml:space="preserve"/>
      </w:r>
    </w:p>
    <w:tbl>
      <w:tblPr>
        <w:tblW w:type="pct" w:w="100%"/>
        <w:tblBorders>
          <w:top w:val="single" w:color="D6D3D1" w:sz="4"/>
          <w:left w:val="single" w:color="D6D3D1" w:sz="4"/>
          <w:bottom w:val="single" w:color="D6D3D1" w:sz="4"/>
          <w:right w:val="single" w:color="D6D3D1" w:sz="4"/>
          <w:insideH w:val="single" w:color="D6D3D1" w:sz="4"/>
          <w:insideV w:val="single" w:color="D6D3D1" w:sz="4"/>
        </w:tblBorders>
      </w:tblPr>
      <w:tblGrid>
        <w:gridCol w:w="3024"/>
        <w:gridCol w:w="3024"/>
        <w:gridCol w:w="3024"/>
      </w:tblGrid>
      <w:tr>
        <w:tc>
          <w:tcPr>
            <w:tcW w:type="pct" w:w="28%"/>
            <w:shd w:fill="1F2937" w:color="auto" w:val="clear"/>
            <w:tcMar>
              <w:top w:type="dxa" w:w="120"/>
              <w:left w:type="dxa" w:w="160"/>
              <w:bottom w:type="dxa" w:w="120"/>
              <w:right w:type="dxa" w:w="160"/>
            </w:tcMar>
          </w:tcPr>
          <w:p>
            <w:pPr>
              <w:spacing w:after="40"/>
              <w:jc w:val="left"/>
            </w:pPr>
            <w:r>
              <w:rPr>
                <w:rFonts w:ascii="Calibri" w:cs="Calibri" w:eastAsia="Calibri" w:hAnsi="Calibri"/>
                <w:b/>
                <w:bCs/>
                <w:color w:val="FFFFFF"/>
                <w:sz w:val="20"/>
                <w:szCs w:val="20"/>
              </w:rPr>
              <w:t xml:space="preserve">Capella Sentosa Manor</w:t>
            </w:r>
          </w:p>
        </w:tc>
        <w:tc>
          <w:tcPr>
            <w:tcW w:type="pct" w:w="32%"/>
            <w:shd w:fill="1F2937" w:color="auto" w:val="clear"/>
            <w:tcMar>
              <w:top w:type="dxa" w:w="120"/>
              <w:left w:type="dxa" w:w="160"/>
              <w:bottom w:type="dxa" w:w="120"/>
              <w:right w:type="dxa" w:w="160"/>
            </w:tcMar>
          </w:tcPr>
          <w:p>
            <w:pPr>
              <w:spacing w:after="40"/>
              <w:jc w:val="left"/>
            </w:pPr>
            <w:r>
              <w:rPr>
                <w:rFonts w:ascii="Calibri" w:cs="Calibri" w:eastAsia="Calibri" w:hAnsi="Calibri"/>
                <w:b/>
                <w:bCs/>
                <w:color w:val="FFFFFF"/>
                <w:sz w:val="20"/>
                <w:szCs w:val="20"/>
              </w:rPr>
              <w:t xml:space="preserve">Value</w:t>
            </w:r>
          </w:p>
        </w:tc>
        <w:tc>
          <w:tcPr>
            <w:tcW w:type="pct" w:w="40%"/>
            <w:shd w:fill="1F2937" w:color="auto" w:val="clear"/>
            <w:tcMar>
              <w:top w:type="dxa" w:w="120"/>
              <w:left w:type="dxa" w:w="160"/>
              <w:bottom w:type="dxa" w:w="120"/>
              <w:right w:type="dxa" w:w="160"/>
            </w:tcMar>
          </w:tcPr>
          <w:p>
            <w:pPr>
              <w:spacing w:after="40"/>
              <w:jc w:val="left"/>
            </w:pPr>
            <w:r>
              <w:rPr>
                <w:rFonts w:ascii="Calibri" w:cs="Calibri" w:eastAsia="Calibri" w:hAnsi="Calibri"/>
                <w:b/>
                <w:bCs/>
                <w:color w:val="FFFFFF"/>
                <w:sz w:val="20"/>
                <w:szCs w:val="20"/>
              </w:rPr>
              <w:t xml:space="preserve">Jen Tuan Chau equivalent</w:t>
            </w:r>
          </w:p>
        </w:tc>
      </w:tr>
      <w:tr>
        <w:tc>
          <w:tcPr>
            <w:tcW w:type="pct" w:w="28%"/>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Typology</w:t>
            </w:r>
          </w:p>
        </w:tc>
        <w:tc>
          <w:tcPr>
            <w:tcW w:type="pct" w:w="32%"/>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3-bed colonial manor</w:t>
            </w:r>
          </w:p>
        </w:tc>
        <w:tc>
          <w:tcPr>
            <w:tcW w:type="pct" w:w="40%"/>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4-bed + study colonial manor</w:t>
            </w:r>
          </w:p>
        </w:tc>
      </w:tr>
      <w:tr>
        <w:tc>
          <w:tcPr>
            <w:tcW w:type="pct" w:w="28%"/>
            <w:shd w:fill="FAF7F2" w:color="auto" w:val="clear"/>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GFA (interior)</w:t>
            </w:r>
          </w:p>
        </w:tc>
        <w:tc>
          <w:tcPr>
            <w:tcW w:type="pct" w:w="32%"/>
            <w:shd w:fill="FAF7F2" w:color="auto" w:val="clear"/>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434–436 m²</w:t>
            </w:r>
          </w:p>
        </w:tc>
        <w:tc>
          <w:tcPr>
            <w:tcW w:type="pct" w:w="40%"/>
            <w:shd w:fill="FAF7F2" w:color="auto" w:val="clear"/>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~600 m² (+38%, L1 full match)</w:t>
            </w:r>
          </w:p>
        </w:tc>
      </w:tr>
      <w:tr>
        <w:tc>
          <w:tcPr>
            <w:tcW w:type="pct" w:w="28%"/>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Bedrooms</w:t>
            </w:r>
          </w:p>
        </w:tc>
        <w:tc>
          <w:tcPr>
            <w:tcW w:type="pct" w:w="32%"/>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3 en-suite</w:t>
            </w:r>
          </w:p>
        </w:tc>
        <w:tc>
          <w:tcPr>
            <w:tcW w:type="pct" w:w="40%"/>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4 en-suite (1 primary + 3 guest)</w:t>
            </w:r>
          </w:p>
        </w:tc>
      </w:tr>
      <w:tr>
        <w:tc>
          <w:tcPr>
            <w:tcW w:type="pct" w:w="28%"/>
            <w:shd w:fill="FAF7F2" w:color="auto" w:val="clear"/>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Living areas</w:t>
            </w:r>
          </w:p>
        </w:tc>
        <w:tc>
          <w:tcPr>
            <w:tcW w:type="pct" w:w="32%"/>
            <w:shd w:fill="FAF7F2" w:color="auto" w:val="clear"/>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2 (formal + family)</w:t>
            </w:r>
          </w:p>
        </w:tc>
        <w:tc>
          <w:tcPr>
            <w:tcW w:type="pct" w:w="40%"/>
            <w:shd w:fill="FAF7F2" w:color="auto" w:val="clear"/>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2 (formal + family) + study</w:t>
            </w:r>
          </w:p>
        </w:tc>
      </w:tr>
      <w:tr>
        <w:tc>
          <w:tcPr>
            <w:tcW w:type="pct" w:w="28%"/>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Pool</w:t>
            </w:r>
          </w:p>
        </w:tc>
        <w:tc>
          <w:tcPr>
            <w:tcW w:type="pct" w:w="32%"/>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Private pool</w:t>
            </w:r>
          </w:p>
        </w:tc>
        <w:tc>
          <w:tcPr>
            <w:tcW w:type="pct" w:w="40%"/>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Existing Caye Sereno pool, re-edged</w:t>
            </w:r>
          </w:p>
        </w:tc>
      </w:tr>
      <w:tr>
        <w:tc>
          <w:tcPr>
            <w:tcW w:type="pct" w:w="28%"/>
            <w:shd w:fill="FAF7F2" w:color="auto" w:val="clear"/>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Pavilion</w:t>
            </w:r>
          </w:p>
        </w:tc>
        <w:tc>
          <w:tcPr>
            <w:tcW w:type="pct" w:w="32%"/>
            <w:shd w:fill="FAF7F2" w:color="auto" w:val="clear"/>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Outdoor sala</w:t>
            </w:r>
          </w:p>
        </w:tc>
        <w:tc>
          <w:tcPr>
            <w:tcW w:type="pct" w:w="40%"/>
            <w:shd w:fill="FAF7F2" w:color="auto" w:val="clear"/>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Detached sala pavilion, east lawn</w:t>
            </w:r>
          </w:p>
        </w:tc>
      </w:tr>
      <w:tr>
        <w:tc>
          <w:tcPr>
            <w:tcW w:type="pct" w:w="28%"/>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Roof</w:t>
            </w:r>
          </w:p>
        </w:tc>
        <w:tc>
          <w:tcPr>
            <w:tcW w:type="pct" w:w="32%"/>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Pitched clay tile, copper ridge</w:t>
            </w:r>
          </w:p>
        </w:tc>
        <w:tc>
          <w:tcPr>
            <w:tcW w:type="pct" w:w="40%"/>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Pitched clay tile, copper ridge (25°)</w:t>
            </w:r>
          </w:p>
        </w:tc>
      </w:tr>
      <w:tr>
        <w:tc>
          <w:tcPr>
            <w:tcW w:type="pct" w:w="28%"/>
            <w:shd w:fill="FAF7F2" w:color="auto" w:val="clear"/>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Walls</w:t>
            </w:r>
          </w:p>
        </w:tc>
        <w:tc>
          <w:tcPr>
            <w:tcW w:type="pct" w:w="32%"/>
            <w:shd w:fill="FAF7F2" w:color="auto" w:val="clear"/>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White lime-wash render</w:t>
            </w:r>
          </w:p>
        </w:tc>
        <w:tc>
          <w:tcPr>
            <w:tcW w:type="pct" w:w="40%"/>
            <w:shd w:fill="FAF7F2" w:color="auto" w:val="clear"/>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White lime-wash render (NCS S 1005-Y20R)</w:t>
            </w:r>
          </w:p>
        </w:tc>
      </w:tr>
      <w:tr>
        <w:tc>
          <w:tcPr>
            <w:tcW w:type="pct" w:w="28%"/>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Shutters</w:t>
            </w:r>
          </w:p>
        </w:tc>
        <w:tc>
          <w:tcPr>
            <w:tcW w:type="pct" w:w="32%"/>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Dark teak louvered</w:t>
            </w:r>
          </w:p>
        </w:tc>
        <w:tc>
          <w:tcPr>
            <w:tcW w:type="pct" w:w="40%"/>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FSC teak, ink-charcoal stain</w:t>
            </w:r>
          </w:p>
        </w:tc>
      </w:tr>
      <w:tr>
        <w:tc>
          <w:tcPr>
            <w:tcW w:type="pct" w:w="28%"/>
            <w:shd w:fill="FAF7F2" w:color="auto" w:val="clear"/>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Interior signature</w:t>
            </w:r>
          </w:p>
        </w:tc>
        <w:tc>
          <w:tcPr>
            <w:tcW w:type="pct" w:w="32%"/>
            <w:shd w:fill="FAF7F2" w:color="auto" w:val="clear"/>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Ivory + teak + brass + raffia</w:t>
            </w:r>
          </w:p>
        </w:tc>
        <w:tc>
          <w:tcPr>
            <w:tcW w:type="pct" w:w="40%"/>
            <w:shd w:fill="FAF7F2" w:color="auto" w:val="clear"/>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Ivory + teak + brass + raffia</w:t>
            </w:r>
          </w:p>
        </w:tc>
      </w:tr>
      <w:tr>
        <w:tc>
          <w:tcPr>
            <w:tcW w:type="pct" w:w="28%"/>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Landscape</w:t>
            </w:r>
          </w:p>
        </w:tc>
        <w:tc>
          <w:tcPr>
            <w:tcW w:type="pct" w:w="32%"/>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Frangipani, heliconia, palms, mature trees</w:t>
            </w:r>
          </w:p>
        </w:tc>
        <w:tc>
          <w:tcPr>
            <w:tcW w:type="pct" w:w="40%"/>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Frangipani pair at entry; heliconia + bird-of-paradise at pool; mango + sea-almond at west boundary</w:t>
            </w:r>
          </w:p>
        </w:tc>
      </w:tr>
    </w:tbl>
    <w:p>
      <w:r>
        <w:br w:type="page"/>
      </w:r>
    </w:p>
    <w:p>
      <w:pPr>
        <w:pStyle w:val="Heading1"/>
        <w:spacing w:after="160" w:before="360"/>
      </w:pPr>
      <w:r>
        <w:rPr>
          <w:rFonts w:ascii="Georgia" w:cs="Georgia" w:eastAsia="Georgia" w:hAnsi="Georgia"/>
          <w:b/>
          <w:bCs/>
          <w:color w:val="1F2937"/>
          <w:sz w:val="36"/>
          <w:szCs w:val="36"/>
        </w:rPr>
        <w:t xml:space="preserve">Appendix B · Area &amp; Dimension Cross-Check</w:t>
      </w:r>
    </w:p>
    <w:p>
      <w:pPr>
        <w:pBdr>
          <w:bottom w:val="single" w:color="D6D3D1" w:sz="6" w:space="1"/>
        </w:pBdr>
        <w:spacing w:after="80" w:before="80"/>
      </w:pPr>
      <w:r>
        <w:t xml:space="preserve"/>
      </w:r>
    </w:p>
    <w:p>
      <w:pPr>
        <w:spacing w:after="140" w:line="300"/>
        <w:jc w:val="both"/>
      </w:pPr>
      <w:r>
        <w:rPr>
          <w:rFonts w:ascii="Calibri" w:cs="Calibri" w:eastAsia="Calibri" w:hAnsi="Calibri"/>
          <w:b w:val="false"/>
          <w:bCs w:val="false"/>
          <w:i w:val="false"/>
          <w:iCs w:val="false"/>
          <w:color w:val="1F2937"/>
          <w:sz w:val="22"/>
          <w:szCs w:val="22"/>
        </w:rPr>
        <w:t xml:space="preserve">All dimensions below are taken directly from ArAD.pdf (Transform Architecture, 06/2015). Areas are carried forward to the Hero Villa scheme.</w:t>
      </w:r>
    </w:p>
    <w:tbl>
      <w:tblPr>
        <w:tblW w:type="pct" w:w="100%"/>
        <w:tblBorders>
          <w:top w:val="single" w:color="D6D3D1" w:sz="4"/>
          <w:left w:val="single" w:color="D6D3D1" w:sz="4"/>
          <w:bottom w:val="single" w:color="D6D3D1" w:sz="4"/>
          <w:right w:val="single" w:color="D6D3D1" w:sz="4"/>
          <w:insideH w:val="single" w:color="D6D3D1" w:sz="4"/>
          <w:insideV w:val="single" w:color="D6D3D1" w:sz="4"/>
        </w:tblBorders>
      </w:tblPr>
      <w:tblGrid>
        <w:gridCol w:w="3024"/>
        <w:gridCol w:w="3024"/>
        <w:gridCol w:w="3024"/>
      </w:tblGrid>
      <w:tr>
        <w:tc>
          <w:tcPr>
            <w:tcW w:type="pct" w:w="40%"/>
            <w:shd w:fill="1F2937" w:color="auto" w:val="clear"/>
            <w:tcMar>
              <w:top w:type="dxa" w:w="120"/>
              <w:left w:type="dxa" w:w="160"/>
              <w:bottom w:type="dxa" w:w="120"/>
              <w:right w:type="dxa" w:w="160"/>
            </w:tcMar>
          </w:tcPr>
          <w:p>
            <w:pPr>
              <w:spacing w:after="40"/>
              <w:jc w:val="left"/>
            </w:pPr>
            <w:r>
              <w:rPr>
                <w:rFonts w:ascii="Calibri" w:cs="Calibri" w:eastAsia="Calibri" w:hAnsi="Calibri"/>
                <w:b/>
                <w:bCs/>
                <w:color w:val="FFFFFF"/>
                <w:sz w:val="20"/>
                <w:szCs w:val="20"/>
              </w:rPr>
              <w:t xml:space="preserve">Zone</w:t>
            </w:r>
          </w:p>
        </w:tc>
        <w:tc>
          <w:tcPr>
            <w:tcW w:type="pct" w:w="32%"/>
            <w:shd w:fill="1F2937" w:color="auto" w:val="clear"/>
            <w:tcMar>
              <w:top w:type="dxa" w:w="120"/>
              <w:left w:type="dxa" w:w="160"/>
              <w:bottom w:type="dxa" w:w="120"/>
              <w:right w:type="dxa" w:w="160"/>
            </w:tcMar>
          </w:tcPr>
          <w:p>
            <w:pPr>
              <w:spacing w:after="40"/>
              <w:jc w:val="left"/>
            </w:pPr>
            <w:r>
              <w:rPr>
                <w:rFonts w:ascii="Calibri" w:cs="Calibri" w:eastAsia="Calibri" w:hAnsi="Calibri"/>
                <w:b/>
                <w:bCs/>
                <w:color w:val="FFFFFF"/>
                <w:sz w:val="20"/>
                <w:szCs w:val="20"/>
              </w:rPr>
              <w:t xml:space="preserve">Dimensions (mm)</w:t>
            </w:r>
          </w:p>
        </w:tc>
        <w:tc>
          <w:tcPr>
            <w:tcW w:type="pct" w:w="28%"/>
            <w:shd w:fill="1F2937" w:color="auto" w:val="clear"/>
            <w:tcMar>
              <w:top w:type="dxa" w:w="120"/>
              <w:left w:type="dxa" w:w="160"/>
              <w:bottom w:type="dxa" w:w="120"/>
              <w:right w:type="dxa" w:w="160"/>
            </w:tcMar>
          </w:tcPr>
          <w:p>
            <w:pPr>
              <w:spacing w:after="40"/>
              <w:jc w:val="left"/>
            </w:pPr>
            <w:r>
              <w:rPr>
                <w:rFonts w:ascii="Calibri" w:cs="Calibri" w:eastAsia="Calibri" w:hAnsi="Calibri"/>
                <w:b/>
                <w:bCs/>
                <w:color w:val="FFFFFF"/>
                <w:sz w:val="20"/>
                <w:szCs w:val="20"/>
              </w:rPr>
              <w:t xml:space="preserve">Area (m²)</w:t>
            </w:r>
          </w:p>
        </w:tc>
      </w:tr>
      <w:tr>
        <w:tc>
          <w:tcPr>
            <w:tcW w:type="pct" w:w="40%"/>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GF main block (living/dining)</w:t>
            </w:r>
          </w:p>
        </w:tc>
        <w:tc>
          <w:tcPr>
            <w:tcW w:type="pct" w:w="32%"/>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13,200 × 11,550</w:t>
            </w:r>
          </w:p>
        </w:tc>
        <w:tc>
          <w:tcPr>
            <w:tcW w:type="pct" w:w="28%"/>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152.46</w:t>
            </w:r>
          </w:p>
        </w:tc>
      </w:tr>
      <w:tr>
        <w:tc>
          <w:tcPr>
            <w:tcW w:type="pct" w:w="40%"/>
            <w:shd w:fill="FAF7F2" w:color="auto" w:val="clear"/>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GF dining wing projection</w:t>
            </w:r>
          </w:p>
        </w:tc>
        <w:tc>
          <w:tcPr>
            <w:tcW w:type="pct" w:w="32%"/>
            <w:shd w:fill="FAF7F2" w:color="auto" w:val="clear"/>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14,350 × 9,600 + service fillet</w:t>
            </w:r>
          </w:p>
        </w:tc>
        <w:tc>
          <w:tcPr>
            <w:tcW w:type="pct" w:w="28%"/>
            <w:shd w:fill="FAF7F2" w:color="auto" w:val="clear"/>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 147.80</w:t>
            </w:r>
          </w:p>
        </w:tc>
      </w:tr>
      <w:tr>
        <w:tc>
          <w:tcPr>
            <w:tcW w:type="pct" w:w="40%"/>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GF enclosed — TOTAL</w:t>
            </w:r>
          </w:p>
        </w:tc>
        <w:tc>
          <w:tcPr>
            <w:tcW w:type="pct" w:w="32%"/>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w:t>
            </w:r>
          </w:p>
        </w:tc>
        <w:tc>
          <w:tcPr>
            <w:tcW w:type="pct" w:w="28%"/>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 300</w:t>
            </w:r>
          </w:p>
        </w:tc>
      </w:tr>
      <w:tr>
        <w:tc>
          <w:tcPr>
            <w:tcW w:type="pct" w:w="40%"/>
            <w:shd w:fill="FAF7F2" w:color="auto" w:val="clear"/>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L1 (existing, Suites 3 + 4 + baths)</w:t>
            </w:r>
          </w:p>
        </w:tc>
        <w:tc>
          <w:tcPr>
            <w:tcW w:type="pct" w:w="32%"/>
            <w:shd w:fill="FAF7F2" w:color="auto" w:val="clear"/>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13,200 × 11,550 (partial)</w:t>
            </w:r>
          </w:p>
        </w:tc>
        <w:tc>
          <w:tcPr>
            <w:tcW w:type="pct" w:w="28%"/>
            <w:shd w:fill="FAF7F2" w:color="auto" w:val="clear"/>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 152</w:t>
            </w:r>
          </w:p>
        </w:tc>
      </w:tr>
      <w:tr>
        <w:tc>
          <w:tcPr>
            <w:tcW w:type="pct" w:w="40%"/>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L1 extension new (over former terrace)</w:t>
            </w:r>
          </w:p>
        </w:tc>
        <w:tc>
          <w:tcPr>
            <w:tcW w:type="pct" w:w="32%"/>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14,350 × 9,600 + fillet</w:t>
            </w:r>
          </w:p>
        </w:tc>
        <w:tc>
          <w:tcPr>
            <w:tcW w:type="pct" w:w="28%"/>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 148</w:t>
            </w:r>
          </w:p>
        </w:tc>
      </w:tr>
      <w:tr>
        <w:tc>
          <w:tcPr>
            <w:tcW w:type="pct" w:w="40%"/>
            <w:shd w:fill="FAF7F2" w:color="auto" w:val="clear"/>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L1 enclosed — TOTAL (proposed)</w:t>
            </w:r>
          </w:p>
        </w:tc>
        <w:tc>
          <w:tcPr>
            <w:tcW w:type="pct" w:w="32%"/>
            <w:shd w:fill="FAF7F2" w:color="auto" w:val="clear"/>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Full match to GF</w:t>
            </w:r>
          </w:p>
        </w:tc>
        <w:tc>
          <w:tcPr>
            <w:tcW w:type="pct" w:w="28%"/>
            <w:shd w:fill="FAF7F2" w:color="auto" w:val="clear"/>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 300</w:t>
            </w:r>
          </w:p>
        </w:tc>
      </w:tr>
      <w:tr>
        <w:tc>
          <w:tcPr>
            <w:tcW w:type="pct" w:w="40%"/>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Grand Total GFA</w:t>
            </w:r>
          </w:p>
        </w:tc>
        <w:tc>
          <w:tcPr>
            <w:tcW w:type="pct" w:w="32%"/>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w:t>
            </w:r>
          </w:p>
        </w:tc>
        <w:tc>
          <w:tcPr>
            <w:tcW w:type="pct" w:w="28%"/>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 600</w:t>
            </w:r>
          </w:p>
        </w:tc>
      </w:tr>
      <w:tr>
        <w:tc>
          <w:tcPr>
            <w:tcW w:type="pct" w:w="40%"/>
            <w:shd w:fill="FAF7F2" w:color="auto" w:val="clear"/>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Covered veranda GF (south + west)</w:t>
            </w:r>
          </w:p>
        </w:tc>
        <w:tc>
          <w:tcPr>
            <w:tcW w:type="pct" w:w="32%"/>
            <w:shd w:fill="FAF7F2" w:color="auto" w:val="clear"/>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2.4 m × ~50 m</w:t>
            </w:r>
          </w:p>
        </w:tc>
        <w:tc>
          <w:tcPr>
            <w:tcW w:type="pct" w:w="28%"/>
            <w:shd w:fill="FAF7F2" w:color="auto" w:val="clear"/>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 120</w:t>
            </w:r>
          </w:p>
        </w:tc>
      </w:tr>
      <w:tr>
        <w:tc>
          <w:tcPr>
            <w:tcW w:type="pct" w:w="40%"/>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Covered veranda L1 (south)</w:t>
            </w:r>
          </w:p>
        </w:tc>
        <w:tc>
          <w:tcPr>
            <w:tcW w:type="pct" w:w="32%"/>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2.4 m × ~38 m</w:t>
            </w:r>
          </w:p>
        </w:tc>
        <w:tc>
          <w:tcPr>
            <w:tcW w:type="pct" w:w="28%"/>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 90</w:t>
            </w:r>
          </w:p>
        </w:tc>
      </w:tr>
      <w:tr>
        <w:tc>
          <w:tcPr>
            <w:tcW w:type="pct" w:w="40%"/>
            <w:shd w:fill="FAF7F2" w:color="auto" w:val="clear"/>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Pool surface (retained, re-edged)</w:t>
            </w:r>
          </w:p>
        </w:tc>
        <w:tc>
          <w:tcPr>
            <w:tcW w:type="pct" w:w="32%"/>
            <w:shd w:fill="FAF7F2" w:color="auto" w:val="clear"/>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existing + 1.5 m extension</w:t>
            </w:r>
          </w:p>
        </w:tc>
        <w:tc>
          <w:tcPr>
            <w:tcW w:type="pct" w:w="28%"/>
            <w:shd w:fill="FAF7F2" w:color="auto" w:val="clear"/>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 54</w:t>
            </w:r>
          </w:p>
        </w:tc>
      </w:tr>
      <w:tr>
        <w:tc>
          <w:tcPr>
            <w:tcW w:type="pct" w:w="40%"/>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Pool deck + sala pavilion lawn</w:t>
            </w:r>
          </w:p>
        </w:tc>
        <w:tc>
          <w:tcPr>
            <w:tcW w:type="pct" w:w="32%"/>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w:t>
            </w:r>
          </w:p>
        </w:tc>
        <w:tc>
          <w:tcPr>
            <w:tcW w:type="pct" w:w="28%"/>
            <w:tcMar>
              <w:top w:type="dxa" w:w="120"/>
              <w:left w:type="dxa" w:w="160"/>
              <w:bottom w:type="dxa" w:w="120"/>
              <w:right w:type="dxa" w:w="160"/>
            </w:tcMar>
          </w:tcPr>
          <w:p>
            <w:pPr>
              <w:spacing w:after="40"/>
              <w:jc w:val="left"/>
            </w:pPr>
            <w:r>
              <w:rPr>
                <w:rFonts w:ascii="Calibri" w:cs="Calibri" w:eastAsia="Calibri" w:hAnsi="Calibri"/>
                <w:b w:val="false"/>
                <w:bCs w:val="false"/>
                <w:color w:val="1F2937"/>
                <w:sz w:val="20"/>
                <w:szCs w:val="20"/>
              </w:rPr>
              <w:t xml:space="preserve">≈ 220</w:t>
            </w:r>
          </w:p>
        </w:tc>
      </w:tr>
    </w:tbl>
    <w:p>
      <w:pPr>
        <w:spacing w:after="160" w:before="0"/>
      </w:pPr>
      <w:r>
        <w:t xml:space="preserve"/>
      </w:r>
    </w:p>
    <w:p>
      <w:pPr>
        <w:spacing w:after="140" w:line="300"/>
        <w:jc w:val="both"/>
      </w:pPr>
      <w:r>
        <w:rPr>
          <w:rFonts w:ascii="Calibri" w:cs="Calibri" w:eastAsia="Calibri" w:hAnsi="Calibri"/>
          <w:b w:val="false"/>
          <w:bCs w:val="false"/>
          <w:i w:val="false"/>
          <w:iCs w:val="false"/>
          <w:color w:val="1F2937"/>
          <w:sz w:val="22"/>
          <w:szCs w:val="22"/>
        </w:rPr>
        <w:t xml:space="preserve">The area calculation confirms the headline figure of ~600 m² total GFA, ≈38% larger than the Capella Sentosa Manor benchmark. Because the L1 is extended within the existing GF outline, the plot and 1/500 envelope are unchanged — no re-approval is required.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8716C"/>
        <w:sz w:val="16"/>
        <w:szCs w:val="16"/>
      </w:rPr>
      <w:t xml:space="preserve">Page </w:t>
    </w:r>
    <w:r>
      <w:rPr>
        <w:rFonts w:ascii="Calibri" w:cs="Calibri" w:eastAsia="Calibri" w:hAnsi="Calibri"/>
        <w:color w:val="78716C"/>
        <w:sz w:val="16"/>
        <w:szCs w:val="16"/>
      </w:rPr>
      <w:fldChar w:fldCharType="begin"/>
      <w:instrText xml:space="preserve">PAGE</w:instrText>
      <w:fldChar w:fldCharType="separate"/>
      <w:fldChar w:fldCharType="end"/>
    </w:r>
    <w:r>
      <w:rPr>
        <w:rFonts w:ascii="Calibri" w:cs="Calibri" w:eastAsia="Calibri" w:hAnsi="Calibri"/>
        <w:color w:val="78716C"/>
        <w:sz w:val="16"/>
        <w:szCs w:val="16"/>
      </w:rPr>
      <w:t xml:space="preserve"> of </w:t>
    </w:r>
    <w:r>
      <w:rPr>
        <w:rFonts w:ascii="Calibri" w:cs="Calibri" w:eastAsia="Calibri" w:hAnsi="Calibri"/>
        <w:color w:val="78716C"/>
        <w:sz w:val="16"/>
        <w:szCs w:val="16"/>
      </w:rPr>
      <w:fldChar w:fldCharType="begin"/>
      <w:instrText xml:space="preserve">NUMPAGES</w:instrText>
      <w:fldChar w:fldCharType="separate"/>
      <w:fldChar w:fldCharType="end"/>
    </w:r>
    <w:r>
      <w:rPr>
        <w:rFonts w:ascii="Calibri" w:cs="Calibri" w:eastAsia="Calibri" w:hAnsi="Calibri"/>
        <w:color w:val="78716C"/>
        <w:sz w:val="16"/>
        <w:szCs w:val="16"/>
      </w:rPr>
      <w:t xml:space="preserve">  ·  Concept Design ·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color w:val="78716C"/>
        <w:sz w:val="16"/>
        <w:szCs w:val="16"/>
      </w:rPr>
      <w:t xml:space="preserve">JEN TUAN CHAU · HERO VILLA CONCEPT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JEN TUAN CHAU · HERO VILLA CONCEPT</dc:title>
  <dc:creator>Jen Tuan Chau design team</dc:creator>
  <dc:description>Concept design — Hero Villa at Jen Tuan Chau, colonial-tropical peer to Capella Sentosa Manors.</dc:description>
  <cp:lastModifiedBy>Un-named</cp:lastModifiedBy>
  <cp:revision>1</cp:revision>
  <dcterms:created xsi:type="dcterms:W3CDTF">2026-04-18T09:02:57.708Z</dcterms:created>
  <dcterms:modified xsi:type="dcterms:W3CDTF">2026-04-18T09:02:57.708Z</dcterms:modified>
</cp:coreProperties>
</file>

<file path=docProps/custom.xml><?xml version="1.0" encoding="utf-8"?>
<Properties xmlns="http://schemas.openxmlformats.org/officeDocument/2006/custom-properties" xmlns:vt="http://schemas.openxmlformats.org/officeDocument/2006/docPropsVTypes"/>
</file>