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before="0"/>
      </w:pPr>
      <w:r>
        <w:t xml:space="preserve"/>
      </w:r>
    </w:p>
    <w:p>
      <w:pPr>
        <w:spacing w:after="80"/>
        <w:jc w:val="center"/>
      </w:pPr>
      <w:r>
        <w:rPr>
          <w:rFonts w:ascii="Georgia" w:cs="Georgia" w:eastAsia="Georgia" w:hAnsi="Georgia"/>
          <w:b/>
          <w:bCs/>
          <w:color w:val="B45309"/>
          <w:sz w:val="22"/>
          <w:szCs w:val="22"/>
        </w:rPr>
        <w:t xml:space="preserve">THIẾT KẾ KHÁI NIỆM · TẬP 01</w:t>
      </w:r>
    </w:p>
    <w:p>
      <w:pPr>
        <w:pBdr>
          <w:bottom w:val="single" w:color="D6D3D1" w:sz="6" w:space="1"/>
        </w:pBdr>
        <w:spacing w:after="80" w:before="80"/>
      </w:pPr>
      <w:r>
        <w:t xml:space="preserve"/>
      </w:r>
    </w:p>
    <w:p>
      <w:pPr>
        <w:spacing w:after="120" w:before="240"/>
        <w:jc w:val="center"/>
      </w:pPr>
      <w:r>
        <w:rPr>
          <w:rFonts w:ascii="Georgia" w:cs="Georgia" w:eastAsia="Georgia" w:hAnsi="Georgia"/>
          <w:b/>
          <w:bCs/>
          <w:color w:val="1F2937"/>
          <w:sz w:val="56"/>
          <w:szCs w:val="56"/>
        </w:rPr>
        <w:t xml:space="preserve">JEN TUAN CHAU · BIỆT THỰ CHỦ ĐẠO</w:t>
      </w:r>
    </w:p>
    <w:p>
      <w:pPr>
        <w:spacing w:after="120"/>
        <w:jc w:val="center"/>
      </w:pPr>
      <w:r>
        <w:rPr>
          <w:rFonts w:ascii="Georgia" w:cs="Georgia" w:eastAsia="Georgia" w:hAnsi="Georgia"/>
          <w:i/>
          <w:iCs/>
          <w:color w:val="78716C"/>
          <w:sz w:val="26"/>
          <w:szCs w:val="26"/>
        </w:rPr>
        <w:t xml:space="preserve">Biệt Thự Lẻ — Caye Sereno, Khu Biệt Thự Lâm Ngọc, Tuần Châu, Hạ Long</w:t>
      </w:r>
    </w:p>
    <w:p>
      <w:pPr>
        <w:pBdr>
          <w:bottom w:val="single" w:color="D6D3D1" w:sz="6" w:space="1"/>
        </w:pBdr>
        <w:spacing w:after="80" w:before="80"/>
      </w:pPr>
      <w:r>
        <w:t xml:space="preserve"/>
      </w:r>
    </w:p>
    <w:p>
      <w:pPr>
        <w:spacing w:after="200" w:before="0"/>
      </w:pPr>
      <w:r>
        <w:t xml:space="preserve"/>
      </w:r>
    </w:p>
    <w:p>
      <w:pPr>
        <w:jc w:val="center"/>
      </w:pPr>
      <w:r>
        <w:rPr>
          <w:rFonts w:ascii="Georgia" w:cs="Georgia" w:eastAsia="Georgia" w:hAnsi="Georgia"/>
          <w:i/>
          <w:iCs/>
          <w:color w:val="1F2937"/>
          <w:sz w:val="22"/>
          <w:szCs w:val="22"/>
        </w:rPr>
        <w:t xml:space="preserve">Đối tác thuộc cấp độ Capella Sentosa Manors,</w:t>
      </w:r>
    </w:p>
    <w:p>
      <w:pPr>
        <w:spacing w:after="480"/>
        <w:jc w:val="center"/>
      </w:pPr>
      <w:r>
        <w:rPr>
          <w:rFonts w:ascii="Georgia" w:cs="Georgia" w:eastAsia="Georgia" w:hAnsi="Georgia"/>
          <w:i/>
          <w:iCs/>
          <w:color w:val="1F2937"/>
          <w:sz w:val="22"/>
          <w:szCs w:val="22"/>
        </w:rPr>
        <w:t xml:space="preserve">được đặt vào kế hoạch Caye Sereno SEA Type 2 hiện có với Tầng 1 mở rộng để phù hợp với footprint tầng trệt.</w:t>
      </w:r>
    </w:p>
    <w:p>
      <w:pPr>
        <w:spacing w:after="1200" w:before="0"/>
      </w:pPr>
      <w:r>
        <w:t xml:space="preserve"/>
      </w:r>
    </w:p>
    <w:p>
      <w:pPr>
        <w:jc w:val="center"/>
      </w:pPr>
      <w:r>
        <w:rPr>
          <w:rFonts w:ascii="Calibri" w:cs="Calibri" w:eastAsia="Calibri" w:hAnsi="Calibri"/>
          <w:color w:val="57534E"/>
          <w:sz w:val="20"/>
          <w:szCs w:val="20"/>
        </w:rPr>
        <w:t xml:space="preserve">Chuẩn bị cho  ·  Công ty TNHH Jen Tuan Chau</w:t>
      </w:r>
    </w:p>
    <w:p>
      <w:pPr>
        <w:jc w:val="center"/>
      </w:pPr>
      <w:r>
        <w:rPr>
          <w:rFonts w:ascii="Calibri" w:cs="Calibri" w:eastAsia="Calibri" w:hAnsi="Calibri"/>
          <w:color w:val="57534E"/>
          <w:sz w:val="20"/>
          <w:szCs w:val="20"/>
        </w:rPr>
        <w:t xml:space="preserve">Bản vẽ cơ sở  ·  Transform Architecture, Caye Sereno SEA Type 2 (06/2015)</w:t>
      </w:r>
    </w:p>
    <w:p>
      <w:pPr>
        <w:jc w:val="center"/>
      </w:pPr>
      <w:r>
        <w:rPr>
          <w:rFonts w:ascii="Calibri" w:cs="Calibri" w:eastAsia="Calibri" w:hAnsi="Calibri"/>
          <w:color w:val="57534E"/>
          <w:sz w:val="20"/>
          <w:szCs w:val="20"/>
        </w:rPr>
        <w:t xml:space="preserve">Tham chiếu  ·  Capella Singapore — Sentosa Manors (Foster + Partners / Matthew Shang)</w:t>
      </w:r>
    </w:p>
    <w:p>
      <w:pPr>
        <w:spacing w:after="400"/>
        <w:jc w:val="center"/>
      </w:pPr>
      <w:r>
        <w:rPr>
          <w:rFonts w:ascii="Calibri" w:cs="Calibri" w:eastAsia="Calibri" w:hAnsi="Calibri"/>
          <w:color w:val="57534E"/>
          <w:sz w:val="20"/>
          <w:szCs w:val="20"/>
        </w:rPr>
        <w:t xml:space="preserve">Nguồn ràng buộc  ·  Báo cáo thẩm định Jen Tuan Chau (2025)</w:t>
      </w:r>
    </w:p>
    <w:p>
      <w:pPr>
        <w:jc w:val="center"/>
      </w:pPr>
      <w:r>
        <w:rPr>
          <w:rFonts w:ascii="Georgia" w:cs="Georgia" w:eastAsia="Georgia" w:hAnsi="Georgia"/>
          <w:b/>
          <w:bCs/>
          <w:color w:val="1F2937"/>
          <w:sz w:val="20"/>
          <w:szCs w:val="20"/>
        </w:rPr>
        <w:t xml:space="preserve">Tháng Tư 2026 · Phát hành để Khách hàng duyệt</w:t>
      </w:r>
    </w:p>
    <w:p>
      <w:r>
        <w:br w:type="page"/>
      </w:r>
    </w:p>
    <w:p>
      <w:pPr>
        <w:pStyle w:val="Heading1"/>
        <w:spacing w:after="160" w:before="360"/>
      </w:pPr>
      <w:r>
        <w:rPr>
          <w:rFonts w:ascii="Georgia" w:cs="Georgia" w:eastAsia="Georgia" w:hAnsi="Georgia"/>
          <w:b/>
          <w:bCs/>
          <w:color w:val="1F2937"/>
          <w:sz w:val="36"/>
          <w:szCs w:val="36"/>
        </w:rPr>
        <w:t xml:space="preserve">01 · Tóm tắt điều hành</w:t>
      </w:r>
    </w:p>
    <w:p>
      <w:pPr>
        <w:pBdr>
          <w:bottom w:val="single" w:color="D6D3D1" w:sz="6" w:space="1"/>
        </w:pBdr>
        <w:spacing w:after="80" w:before="80"/>
      </w:pPr>
      <w:r>
        <w:t xml:space="preserve"/>
      </w:r>
    </w:p>
    <w:p>
      <w:pPr>
        <w:spacing w:after="140" w:line="300"/>
        <w:jc w:val="both"/>
      </w:pPr>
      <w:r>
        <w:rPr>
          <w:rFonts w:ascii="Calibri" w:cs="Calibri" w:eastAsia="Calibri" w:hAnsi="Calibri"/>
          <w:b w:val="false"/>
          <w:bCs w:val="false"/>
          <w:i w:val="false"/>
          <w:iCs w:val="false"/>
          <w:color w:val="1F2937"/>
          <w:sz w:val="22"/>
          <w:szCs w:val="22"/>
        </w:rPr>
        <w:t xml:space="preserve">Tài liệu này trình bày thiết kế khái niệm cho một biệt thự chủ đạo lẻ trên khu đất Jen Tuan Chau (Khu Biệt Thự Lâm Ngọc, đảo Tuần Châu, Vịnh Hạ Long). Thiết kế được định vị như một đối tác với Capella Sentosa Manors ở Singapore — một biệt thự hướng ra vịnh, kiến trúc thuộc địa-nhiệt đới, nằm bên trong vùng đệm UNESCO không tranh chấp với nó.</w:t>
      </w:r>
    </w:p>
    <w:p>
      <w:pPr>
        <w:spacing w:after="140" w:line="300"/>
        <w:jc w:val="both"/>
      </w:pPr>
      <w:r>
        <w:rPr>
          <w:rFonts w:ascii="Calibri" w:cs="Calibri" w:eastAsia="Calibri" w:hAnsi="Calibri"/>
          <w:b w:val="false"/>
          <w:bCs w:val="false"/>
          <w:i w:val="false"/>
          <w:iCs w:val="false"/>
          <w:color w:val="1F2937"/>
          <w:sz w:val="22"/>
          <w:szCs w:val="22"/>
        </w:rPr>
        <w:t xml:space="preserve">Bản tóm tắt có ba phần: (1) giữ nguyên mặt bằng và bố trí của biệt thự Caye Sereno SEA Type 2 hiện có được chuẩn bị bởi Transform Architecture vào tháng 6 năm 2015 để thủ tục phê duyệt, khoảng lùi và bản vẽ chính 1/500 không thay đổi; (2) mở rộng tầng một (L1) để phù hợp với toàn bộ footprint tầng trệt để tối đa hóa diện tích sàn sử dụng (GFA) trong phong bì đã được phê duyệt; (3) thay thế ngôn ngữ hiện đại đương đại của các bản vẽ hoàn công bằng ngôn ngữ thuộc địa-nhiệt đới — mái ngói đất nung màu đỏ đất, tường sơn vôi, hành lang có mái sâu, cửa chớp gỗ teak đen — có thể đọc được trực tiếp như một đối tác Capella.</w:t>
      </w:r>
    </w:p>
    <w:p>
      <w:pPr>
        <w:pStyle w:val="Heading3"/>
        <w:spacing w:after="80" w:before="200"/>
      </w:pPr>
      <w:r>
        <w:rPr>
          <w:rFonts w:ascii="Georgia" w:cs="Georgia" w:eastAsia="Georgia" w:hAnsi="Georgia"/>
          <w:b/>
          <w:bCs/>
          <w:color w:val="1F2937"/>
          <w:sz w:val="22"/>
          <w:szCs w:val="22"/>
        </w:rPr>
        <w:t xml:space="preserve">Các con số chính</w:t>
      </w:r>
    </w:p>
    <w:tbl>
      <w:tblPr>
        <w:tblW w:type="pct" w:w="100%"/>
        <w:tblBorders>
          <w:top w:val="single" w:color="D6D3D1" w:sz="4"/>
          <w:left w:val="single" w:color="D6D3D1" w:sz="4"/>
          <w:bottom w:val="single" w:color="D6D3D1" w:sz="4"/>
          <w:right w:val="single" w:color="D6D3D1" w:sz="4"/>
          <w:insideH w:val="single" w:color="D6D3D1" w:sz="4"/>
          <w:insideV w:val="single" w:color="D6D3D1" w:sz="4"/>
        </w:tblBorders>
      </w:tblPr>
      <w:tblGrid>
        <w:gridCol w:w="2268"/>
        <w:gridCol w:w="2268"/>
        <w:gridCol w:w="2268"/>
        <w:gridCol w:w="2268"/>
      </w:tblGrid>
      <w:tr>
        <w:tc>
          <w:tcPr>
            <w:tcW w:type="pct" w:w="28%"/>
            <w:shd w:fill="1F2937" w:color="auto" w:val="clear"/>
            <w:tcMar>
              <w:top w:type="dxa" w:w="120"/>
              <w:left w:type="dxa" w:w="160"/>
              <w:bottom w:type="dxa" w:w="120"/>
              <w:right w:type="dxa" w:w="160"/>
            </w:tcMar>
          </w:tcPr>
          <w:p>
            <w:pPr>
              <w:spacing w:after="40"/>
              <w:jc w:val="left"/>
            </w:pPr>
            <w:r>
              <w:rPr>
                <w:rFonts w:ascii="Calibri" w:cs="Calibri" w:eastAsia="Calibri" w:hAnsi="Calibri"/>
                <w:b/>
                <w:bCs/>
                <w:color w:val="FFFFFF"/>
                <w:sz w:val="20"/>
                <w:szCs w:val="20"/>
              </w:rPr>
              <w:t xml:space="preserve">Chỉ tiêu</w:t>
            </w:r>
          </w:p>
        </w:tc>
        <w:tc>
          <w:tcPr>
            <w:tcW w:type="pct" w:w="28%"/>
            <w:shd w:fill="1F2937" w:color="auto" w:val="clear"/>
            <w:tcMar>
              <w:top w:type="dxa" w:w="120"/>
              <w:left w:type="dxa" w:w="160"/>
              <w:bottom w:type="dxa" w:w="120"/>
              <w:right w:type="dxa" w:w="160"/>
            </w:tcMar>
          </w:tcPr>
          <w:p>
            <w:pPr>
              <w:spacing w:after="40"/>
              <w:jc w:val="center"/>
            </w:pPr>
            <w:r>
              <w:rPr>
                <w:rFonts w:ascii="Calibri" w:cs="Calibri" w:eastAsia="Calibri" w:hAnsi="Calibri"/>
                <w:b/>
                <w:bCs/>
                <w:color w:val="FFFFFF"/>
                <w:sz w:val="20"/>
                <w:szCs w:val="20"/>
              </w:rPr>
              <w:t xml:space="preserve">Hiện có (Caye Sereno SEA Type 2)</w:t>
            </w:r>
          </w:p>
        </w:tc>
        <w:tc>
          <w:tcPr>
            <w:tcW w:type="pct" w:w="28%"/>
            <w:shd w:fill="1F2937" w:color="auto" w:val="clear"/>
            <w:tcMar>
              <w:top w:type="dxa" w:w="120"/>
              <w:left w:type="dxa" w:w="160"/>
              <w:bottom w:type="dxa" w:w="120"/>
              <w:right w:type="dxa" w:w="160"/>
            </w:tcMar>
          </w:tcPr>
          <w:p>
            <w:pPr>
              <w:spacing w:after="40"/>
              <w:jc w:val="center"/>
            </w:pPr>
            <w:r>
              <w:rPr>
                <w:rFonts w:ascii="Calibri" w:cs="Calibri" w:eastAsia="Calibri" w:hAnsi="Calibri"/>
                <w:b/>
                <w:bCs/>
                <w:color w:val="FFFFFF"/>
                <w:sz w:val="20"/>
                <w:szCs w:val="20"/>
              </w:rPr>
              <w:t xml:space="preserve">Đề xuất (Biệt thự chủ đạo)</w:t>
            </w:r>
          </w:p>
        </w:tc>
        <w:tc>
          <w:tcPr>
            <w:tcW w:type="pct" w:w="16%"/>
            <w:shd w:fill="1F2937" w:color="auto" w:val="clear"/>
            <w:tcMar>
              <w:top w:type="dxa" w:w="120"/>
              <w:left w:type="dxa" w:w="160"/>
              <w:bottom w:type="dxa" w:w="120"/>
              <w:right w:type="dxa" w:w="160"/>
            </w:tcMar>
          </w:tcPr>
          <w:p>
            <w:pPr>
              <w:spacing w:after="40"/>
              <w:jc w:val="center"/>
            </w:pPr>
            <w:r>
              <w:rPr>
                <w:rFonts w:ascii="Calibri" w:cs="Calibri" w:eastAsia="Calibri" w:hAnsi="Calibri"/>
                <w:b/>
                <w:bCs/>
                <w:color w:val="FFFFFF"/>
                <w:sz w:val="20"/>
                <w:szCs w:val="20"/>
              </w:rPr>
              <w:t xml:space="preserve">Δ</w:t>
            </w:r>
          </w:p>
        </w:tc>
      </w:tr>
      <w:tr>
        <w:tc>
          <w:tcPr>
            <w:tcW w:type="pct" w:w="28%"/>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Diện tích khu đất</w:t>
            </w:r>
          </w:p>
        </w:tc>
        <w:tc>
          <w:tcPr>
            <w:tcW w:type="pct" w:w="28%"/>
            <w:tcMar>
              <w:top w:type="dxa" w:w="120"/>
              <w:left w:type="dxa" w:w="160"/>
              <w:bottom w:type="dxa" w:w="120"/>
              <w:right w:type="dxa" w:w="160"/>
            </w:tcMar>
          </w:tcPr>
          <w:p>
            <w:pPr>
              <w:spacing w:after="40"/>
              <w:jc w:val="center"/>
            </w:pPr>
            <w:r>
              <w:rPr>
                <w:rFonts w:ascii="Calibri" w:cs="Calibri" w:eastAsia="Calibri" w:hAnsi="Calibri"/>
                <w:b w:val="false"/>
                <w:bCs w:val="false"/>
                <w:color w:val="1F2937"/>
                <w:sz w:val="20"/>
                <w:szCs w:val="20"/>
              </w:rPr>
              <w:t xml:space="preserve">~840 m² (28,05 × 30,00 m)</w:t>
            </w:r>
          </w:p>
        </w:tc>
        <w:tc>
          <w:tcPr>
            <w:tcW w:type="pct" w:w="28%"/>
            <w:tcMar>
              <w:top w:type="dxa" w:w="120"/>
              <w:left w:type="dxa" w:w="160"/>
              <w:bottom w:type="dxa" w:w="120"/>
              <w:right w:type="dxa" w:w="160"/>
            </w:tcMar>
          </w:tcPr>
          <w:p>
            <w:pPr>
              <w:spacing w:after="40"/>
              <w:jc w:val="center"/>
            </w:pPr>
            <w:r>
              <w:rPr>
                <w:rFonts w:ascii="Calibri" w:cs="Calibri" w:eastAsia="Calibri" w:hAnsi="Calibri"/>
                <w:b w:val="false"/>
                <w:bCs w:val="false"/>
                <w:color w:val="1F2937"/>
                <w:sz w:val="20"/>
                <w:szCs w:val="20"/>
              </w:rPr>
              <w:t xml:space="preserve">~840 m² (không thay đổi)</w:t>
            </w:r>
          </w:p>
        </w:tc>
        <w:tc>
          <w:tcPr>
            <w:tcW w:type="pct" w:w="16%"/>
            <w:tcMar>
              <w:top w:type="dxa" w:w="120"/>
              <w:left w:type="dxa" w:w="160"/>
              <w:bottom w:type="dxa" w:w="120"/>
              <w:right w:type="dxa" w:w="160"/>
            </w:tcMar>
          </w:tcPr>
          <w:p>
            <w:pPr>
              <w:spacing w:after="40"/>
              <w:jc w:val="center"/>
            </w:pPr>
            <w:r>
              <w:rPr>
                <w:rFonts w:ascii="Calibri" w:cs="Calibri" w:eastAsia="Calibri" w:hAnsi="Calibri"/>
                <w:b w:val="false"/>
                <w:bCs w:val="false"/>
                <w:color w:val="1F2937"/>
                <w:sz w:val="20"/>
                <w:szCs w:val="20"/>
              </w:rPr>
              <w:t xml:space="preserve">—</w:t>
            </w:r>
          </w:p>
        </w:tc>
      </w:tr>
      <w:tr>
        <w:tc>
          <w:tcPr>
            <w:tcW w:type="pct" w:w="28%"/>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Diện tích tầng trệt</w:t>
            </w:r>
          </w:p>
        </w:tc>
        <w:tc>
          <w:tcPr>
            <w:tcW w:type="pct" w:w="28%"/>
            <w:shd w:fill="FAF7F2" w:color="auto" w:val="clear"/>
            <w:tcMar>
              <w:top w:type="dxa" w:w="120"/>
              <w:left w:type="dxa" w:w="160"/>
              <w:bottom w:type="dxa" w:w="120"/>
              <w:right w:type="dxa" w:w="160"/>
            </w:tcMar>
          </w:tcPr>
          <w:p>
            <w:pPr>
              <w:spacing w:after="40"/>
              <w:jc w:val="center"/>
            </w:pPr>
            <w:r>
              <w:rPr>
                <w:rFonts w:ascii="Calibri" w:cs="Calibri" w:eastAsia="Calibri" w:hAnsi="Calibri"/>
                <w:b w:val="false"/>
                <w:bCs w:val="false"/>
                <w:color w:val="1F2937"/>
                <w:sz w:val="20"/>
                <w:szCs w:val="20"/>
              </w:rPr>
              <w:t xml:space="preserve">~300 m²</w:t>
            </w:r>
          </w:p>
        </w:tc>
        <w:tc>
          <w:tcPr>
            <w:tcW w:type="pct" w:w="28%"/>
            <w:shd w:fill="FAF7F2" w:color="auto" w:val="clear"/>
            <w:tcMar>
              <w:top w:type="dxa" w:w="120"/>
              <w:left w:type="dxa" w:w="160"/>
              <w:bottom w:type="dxa" w:w="120"/>
              <w:right w:type="dxa" w:w="160"/>
            </w:tcMar>
          </w:tcPr>
          <w:p>
            <w:pPr>
              <w:spacing w:after="40"/>
              <w:jc w:val="center"/>
            </w:pPr>
            <w:r>
              <w:rPr>
                <w:rFonts w:ascii="Calibri" w:cs="Calibri" w:eastAsia="Calibri" w:hAnsi="Calibri"/>
                <w:b w:val="false"/>
                <w:bCs w:val="false"/>
                <w:color w:val="1F2937"/>
                <w:sz w:val="20"/>
                <w:szCs w:val="20"/>
              </w:rPr>
              <w:t xml:space="preserve">~300 m²</w:t>
            </w:r>
          </w:p>
        </w:tc>
        <w:tc>
          <w:tcPr>
            <w:tcW w:type="pct" w:w="16%"/>
            <w:shd w:fill="FAF7F2" w:color="auto" w:val="clear"/>
            <w:tcMar>
              <w:top w:type="dxa" w:w="120"/>
              <w:left w:type="dxa" w:w="160"/>
              <w:bottom w:type="dxa" w:w="120"/>
              <w:right w:type="dxa" w:w="160"/>
            </w:tcMar>
          </w:tcPr>
          <w:p>
            <w:pPr>
              <w:spacing w:after="40"/>
              <w:jc w:val="center"/>
            </w:pPr>
            <w:r>
              <w:rPr>
                <w:rFonts w:ascii="Calibri" w:cs="Calibri" w:eastAsia="Calibri" w:hAnsi="Calibri"/>
                <w:b w:val="false"/>
                <w:bCs w:val="false"/>
                <w:color w:val="1F2937"/>
                <w:sz w:val="20"/>
                <w:szCs w:val="20"/>
              </w:rPr>
              <w:t xml:space="preserve">0</w:t>
            </w:r>
          </w:p>
        </w:tc>
      </w:tr>
      <w:tr>
        <w:tc>
          <w:tcPr>
            <w:tcW w:type="pct" w:w="28%"/>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Diện tích tầng 1</w:t>
            </w:r>
          </w:p>
        </w:tc>
        <w:tc>
          <w:tcPr>
            <w:tcW w:type="pct" w:w="28%"/>
            <w:tcMar>
              <w:top w:type="dxa" w:w="120"/>
              <w:left w:type="dxa" w:w="160"/>
              <w:bottom w:type="dxa" w:w="120"/>
              <w:right w:type="dxa" w:w="160"/>
            </w:tcMar>
          </w:tcPr>
          <w:p>
            <w:pPr>
              <w:spacing w:after="40"/>
              <w:jc w:val="center"/>
            </w:pPr>
            <w:r>
              <w:rPr>
                <w:rFonts w:ascii="Calibri" w:cs="Calibri" w:eastAsia="Calibri" w:hAnsi="Calibri"/>
                <w:b w:val="false"/>
                <w:bCs w:val="false"/>
                <w:color w:val="1F2937"/>
                <w:sz w:val="20"/>
                <w:szCs w:val="20"/>
              </w:rPr>
              <w:t xml:space="preserve">~152 m² (một phần)</w:t>
            </w:r>
          </w:p>
        </w:tc>
        <w:tc>
          <w:tcPr>
            <w:tcW w:type="pct" w:w="28%"/>
            <w:tcMar>
              <w:top w:type="dxa" w:w="120"/>
              <w:left w:type="dxa" w:w="160"/>
              <w:bottom w:type="dxa" w:w="120"/>
              <w:right w:type="dxa" w:w="160"/>
            </w:tcMar>
          </w:tcPr>
          <w:p>
            <w:pPr>
              <w:spacing w:after="40"/>
              <w:jc w:val="center"/>
            </w:pPr>
            <w:r>
              <w:rPr>
                <w:rFonts w:ascii="Calibri" w:cs="Calibri" w:eastAsia="Calibri" w:hAnsi="Calibri"/>
                <w:b w:val="false"/>
                <w:bCs w:val="false"/>
                <w:color w:val="1F2937"/>
                <w:sz w:val="20"/>
                <w:szCs w:val="20"/>
              </w:rPr>
              <w:t xml:space="preserve">~300 m² (full match)</w:t>
            </w:r>
          </w:p>
        </w:tc>
        <w:tc>
          <w:tcPr>
            <w:tcW w:type="pct" w:w="16%"/>
            <w:tcMar>
              <w:top w:type="dxa" w:w="120"/>
              <w:left w:type="dxa" w:w="160"/>
              <w:bottom w:type="dxa" w:w="120"/>
              <w:right w:type="dxa" w:w="160"/>
            </w:tcMar>
          </w:tcPr>
          <w:p>
            <w:pPr>
              <w:spacing w:after="40"/>
              <w:jc w:val="center"/>
            </w:pPr>
            <w:r>
              <w:rPr>
                <w:rFonts w:ascii="Calibri" w:cs="Calibri" w:eastAsia="Calibri" w:hAnsi="Calibri"/>
                <w:b w:val="false"/>
                <w:bCs w:val="false"/>
                <w:color w:val="1F2937"/>
                <w:sz w:val="20"/>
                <w:szCs w:val="20"/>
              </w:rPr>
              <w:t xml:space="preserve">+148 m²</w:t>
            </w:r>
          </w:p>
        </w:tc>
      </w:tr>
      <w:tr>
        <w:tc>
          <w:tcPr>
            <w:tcW w:type="pct" w:w="28%"/>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Tổng GFA</w:t>
            </w:r>
          </w:p>
        </w:tc>
        <w:tc>
          <w:tcPr>
            <w:tcW w:type="pct" w:w="28%"/>
            <w:shd w:fill="FAF7F2" w:color="auto" w:val="clear"/>
            <w:tcMar>
              <w:top w:type="dxa" w:w="120"/>
              <w:left w:type="dxa" w:w="160"/>
              <w:bottom w:type="dxa" w:w="120"/>
              <w:right w:type="dxa" w:w="160"/>
            </w:tcMar>
          </w:tcPr>
          <w:p>
            <w:pPr>
              <w:spacing w:after="40"/>
              <w:jc w:val="center"/>
            </w:pPr>
            <w:r>
              <w:rPr>
                <w:rFonts w:ascii="Calibri" w:cs="Calibri" w:eastAsia="Calibri" w:hAnsi="Calibri"/>
                <w:b w:val="false"/>
                <w:bCs w:val="false"/>
                <w:color w:val="1F2937"/>
                <w:sz w:val="20"/>
                <w:szCs w:val="20"/>
              </w:rPr>
              <w:t xml:space="preserve">~452 m²</w:t>
            </w:r>
          </w:p>
        </w:tc>
        <w:tc>
          <w:tcPr>
            <w:tcW w:type="pct" w:w="28%"/>
            <w:shd w:fill="FAF7F2" w:color="auto" w:val="clear"/>
            <w:tcMar>
              <w:top w:type="dxa" w:w="120"/>
              <w:left w:type="dxa" w:w="160"/>
              <w:bottom w:type="dxa" w:w="120"/>
              <w:right w:type="dxa" w:w="160"/>
            </w:tcMar>
          </w:tcPr>
          <w:p>
            <w:pPr>
              <w:spacing w:after="40"/>
              <w:jc w:val="center"/>
            </w:pPr>
            <w:r>
              <w:rPr>
                <w:rFonts w:ascii="Calibri" w:cs="Calibri" w:eastAsia="Calibri" w:hAnsi="Calibri"/>
                <w:b w:val="false"/>
                <w:bCs w:val="false"/>
                <w:color w:val="1F2937"/>
                <w:sz w:val="20"/>
                <w:szCs w:val="20"/>
              </w:rPr>
              <w:t xml:space="preserve">~600 m²</w:t>
            </w:r>
          </w:p>
        </w:tc>
        <w:tc>
          <w:tcPr>
            <w:tcW w:type="pct" w:w="16%"/>
            <w:shd w:fill="FAF7F2" w:color="auto" w:val="clear"/>
            <w:tcMar>
              <w:top w:type="dxa" w:w="120"/>
              <w:left w:type="dxa" w:w="160"/>
              <w:bottom w:type="dxa" w:w="120"/>
              <w:right w:type="dxa" w:w="160"/>
            </w:tcMar>
          </w:tcPr>
          <w:p>
            <w:pPr>
              <w:spacing w:after="40"/>
              <w:jc w:val="center"/>
            </w:pPr>
            <w:r>
              <w:rPr>
                <w:rFonts w:ascii="Calibri" w:cs="Calibri" w:eastAsia="Calibri" w:hAnsi="Calibri"/>
                <w:b w:val="false"/>
                <w:bCs w:val="false"/>
                <w:color w:val="1F2937"/>
                <w:sz w:val="20"/>
                <w:szCs w:val="20"/>
              </w:rPr>
              <w:t xml:space="preserve">+148 m² (+33%)</w:t>
            </w:r>
          </w:p>
        </w:tc>
      </w:tr>
      <w:tr>
        <w:tc>
          <w:tcPr>
            <w:tcW w:type="pct" w:w="28%"/>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Chiều cao đỉnh mái</w:t>
            </w:r>
          </w:p>
        </w:tc>
        <w:tc>
          <w:tcPr>
            <w:tcW w:type="pct" w:w="28%"/>
            <w:tcMar>
              <w:top w:type="dxa" w:w="120"/>
              <w:left w:type="dxa" w:w="160"/>
              <w:bottom w:type="dxa" w:w="120"/>
              <w:right w:type="dxa" w:w="160"/>
            </w:tcMar>
          </w:tcPr>
          <w:p>
            <w:pPr>
              <w:spacing w:after="40"/>
              <w:jc w:val="center"/>
            </w:pPr>
            <w:r>
              <w:rPr>
                <w:rFonts w:ascii="Calibri" w:cs="Calibri" w:eastAsia="Calibri" w:hAnsi="Calibri"/>
                <w:b w:val="false"/>
                <w:bCs w:val="false"/>
                <w:color w:val="1F2937"/>
                <w:sz w:val="20"/>
                <w:szCs w:val="20"/>
              </w:rPr>
              <w:t xml:space="preserve">~7,00 m (mái bằng +6,97)</w:t>
            </w:r>
          </w:p>
        </w:tc>
        <w:tc>
          <w:tcPr>
            <w:tcW w:type="pct" w:w="28%"/>
            <w:tcMar>
              <w:top w:type="dxa" w:w="120"/>
              <w:left w:type="dxa" w:w="160"/>
              <w:bottom w:type="dxa" w:w="120"/>
              <w:right w:type="dxa" w:w="160"/>
            </w:tcMar>
          </w:tcPr>
          <w:p>
            <w:pPr>
              <w:spacing w:after="40"/>
              <w:jc w:val="center"/>
            </w:pPr>
            <w:r>
              <w:rPr>
                <w:rFonts w:ascii="Calibri" w:cs="Calibri" w:eastAsia="Calibri" w:hAnsi="Calibri"/>
                <w:b w:val="false"/>
                <w:bCs w:val="false"/>
                <w:color w:val="1F2937"/>
                <w:sz w:val="20"/>
                <w:szCs w:val="20"/>
              </w:rPr>
              <w:t xml:space="preserve">≤9,00 m (mái heng, tuân thủ)</w:t>
            </w:r>
          </w:p>
        </w:tc>
        <w:tc>
          <w:tcPr>
            <w:tcW w:type="pct" w:w="16%"/>
            <w:tcMar>
              <w:top w:type="dxa" w:w="120"/>
              <w:left w:type="dxa" w:w="160"/>
              <w:bottom w:type="dxa" w:w="120"/>
              <w:right w:type="dxa" w:w="160"/>
            </w:tcMar>
          </w:tcPr>
          <w:p>
            <w:pPr>
              <w:spacing w:after="40"/>
              <w:jc w:val="center"/>
            </w:pPr>
            <w:r>
              <w:rPr>
                <w:rFonts w:ascii="Calibri" w:cs="Calibri" w:eastAsia="Calibri" w:hAnsi="Calibri"/>
                <w:b w:val="false"/>
                <w:bCs w:val="false"/>
                <w:color w:val="1F2937"/>
                <w:sz w:val="20"/>
                <w:szCs w:val="20"/>
              </w:rPr>
              <w:t xml:space="preserve">trong phong bì</w:t>
            </w:r>
          </w:p>
        </w:tc>
      </w:tr>
      <w:tr>
        <w:tc>
          <w:tcPr>
            <w:tcW w:type="pct" w:w="28%"/>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Phòng ngủ</w:t>
            </w:r>
          </w:p>
        </w:tc>
        <w:tc>
          <w:tcPr>
            <w:tcW w:type="pct" w:w="28%"/>
            <w:shd w:fill="FAF7F2" w:color="auto" w:val="clear"/>
            <w:tcMar>
              <w:top w:type="dxa" w:w="120"/>
              <w:left w:type="dxa" w:w="160"/>
              <w:bottom w:type="dxa" w:w="120"/>
              <w:right w:type="dxa" w:w="160"/>
            </w:tcMar>
          </w:tcPr>
          <w:p>
            <w:pPr>
              <w:spacing w:after="40"/>
              <w:jc w:val="center"/>
            </w:pPr>
            <w:r>
              <w:rPr>
                <w:rFonts w:ascii="Calibri" w:cs="Calibri" w:eastAsia="Calibri" w:hAnsi="Calibri"/>
                <w:b w:val="false"/>
                <w:bCs w:val="false"/>
                <w:color w:val="1F2937"/>
                <w:sz w:val="20"/>
                <w:szCs w:val="20"/>
              </w:rPr>
              <w:t xml:space="preserve">4 phòng</w:t>
            </w:r>
          </w:p>
        </w:tc>
        <w:tc>
          <w:tcPr>
            <w:tcW w:type="pct" w:w="28%"/>
            <w:shd w:fill="FAF7F2" w:color="auto" w:val="clear"/>
            <w:tcMar>
              <w:top w:type="dxa" w:w="120"/>
              <w:left w:type="dxa" w:w="160"/>
              <w:bottom w:type="dxa" w:w="120"/>
              <w:right w:type="dxa" w:w="160"/>
            </w:tcMar>
          </w:tcPr>
          <w:p>
            <w:pPr>
              <w:spacing w:after="40"/>
              <w:jc w:val="center"/>
            </w:pPr>
            <w:r>
              <w:rPr>
                <w:rFonts w:ascii="Calibri" w:cs="Calibri" w:eastAsia="Calibri" w:hAnsi="Calibri"/>
                <w:b w:val="false"/>
                <w:bCs w:val="false"/>
                <w:color w:val="1F2937"/>
                <w:sz w:val="20"/>
                <w:szCs w:val="20"/>
              </w:rPr>
              <w:t xml:space="preserve">4 phòng + phòng học + phòng hầu</w:t>
            </w:r>
          </w:p>
        </w:tc>
        <w:tc>
          <w:tcPr>
            <w:tcW w:type="pct" w:w="16%"/>
            <w:shd w:fill="FAF7F2" w:color="auto" w:val="clear"/>
            <w:tcMar>
              <w:top w:type="dxa" w:w="120"/>
              <w:left w:type="dxa" w:w="160"/>
              <w:bottom w:type="dxa" w:w="120"/>
              <w:right w:type="dxa" w:w="160"/>
            </w:tcMar>
          </w:tcPr>
          <w:p>
            <w:pPr>
              <w:spacing w:after="40"/>
              <w:jc w:val="center"/>
            </w:pPr>
            <w:r>
              <w:rPr>
                <w:rFonts w:ascii="Calibri" w:cs="Calibri" w:eastAsia="Calibri" w:hAnsi="Calibri"/>
                <w:b w:val="false"/>
                <w:bCs w:val="false"/>
                <w:color w:val="1F2937"/>
                <w:sz w:val="20"/>
                <w:szCs w:val="20"/>
              </w:rPr>
              <w:t xml:space="preserve">nâng cấp chương trình</w:t>
            </w:r>
          </w:p>
        </w:tc>
      </w:tr>
      <w:tr>
        <w:tc>
          <w:tcPr>
            <w:tcW w:type="pct" w:w="28%"/>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Phong cách</w:t>
            </w:r>
          </w:p>
        </w:tc>
        <w:tc>
          <w:tcPr>
            <w:tcW w:type="pct" w:w="28%"/>
            <w:tcMar>
              <w:top w:type="dxa" w:w="120"/>
              <w:left w:type="dxa" w:w="160"/>
              <w:bottom w:type="dxa" w:w="120"/>
              <w:right w:type="dxa" w:w="160"/>
            </w:tcMar>
          </w:tcPr>
          <w:p>
            <w:pPr>
              <w:spacing w:after="40"/>
              <w:jc w:val="center"/>
            </w:pPr>
            <w:r>
              <w:rPr>
                <w:rFonts w:ascii="Calibri" w:cs="Calibri" w:eastAsia="Calibri" w:hAnsi="Calibri"/>
                <w:b w:val="false"/>
                <w:bCs w:val="false"/>
                <w:color w:val="1F2937"/>
                <w:sz w:val="20"/>
                <w:szCs w:val="20"/>
              </w:rPr>
              <w:t xml:space="preserve">Hiện đại đương đại</w:t>
            </w:r>
          </w:p>
        </w:tc>
        <w:tc>
          <w:tcPr>
            <w:tcW w:type="pct" w:w="28%"/>
            <w:tcMar>
              <w:top w:type="dxa" w:w="120"/>
              <w:left w:type="dxa" w:w="160"/>
              <w:bottom w:type="dxa" w:w="120"/>
              <w:right w:type="dxa" w:w="160"/>
            </w:tcMar>
          </w:tcPr>
          <w:p>
            <w:pPr>
              <w:spacing w:after="40"/>
              <w:jc w:val="center"/>
            </w:pPr>
            <w:r>
              <w:rPr>
                <w:rFonts w:ascii="Calibri" w:cs="Calibri" w:eastAsia="Calibri" w:hAnsi="Calibri"/>
                <w:b w:val="false"/>
                <w:bCs w:val="false"/>
                <w:color w:val="1F2937"/>
                <w:sz w:val="20"/>
                <w:szCs w:val="20"/>
              </w:rPr>
              <w:t xml:space="preserve">Thuộc địa-nhiệt đới (đối tác Capella)</w:t>
            </w:r>
          </w:p>
        </w:tc>
        <w:tc>
          <w:tcPr>
            <w:tcW w:type="pct" w:w="16%"/>
            <w:tcMar>
              <w:top w:type="dxa" w:w="120"/>
              <w:left w:type="dxa" w:w="160"/>
              <w:bottom w:type="dxa" w:w="120"/>
              <w:right w:type="dxa" w:w="160"/>
            </w:tcMar>
          </w:tcPr>
          <w:p>
            <w:pPr>
              <w:spacing w:after="40"/>
              <w:jc w:val="center"/>
            </w:pPr>
            <w:r>
              <w:rPr>
                <w:rFonts w:ascii="Calibri" w:cs="Calibri" w:eastAsia="Calibri" w:hAnsi="Calibri"/>
                <w:b w:val="false"/>
                <w:bCs w:val="false"/>
                <w:color w:val="1F2937"/>
                <w:sz w:val="20"/>
                <w:szCs w:val="20"/>
              </w:rPr>
              <w:t xml:space="preserve">lót lại</w:t>
            </w:r>
          </w:p>
        </w:tc>
      </w:tr>
    </w:tbl>
    <w:p>
      <w:pPr>
        <w:spacing w:after="160" w:before="0"/>
      </w:pPr>
      <w:r>
        <w:t xml:space="preserve"/>
      </w:r>
    </w:p>
    <w:p>
      <w:pPr>
        <w:spacing w:after="140" w:line="300"/>
        <w:jc w:val="both"/>
      </w:pPr>
      <w:r>
        <w:rPr>
          <w:rFonts w:ascii="Calibri" w:cs="Calibri" w:eastAsia="Calibri" w:hAnsi="Calibri"/>
          <w:b w:val="false"/>
          <w:bCs w:val="false"/>
          <w:i w:val="false"/>
          <w:iCs w:val="false"/>
          <w:color w:val="1F2937"/>
          <w:sz w:val="22"/>
          <w:szCs w:val="22"/>
        </w:rPr>
        <w:t xml:space="preserve">So với tiêu chuẩn Capella Sentosa Manor 434–436 m², biệt thự đề xuất lớn hơn khoảng 38%. Đây là kết quả trực tiếp của quyết định đã được xác nhận của người dùng 'Full match — L1 = GF footprint', và thỏa mãn bản tóm tắt để xây dựng đến diện tích tối đa được cho phép bởi phong bì 1/500 đã được phê duyệt.</w:t>
      </w:r>
    </w:p>
    <w:p>
      <w:r>
        <w:br w:type="page"/>
      </w:r>
    </w:p>
    <w:p>
      <w:pPr>
        <w:pStyle w:val="Heading1"/>
        <w:spacing w:after="160" w:before="360"/>
      </w:pPr>
      <w:r>
        <w:rPr>
          <w:rFonts w:ascii="Georgia" w:cs="Georgia" w:eastAsia="Georgia" w:hAnsi="Georgia"/>
          <w:b/>
          <w:bCs/>
          <w:color w:val="1F2937"/>
          <w:sz w:val="36"/>
          <w:szCs w:val="36"/>
        </w:rPr>
        <w:t xml:space="preserve">02 · Khu đất, Thủ tục phê duyệt và Ràng buộc</w:t>
      </w:r>
    </w:p>
    <w:p>
      <w:pPr>
        <w:pBdr>
          <w:bottom w:val="single" w:color="D6D3D1" w:sz="6" w:space="1"/>
        </w:pBdr>
        <w:spacing w:after="80" w:before="80"/>
      </w:pPr>
      <w:r>
        <w:t xml:space="preserve"/>
      </w:r>
    </w:p>
    <w:p>
      <w:pPr>
        <w:spacing w:after="140" w:line="300"/>
        <w:jc w:val="both"/>
      </w:pPr>
      <w:r>
        <w:rPr>
          <w:rFonts w:ascii="Calibri" w:cs="Calibri" w:eastAsia="Calibri" w:hAnsi="Calibri"/>
          <w:b w:val="false"/>
          <w:bCs w:val="false"/>
          <w:i w:val="false"/>
          <w:iCs w:val="false"/>
          <w:color w:val="1F2937"/>
          <w:sz w:val="22"/>
          <w:szCs w:val="22"/>
        </w:rPr>
        <w:t xml:space="preserve">Khu đất nằm trên mũi phía đông của đảo Tuần Châu, trên các thửa đất được bảo hiểm bởi Giấy chứng nhận Quyền sử dụng đất Bi 462036 (7.774 m²) và Bi 462037 (8.054 m²) — tổng cộng 15.828 m² tạo thành khu biệt thự Lâm Ngọc. Phân chia được phê duyệt (Quyết định 1112/2012, bản vẽ chính 1/500) dự kiến mười tám thửa đất biệt thự siêu cao cấp sắp xếp dọc theo cạnh phía nam (hướng ra vịnh), với tiếp cận dịch vụ từ phía bắc.</w:t>
      </w:r>
    </w:p>
    <w:p>
      <w:pPr>
        <w:pStyle w:val="Heading2"/>
        <w:spacing w:after="120" w:before="280"/>
      </w:pPr>
      <w:r>
        <w:rPr>
          <w:rFonts w:ascii="Georgia" w:cs="Georgia" w:eastAsia="Georgia" w:hAnsi="Georgia"/>
          <w:b/>
          <w:bCs/>
          <w:color w:val="B45309"/>
          <w:sz w:val="28"/>
          <w:szCs w:val="28"/>
        </w:rPr>
        <w:t xml:space="preserve">2.1 Phong bì pháp định</w:t>
      </w:r>
    </w:p>
    <w:tbl>
      <w:tblPr>
        <w:tblW w:type="pct" w:w="100%"/>
        <w:tblBorders>
          <w:top w:val="single" w:color="D6D3D1" w:sz="4"/>
          <w:left w:val="single" w:color="D6D3D1" w:sz="4"/>
          <w:bottom w:val="single" w:color="D6D3D1" w:sz="4"/>
          <w:right w:val="single" w:color="D6D3D1" w:sz="4"/>
          <w:insideH w:val="single" w:color="D6D3D1" w:sz="4"/>
          <w:insideV w:val="single" w:color="D6D3D1" w:sz="4"/>
        </w:tblBorders>
      </w:tblPr>
      <w:tblGrid>
        <w:gridCol w:w="3024"/>
        <w:gridCol w:w="3024"/>
        <w:gridCol w:w="3024"/>
      </w:tblGrid>
      <w:tr>
        <w:tc>
          <w:tcPr>
            <w:tcW w:type="pct" w:w="28%"/>
            <w:shd w:fill="1F2937" w:color="auto" w:val="clear"/>
            <w:tcMar>
              <w:top w:type="dxa" w:w="120"/>
              <w:left w:type="dxa" w:w="160"/>
              <w:bottom w:type="dxa" w:w="120"/>
              <w:right w:type="dxa" w:w="160"/>
            </w:tcMar>
          </w:tcPr>
          <w:p>
            <w:pPr>
              <w:spacing w:after="40"/>
              <w:jc w:val="left"/>
            </w:pPr>
            <w:r>
              <w:rPr>
                <w:rFonts w:ascii="Calibri" w:cs="Calibri" w:eastAsia="Calibri" w:hAnsi="Calibri"/>
                <w:b/>
                <w:bCs/>
                <w:color w:val="FFFFFF"/>
                <w:sz w:val="20"/>
                <w:szCs w:val="20"/>
              </w:rPr>
              <w:t xml:space="preserve">Thủ tục phê duyệt / Ràng buộc</w:t>
            </w:r>
          </w:p>
        </w:tc>
        <w:tc>
          <w:tcPr>
            <w:tcW w:type="pct" w:w="28%"/>
            <w:shd w:fill="1F2937" w:color="auto" w:val="clear"/>
            <w:tcMar>
              <w:top w:type="dxa" w:w="120"/>
              <w:left w:type="dxa" w:w="160"/>
              <w:bottom w:type="dxa" w:w="120"/>
              <w:right w:type="dxa" w:w="160"/>
            </w:tcMar>
          </w:tcPr>
          <w:p>
            <w:pPr>
              <w:spacing w:after="40"/>
              <w:jc w:val="left"/>
            </w:pPr>
            <w:r>
              <w:rPr>
                <w:rFonts w:ascii="Calibri" w:cs="Calibri" w:eastAsia="Calibri" w:hAnsi="Calibri"/>
                <w:b/>
                <w:bCs/>
                <w:color w:val="FFFFFF"/>
                <w:sz w:val="20"/>
                <w:szCs w:val="20"/>
              </w:rPr>
              <w:t xml:space="preserve">Căn cứ</w:t>
            </w:r>
          </w:p>
        </w:tc>
        <w:tc>
          <w:tcPr>
            <w:tcW w:type="pct" w:w="44%"/>
            <w:shd w:fill="1F2937" w:color="auto" w:val="clear"/>
            <w:tcMar>
              <w:top w:type="dxa" w:w="120"/>
              <w:left w:type="dxa" w:w="160"/>
              <w:bottom w:type="dxa" w:w="120"/>
              <w:right w:type="dxa" w:w="160"/>
            </w:tcMar>
          </w:tcPr>
          <w:p>
            <w:pPr>
              <w:spacing w:after="40"/>
              <w:jc w:val="left"/>
            </w:pPr>
            <w:r>
              <w:rPr>
                <w:rFonts w:ascii="Calibri" w:cs="Calibri" w:eastAsia="Calibri" w:hAnsi="Calibri"/>
                <w:b/>
                <w:bCs/>
                <w:color w:val="FFFFFF"/>
                <w:sz w:val="20"/>
                <w:szCs w:val="20"/>
              </w:rPr>
              <w:t xml:space="preserve">Tác động đến thiết kế</w:t>
            </w:r>
          </w:p>
        </w:tc>
      </w:tr>
      <w:tr>
        <w:tc>
          <w:tcPr>
            <w:tcW w:type="pct" w:w="28%"/>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Bản vẽ chính 1/500 — Lâm Ngọc</w:t>
            </w:r>
          </w:p>
        </w:tc>
        <w:tc>
          <w:tcPr>
            <w:tcW w:type="pct" w:w="28%"/>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QĐ 1112 · 11-05-2012</w:t>
            </w:r>
          </w:p>
        </w:tc>
        <w:tc>
          <w:tcPr>
            <w:tcW w:type="pct" w:w="44%"/>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Cố định thửa đất, khoảng lùi, trần 2–3 tầng</w:t>
            </w:r>
          </w:p>
        </w:tc>
      </w:tr>
      <w:tr>
        <w:tc>
          <w:tcPr>
            <w:tcW w:type="pct" w:w="28%"/>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Bản vẽ chính 1/2000 — Cảng Ngọc Châu</w:t>
            </w:r>
          </w:p>
        </w:tc>
        <w:tc>
          <w:tcPr>
            <w:tcW w:type="pct" w:w="28%"/>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QĐ 5222 · 12-12-2019</w:t>
            </w:r>
          </w:p>
        </w:tc>
        <w:tc>
          <w:tcPr>
            <w:tcW w:type="pct" w:w="44%"/>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Bối cảnh / căn chỉnh đường</w:t>
            </w:r>
          </w:p>
        </w:tc>
      </w:tr>
      <w:tr>
        <w:tc>
          <w:tcPr>
            <w:tcW w:type="pct" w:w="28%"/>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Giấy chứng nhận đầu tư (sửa đổi lần thứ 5)</w:t>
            </w:r>
          </w:p>
        </w:tc>
        <w:tc>
          <w:tcPr>
            <w:tcW w:type="pct" w:w="28%"/>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10-07-2025</w:t>
            </w:r>
          </w:p>
        </w:tc>
        <w:tc>
          <w:tcPr>
            <w:tcW w:type="pct" w:w="44%"/>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Dự án vẫn hiệu lực; không lo lắng về hết hạn</w:t>
            </w:r>
          </w:p>
        </w:tc>
      </w:tr>
      <w:tr>
        <w:tc>
          <w:tcPr>
            <w:tcW w:type="pct" w:w="28%"/>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Phân loại kinh doanh</w:t>
            </w:r>
          </w:p>
        </w:tc>
        <w:tc>
          <w:tcPr>
            <w:tcW w:type="pct" w:w="28%"/>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QCVN 06:2022/BXD — F1.2</w:t>
            </w:r>
          </w:p>
        </w:tc>
        <w:tc>
          <w:tcPr>
            <w:tcW w:type="pct" w:w="44%"/>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≤3 tầng nhà ở/lưu trú du lịch</w:t>
            </w:r>
          </w:p>
        </w:tc>
      </w:tr>
      <w:tr>
        <w:tc>
          <w:tcPr>
            <w:tcW w:type="pct" w:w="28%"/>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Vùng đệm UNESCO Hạ Long</w:t>
            </w:r>
          </w:p>
        </w:tc>
        <w:tc>
          <w:tcPr>
            <w:tcW w:type="pct" w:w="28%"/>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Vùng đệm 306 km²</w:t>
            </w:r>
          </w:p>
        </w:tc>
        <w:tc>
          <w:tcPr>
            <w:tcW w:type="pct" w:w="44%"/>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Thấp, màu sắc nhẹ, không lớp phủ phản xạ</w:t>
            </w:r>
          </w:p>
        </w:tc>
      </w:tr>
      <w:tr>
        <w:tc>
          <w:tcPr>
            <w:tcW w:type="pct" w:w="28%"/>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Cam kết môi trường</w:t>
            </w:r>
          </w:p>
        </w:tc>
        <w:tc>
          <w:tcPr>
            <w:tcW w:type="pct" w:w="28%"/>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§14 — DTM/CKBVMT được chấp nhận</w:t>
            </w:r>
          </w:p>
        </w:tc>
        <w:tc>
          <w:tcPr>
            <w:tcW w:type="pct" w:w="44%"/>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Không kích hoạt EIA nữa ở quy mô biệt thự</w:t>
            </w:r>
          </w:p>
        </w:tc>
      </w:tr>
      <w:tr>
        <w:tc>
          <w:tcPr>
            <w:tcW w:type="pct" w:w="28%"/>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Giấy phép xây dựng</w:t>
            </w:r>
          </w:p>
        </w:tc>
        <w:tc>
          <w:tcPr>
            <w:tcW w:type="pct" w:w="28%"/>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§13 — miễn (phê duyệt 1/500)</w:t>
            </w:r>
          </w:p>
        </w:tc>
        <w:tc>
          <w:tcPr>
            <w:tcW w:type="pct" w:w="44%"/>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Không cần GPXD; chỉ cần thông báo xây dựng</w:t>
            </w:r>
          </w:p>
        </w:tc>
      </w:tr>
    </w:tbl>
    <w:p>
      <w:pPr>
        <w:spacing w:after="160" w:before="0"/>
      </w:pPr>
      <w:r>
        <w:t xml:space="preserve"/>
      </w:r>
    </w:p>
    <w:p>
      <w:pPr>
        <w:pStyle w:val="Heading2"/>
        <w:spacing w:after="120" w:before="280"/>
      </w:pPr>
      <w:r>
        <w:rPr>
          <w:rFonts w:ascii="Georgia" w:cs="Georgia" w:eastAsia="Georgia" w:hAnsi="Georgia"/>
          <w:b/>
          <w:bCs/>
          <w:color w:val="B45309"/>
          <w:sz w:val="28"/>
          <w:szCs w:val="28"/>
        </w:rPr>
        <w:t xml:space="preserve">2.2 Danh mục rủi ro được thực hiện từ báo cáo thẩm định</w:t>
      </w:r>
    </w:p>
    <w:p>
      <w:pPr>
        <w:spacing w:after="140" w:line="300"/>
        <w:jc w:val="both"/>
      </w:pPr>
      <w:r>
        <w:rPr>
          <w:rFonts w:ascii="Calibri" w:cs="Calibri" w:eastAsia="Calibri" w:hAnsi="Calibri"/>
          <w:b w:val="false"/>
          <w:bCs w:val="false"/>
          <w:i w:val="false"/>
          <w:iCs w:val="false"/>
          <w:color w:val="1F2937"/>
          <w:sz w:val="22"/>
          <w:szCs w:val="22"/>
        </w:rPr>
        <w:t xml:space="preserve">Báo cáo thẩm định do diligence của Jen Tuan Chau (báo cáo thẩm định, 2025) xếp loại dự án RỦI RO TRUNG BÌNH-CAO trên cơ sở 1R+3Y+2G. Thiết kế không được làm xấu đi bất kỳ cờ nào:</w:t>
      </w:r>
    </w:p>
    <w:p>
      <w:pPr>
        <w:pStyle w:val="ListParagraph"/>
        <w:numPr>
          <w:ilvl w:val="0"/>
          <w:numId w:val="2"/>
        </w:numPr>
        <w:spacing w:after="60"/>
      </w:pPr>
      <w:r>
        <w:rPr>
          <w:rFonts w:ascii="Calibri" w:cs="Calibri" w:eastAsia="Calibri" w:hAnsi="Calibri"/>
          <w:b/>
          <w:bCs/>
          <w:i w:val="false"/>
          <w:iCs w:val="false"/>
          <w:color w:val="1F2937"/>
          <w:sz w:val="22"/>
          <w:szCs w:val="22"/>
        </w:rPr>
        <w:t xml:space="preserve">Vùng đệm UNESCO </w:t>
      </w:r>
      <w:r>
        <w:rPr>
          <w:rFonts w:ascii="Calibri" w:cs="Calibri" w:eastAsia="Calibri" w:hAnsi="Calibri"/>
          <w:b w:val="false"/>
          <w:bCs w:val="false"/>
          <w:i w:val="false"/>
          <w:iCs w:val="false"/>
          <w:color w:val="1F2937"/>
          <w:sz w:val="22"/>
          <w:szCs w:val="22"/>
        </w:rPr>
        <w:t xml:space="preserve">(🔴 đỏ) — giữ đỉnh mái thấp (≤9 m), bảng màu nhẹ, mái ngói đất nung phù hợp với di sản đồng màu của Capella để biệt thự đọc là cảnh quan, không là đường chân trời.</w:t>
      </w:r>
    </w:p>
    <w:p>
      <w:pPr>
        <w:pStyle w:val="ListParagraph"/>
        <w:numPr>
          <w:ilvl w:val="0"/>
          <w:numId w:val="2"/>
        </w:numPr>
        <w:spacing w:after="60"/>
      </w:pPr>
      <w:r>
        <w:rPr>
          <w:rFonts w:ascii="Calibri" w:cs="Calibri" w:eastAsia="Calibri" w:hAnsi="Calibri"/>
          <w:b/>
          <w:bCs/>
          <w:i w:val="false"/>
          <w:iCs w:val="false"/>
          <w:color w:val="1F2937"/>
          <w:sz w:val="22"/>
          <w:szCs w:val="22"/>
        </w:rPr>
        <w:t xml:space="preserve">Lệ phí sử dụng đất &amp; CCC </w:t>
      </w:r>
      <w:r>
        <w:rPr>
          <w:rFonts w:ascii="Calibri" w:cs="Calibri" w:eastAsia="Calibri" w:hAnsi="Calibri"/>
          <w:b w:val="false"/>
          <w:bCs w:val="false"/>
          <w:i w:val="false"/>
          <w:iCs w:val="false"/>
          <w:color w:val="1F2937"/>
          <w:sz w:val="22"/>
          <w:szCs w:val="22"/>
        </w:rPr>
        <w:t xml:space="preserve">(🟡 vàng) — thiết kế giữ GFA bên trong phong bì 1/500 đã được phê duyệt; không cần phân vùng lại.</w:t>
      </w:r>
    </w:p>
    <w:p>
      <w:pPr>
        <w:pStyle w:val="ListParagraph"/>
        <w:numPr>
          <w:ilvl w:val="0"/>
          <w:numId w:val="2"/>
        </w:numPr>
        <w:spacing w:after="60"/>
      </w:pPr>
      <w:r>
        <w:rPr>
          <w:rFonts w:ascii="Calibri" w:cs="Calibri" w:eastAsia="Calibri" w:hAnsi="Calibri"/>
          <w:b/>
          <w:bCs/>
          <w:i w:val="false"/>
          <w:iCs w:val="false"/>
          <w:color w:val="1F2937"/>
          <w:sz w:val="22"/>
          <w:szCs w:val="22"/>
        </w:rPr>
        <w:t xml:space="preserve">Quản trị JVA </w:t>
      </w:r>
      <w:r>
        <w:rPr>
          <w:rFonts w:ascii="Calibri" w:cs="Calibri" w:eastAsia="Calibri" w:hAnsi="Calibri"/>
          <w:b w:val="false"/>
          <w:bCs w:val="false"/>
          <w:i w:val="false"/>
          <w:iCs w:val="false"/>
          <w:color w:val="1F2937"/>
          <w:sz w:val="22"/>
          <w:szCs w:val="22"/>
        </w:rPr>
        <w:t xml:space="preserve">(🟡 vàng) — sản phẩm bàn giao là trung lập về phong cách đối với phân tách Jen Cap × Đào Ngọc; có thể được xây dựng bởi bất kỳ bên nào.</w:t>
      </w:r>
    </w:p>
    <w:p>
      <w:pPr>
        <w:pStyle w:val="ListParagraph"/>
        <w:numPr>
          <w:ilvl w:val="0"/>
          <w:numId w:val="2"/>
        </w:numPr>
        <w:spacing w:after="60"/>
      </w:pPr>
      <w:r>
        <w:rPr>
          <w:rFonts w:ascii="Calibri" w:cs="Calibri" w:eastAsia="Calibri" w:hAnsi="Calibri"/>
          <w:b/>
          <w:bCs/>
          <w:i w:val="false"/>
          <w:iCs w:val="false"/>
          <w:color w:val="1F2937"/>
          <w:sz w:val="22"/>
          <w:szCs w:val="22"/>
        </w:rPr>
        <w:t xml:space="preserve">Lịch sử xây dựng </w:t>
      </w:r>
      <w:r>
        <w:rPr>
          <w:rFonts w:ascii="Calibri" w:cs="Calibri" w:eastAsia="Calibri" w:hAnsi="Calibri"/>
          <w:b w:val="false"/>
          <w:bCs w:val="false"/>
          <w:i w:val="false"/>
          <w:iCs w:val="false"/>
          <w:color w:val="1F2937"/>
          <w:sz w:val="22"/>
          <w:szCs w:val="22"/>
        </w:rPr>
        <w:t xml:space="preserve">(🟡 vàng) — hoàn công PHG ngày 19-06-2015; công trình mới được coi là tu sửa + mở rộng L1, không phải xây dựng từ đầu.</w:t>
      </w:r>
    </w:p>
    <w:p>
      <w:pPr>
        <w:pStyle w:val="ListParagraph"/>
        <w:numPr>
          <w:ilvl w:val="0"/>
          <w:numId w:val="2"/>
        </w:numPr>
        <w:spacing w:after="60"/>
      </w:pPr>
      <w:r>
        <w:rPr>
          <w:rFonts w:ascii="Calibri" w:cs="Calibri" w:eastAsia="Calibri" w:hAnsi="Calibri"/>
          <w:b/>
          <w:bCs/>
          <w:i w:val="false"/>
          <w:iCs w:val="false"/>
          <w:color w:val="1F2937"/>
          <w:sz w:val="22"/>
          <w:szCs w:val="22"/>
        </w:rPr>
        <w:t xml:space="preserve">Rõ ràng LURC </w:t>
      </w:r>
      <w:r>
        <w:rPr>
          <w:rFonts w:ascii="Calibri" w:cs="Calibri" w:eastAsia="Calibri" w:hAnsi="Calibri"/>
          <w:b w:val="false"/>
          <w:bCs w:val="false"/>
          <w:i w:val="false"/>
          <w:iCs w:val="false"/>
          <w:color w:val="1F2937"/>
          <w:sz w:val="22"/>
          <w:szCs w:val="22"/>
        </w:rPr>
        <w:t xml:space="preserve">(🟢 xanh) — Bi 462036 + Bi 462037 được bảo tồn.</w:t>
      </w:r>
    </w:p>
    <w:p>
      <w:pPr>
        <w:pStyle w:val="ListParagraph"/>
        <w:numPr>
          <w:ilvl w:val="0"/>
          <w:numId w:val="2"/>
        </w:numPr>
        <w:spacing w:after="60"/>
      </w:pPr>
      <w:r>
        <w:rPr>
          <w:rFonts w:ascii="Calibri" w:cs="Calibri" w:eastAsia="Calibri" w:hAnsi="Calibri"/>
          <w:b/>
          <w:bCs/>
          <w:i w:val="false"/>
          <w:iCs w:val="false"/>
          <w:color w:val="1F2937"/>
          <w:sz w:val="22"/>
          <w:szCs w:val="22"/>
        </w:rPr>
        <w:t xml:space="preserve">Hồ sơ tài chính </w:t>
      </w:r>
      <w:r>
        <w:rPr>
          <w:rFonts w:ascii="Calibri" w:cs="Calibri" w:eastAsia="Calibri" w:hAnsi="Calibri"/>
          <w:b w:val="false"/>
          <w:bCs w:val="false"/>
          <w:i w:val="false"/>
          <w:iCs w:val="false"/>
          <w:color w:val="1F2937"/>
          <w:sz w:val="22"/>
          <w:szCs w:val="22"/>
        </w:rPr>
        <w:t xml:space="preserve">(🟢 xanh) — sáu năm hồ sơ tài chính đã kiểm toán hỗ trợ trường hợp capex.</w:t>
      </w:r>
    </w:p>
    <w:p>
      <w:r>
        <w:br w:type="page"/>
      </w:r>
    </w:p>
    <w:p>
      <w:pPr>
        <w:pStyle w:val="Heading1"/>
        <w:spacing w:after="160" w:before="360"/>
      </w:pPr>
      <w:r>
        <w:rPr>
          <w:rFonts w:ascii="Georgia" w:cs="Georgia" w:eastAsia="Georgia" w:hAnsi="Georgia"/>
          <w:b/>
          <w:bCs/>
          <w:color w:val="1F2937"/>
          <w:sz w:val="36"/>
          <w:szCs w:val="36"/>
        </w:rPr>
        <w:t xml:space="preserve">03 · Tiền lệ — Capella Sentosa Manors</w:t>
      </w:r>
    </w:p>
    <w:p>
      <w:pPr>
        <w:pBdr>
          <w:bottom w:val="single" w:color="D6D3D1" w:sz="6" w:space="1"/>
        </w:pBdr>
        <w:spacing w:after="80" w:before="80"/>
      </w:pPr>
      <w:r>
        <w:t xml:space="preserve"/>
      </w:r>
    </w:p>
    <w:p>
      <w:pPr>
        <w:spacing w:after="140" w:line="300"/>
        <w:jc w:val="both"/>
      </w:pPr>
      <w:r>
        <w:rPr>
          <w:rFonts w:ascii="Calibri" w:cs="Calibri" w:eastAsia="Calibri" w:hAnsi="Calibri"/>
          <w:b w:val="false"/>
          <w:bCs w:val="false"/>
          <w:i w:val="false"/>
          <w:iCs w:val="false"/>
          <w:color w:val="1F2937"/>
          <w:sz w:val="22"/>
          <w:szCs w:val="22"/>
        </w:rPr>
        <w:t xml:space="preserve">Capella Singapore chiếm hai ngôi nhà thuộc địa được phục hồi năm 1880 'trắng-đen' trên Sentosa, được bao bọc bởi một cánh khách sạn thấp mới được thiết kế bởi Foster + Partners (phục hồi hoàn thành 2009; nội thất bởi Matthew Shang Design Office cho làm mới 2023). Ba Sentosa Manors là ba phòng ngủ, 434–436 m² biệt thự tư nhân được đặt bên trong cảnh quan của khách sạn, mỗi cái có hồ bơi riêng, vườn và kiến trúc thuộc địa đồn điền — mái heng quá hang sâu, tường sơn trắng, cửa chớp gỗ teak đen, hành lang có mái bao quanh, tông mài từ đồng sang đất nung, và bảng màu nội thất xám ốm/trắng/đồng được nhấn mạnh bởi cây trồng nhiệt đới.</w:t>
      </w:r>
    </w:p>
    <w:p>
      <w:pPr>
        <w:pStyle w:val="Heading2"/>
        <w:spacing w:after="120" w:before="280"/>
      </w:pPr>
      <w:r>
        <w:rPr>
          <w:rFonts w:ascii="Georgia" w:cs="Georgia" w:eastAsia="Georgia" w:hAnsi="Georgia"/>
          <w:b/>
          <w:bCs/>
          <w:color w:val="B45309"/>
          <w:sz w:val="28"/>
          <w:szCs w:val="28"/>
        </w:rPr>
        <w:t xml:space="preserve">3.1 Ngôn ngữ thiết kế chuyển giao đến Jen Tuan Chau</w:t>
      </w:r>
    </w:p>
    <w:tbl>
      <w:tblPr>
        <w:tblW w:type="pct" w:w="100%"/>
        <w:tblBorders>
          <w:top w:val="single" w:color="D6D3D1" w:sz="4"/>
          <w:left w:val="single" w:color="D6D3D1" w:sz="4"/>
          <w:bottom w:val="single" w:color="D6D3D1" w:sz="4"/>
          <w:right w:val="single" w:color="D6D3D1" w:sz="4"/>
          <w:insideH w:val="single" w:color="D6D3D1" w:sz="4"/>
          <w:insideV w:val="single" w:color="D6D3D1" w:sz="4"/>
        </w:tblBorders>
      </w:tblPr>
      <w:tblGrid>
        <w:gridCol w:w="4536"/>
        <w:gridCol w:w="4536"/>
      </w:tblGrid>
      <w:tr>
        <w:tc>
          <w:tcPr>
            <w:tcW w:type="pct" w:w="45%"/>
            <w:shd w:fill="1F2937" w:color="auto" w:val="clear"/>
            <w:tcMar>
              <w:top w:type="dxa" w:w="120"/>
              <w:left w:type="dxa" w:w="160"/>
              <w:bottom w:type="dxa" w:w="120"/>
              <w:right w:type="dxa" w:w="160"/>
            </w:tcMar>
          </w:tcPr>
          <w:p>
            <w:pPr>
              <w:spacing w:after="40"/>
              <w:jc w:val="left"/>
            </w:pPr>
            <w:r>
              <w:rPr>
                <w:rFonts w:ascii="Calibri" w:cs="Calibri" w:eastAsia="Calibri" w:hAnsi="Calibri"/>
                <w:b/>
                <w:bCs/>
                <w:color w:val="FFFFFF"/>
                <w:sz w:val="20"/>
                <w:szCs w:val="20"/>
              </w:rPr>
              <w:t xml:space="preserve">Thuộc tính Capella Sentosa Manor</w:t>
            </w:r>
          </w:p>
        </w:tc>
        <w:tc>
          <w:tcPr>
            <w:tcW w:type="pct" w:w="55%"/>
            <w:shd w:fill="1F2937" w:color="auto" w:val="clear"/>
            <w:tcMar>
              <w:top w:type="dxa" w:w="120"/>
              <w:left w:type="dxa" w:w="160"/>
              <w:bottom w:type="dxa" w:w="120"/>
              <w:right w:type="dxa" w:w="160"/>
            </w:tcMar>
          </w:tcPr>
          <w:p>
            <w:pPr>
              <w:spacing w:after="40"/>
              <w:jc w:val="left"/>
            </w:pPr>
            <w:r>
              <w:rPr>
                <w:rFonts w:ascii="Calibri" w:cs="Calibri" w:eastAsia="Calibri" w:hAnsi="Calibri"/>
                <w:b/>
                <w:bCs/>
                <w:color w:val="FFFFFF"/>
                <w:sz w:val="20"/>
                <w:szCs w:val="20"/>
              </w:rPr>
              <w:t xml:space="preserve">Ứng dụng tại Jen Tuan Chau</w:t>
            </w:r>
          </w:p>
        </w:tc>
      </w:tr>
      <w:tr>
        <w:tc>
          <w:tcPr>
            <w:tcW w:type="pct" w:w="45%"/>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Hình bóng một/hai tầng thấp</w:t>
            </w:r>
          </w:p>
        </w:tc>
        <w:tc>
          <w:tcPr>
            <w:tcW w:type="pct" w:w="55%"/>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Giữ đỉnh ~7–9 m; hai tầng với mái heng trên đường nét mái bằng</w:t>
            </w:r>
          </w:p>
        </w:tc>
      </w:tr>
      <w:tr>
        <w:tc>
          <w:tcPr>
            <w:tcW w:type="pct" w:w="45%"/>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Tường sơn trắng, cửa chớp gỗ teak đen</w:t>
            </w:r>
          </w:p>
        </w:tc>
        <w:tc>
          <w:tcPr>
            <w:tcW w:type="pct" w:w="55%"/>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Thay thế lớp ốp đá STW2 trên tầng trên bằng sơn vôi trang trí; rèm tre SDET-075 trở thành cửa chớp lam teak</w:t>
            </w:r>
          </w:p>
        </w:tc>
      </w:tr>
      <w:tr>
        <w:tc>
          <w:tcPr>
            <w:tcW w:type="pct" w:w="45%"/>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Mái ngói đồng / đất nung heng</w:t>
            </w:r>
          </w:p>
        </w:tc>
        <w:tc>
          <w:tcPr>
            <w:tcW w:type="pct" w:w="55%"/>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Giới thiệu mái ngói đất nung heng trên mái bằng ArAD hiện có; rãnh đồng + đỉnh</w:t>
            </w:r>
          </w:p>
        </w:tc>
      </w:tr>
      <w:tr>
        <w:tc>
          <w:tcPr>
            <w:tcW w:type="pct" w:w="45%"/>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Hành lang có mái sâu bao bọc hướng vịnh</w:t>
            </w:r>
          </w:p>
        </w:tc>
        <w:tc>
          <w:tcPr>
            <w:tcW w:type="pct" w:w="55%"/>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Hành lang có mái quá hang 2,4 m dọc theo mặt đứng phía nam (hướng vịnh) và tây trên cả tầng trệt và tầng 1</w:t>
            </w:r>
          </w:p>
        </w:tc>
      </w:tr>
      <w:tr>
        <w:tc>
          <w:tcPr>
            <w:tcW w:type="pct" w:w="45%"/>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Đối xứng thuộc địa quanh sảnh trung tâm</w:t>
            </w:r>
          </w:p>
        </w:tc>
        <w:tc>
          <w:tcPr>
            <w:tcW w:type="pct" w:w="55%"/>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Giữ đường thẳng hiện có C là trục trung tâm; phản chiếu mặt bằng quanh nó</w:t>
            </w:r>
          </w:p>
        </w:tc>
      </w:tr>
      <w:tr>
        <w:tc>
          <w:tcPr>
            <w:tcW w:type="pct" w:w="45%"/>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Bảng màu nội thất trung lập ốm/xám/đồng</w:t>
            </w:r>
          </w:p>
        </w:tc>
        <w:tc>
          <w:tcPr>
            <w:tcW w:type="pct" w:w="55%"/>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Thay thế bảng màu đương đại của SEA Type 2 bằng tường sơn vôi thô ốm ấm, sàn ngói teak xương cá, bảng tấm raffia dệt, phần cứng đồng cũ, vải lanh bọc phong cách lúa mì và mực, các nghệ thuật và vải dệt có nguồn gốc từ truyền thống thủ công Hạ Long / Đông Hồ</w:t>
            </w:r>
          </w:p>
        </w:tc>
      </w:tr>
      <w:tr>
        <w:tc>
          <w:tcPr>
            <w:tcW w:type="pct" w:w="45%"/>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Cây trồng bộ xương rau quả (frangipani, heliconia)</w:t>
            </w:r>
          </w:p>
        </w:tc>
        <w:tc>
          <w:tcPr>
            <w:tcW w:type="pct" w:w="55%"/>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Cây trồng tiền cảnh trên sân hồ bơi; frangipani trưởng thành ôm chặt sân vào</w:t>
            </w:r>
          </w:p>
        </w:tc>
      </w:tr>
      <w:tr>
        <w:tc>
          <w:tcPr>
            <w:tcW w:type="pct" w:w="45%"/>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Hồ bơi tư nhân, sân khấu ngoài trời, BBQ</w:t>
            </w:r>
          </w:p>
        </w:tc>
        <w:tc>
          <w:tcPr>
            <w:tcW w:type="pct" w:w="55%"/>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Giữ hồ bơi hiện có; thêm sân khấu phòng trên thảo nguyên phía đông</w:t>
            </w:r>
          </w:p>
        </w:tc>
      </w:tr>
    </w:tbl>
    <w:p>
      <w:pPr>
        <w:spacing w:after="160" w:before="0"/>
      </w:pPr>
      <w:r>
        <w:t xml:space="preserve"/>
      </w:r>
    </w:p>
    <w:p>
      <w:pPr>
        <w:spacing w:after="140" w:line="300"/>
        <w:jc w:val="both"/>
      </w:pPr>
      <w:r>
        <w:rPr>
          <w:rFonts w:ascii="Calibri" w:cs="Calibri" w:eastAsia="Calibri" w:hAnsi="Calibri"/>
          <w:b w:val="false"/>
          <w:bCs w:val="false"/>
          <w:i w:val="false"/>
          <w:iCs w:val="false"/>
          <w:color w:val="1F2937"/>
          <w:sz w:val="22"/>
          <w:szCs w:val="22"/>
        </w:rPr>
        <w:t xml:space="preserve">Mục tiêu không phải là cầu kỳ. Quyền lực của Capella đến từ tính trung thực của kế hoạch phòng — một sống lưng trung tâm dày có hành lang trên cả hai cạnh dài, phòng thông gió chéo, trần cao và mái làm công việc th美学. Kế hoạch Caye Sereno hiện có đã có xương đúng (khối chính tuyến tính với cánh dịch vụ phụ); lót lại da và mái heng là đủ để mang tham chiếu thuyết phục.</w:t>
      </w:r>
    </w:p>
    <w:p>
      <w:r>
        <w:br w:type="page"/>
      </w:r>
    </w:p>
    <w:p>
      <w:pPr>
        <w:pStyle w:val="Heading1"/>
        <w:spacing w:after="160" w:before="360"/>
      </w:pPr>
      <w:r>
        <w:rPr>
          <w:rFonts w:ascii="Georgia" w:cs="Georgia" w:eastAsia="Georgia" w:hAnsi="Georgia"/>
          <w:b/>
          <w:bCs/>
          <w:color w:val="1F2937"/>
          <w:sz w:val="36"/>
          <w:szCs w:val="36"/>
        </w:rPr>
        <w:t xml:space="preserve">04 · Bản vẽ cơ sở — Caye Sereno SEA Type 2</w:t>
      </w:r>
    </w:p>
    <w:p>
      <w:pPr>
        <w:pBdr>
          <w:bottom w:val="single" w:color="D6D3D1" w:sz="6" w:space="1"/>
        </w:pBdr>
        <w:spacing w:after="80" w:before="80"/>
      </w:pPr>
      <w:r>
        <w:t xml:space="preserve"/>
      </w:r>
    </w:p>
    <w:p>
      <w:pPr>
        <w:spacing w:after="140" w:line="300"/>
        <w:jc w:val="both"/>
      </w:pPr>
      <w:r>
        <w:rPr>
          <w:rFonts w:ascii="Calibri" w:cs="Calibri" w:eastAsia="Calibri" w:hAnsi="Calibri"/>
          <w:b w:val="false"/>
          <w:bCs w:val="false"/>
          <w:i w:val="false"/>
          <w:iCs w:val="false"/>
          <w:color w:val="1F2937"/>
          <w:sz w:val="22"/>
          <w:szCs w:val="22"/>
        </w:rPr>
        <w:t xml:space="preserve">Gói hoàn công bởi Transform Architecture (bộ tờ ArAD, tháng 6 năm 2015, thực hiện bởi Phú Hưng Gia) cung cấp bố trí, lưới cấu trúc và thư viện hoàn thiện mà khái niệm tái sử dụng. Kích thước được bảo tồn chính xác; chỉ phong bì, mái và mức L1 được sửa đổi.</w:t>
      </w:r>
    </w:p>
    <w:p>
      <w:pPr>
        <w:pStyle w:val="Heading2"/>
        <w:spacing w:after="120" w:before="280"/>
      </w:pPr>
      <w:r>
        <w:rPr>
          <w:rFonts w:ascii="Georgia" w:cs="Georgia" w:eastAsia="Georgia" w:hAnsi="Georgia"/>
          <w:b/>
          <w:bCs/>
          <w:color w:val="B45309"/>
          <w:sz w:val="28"/>
          <w:szCs w:val="28"/>
        </w:rPr>
        <w:t xml:space="preserve">4.1 Kho tàng kích thước</w:t>
      </w:r>
    </w:p>
    <w:tbl>
      <w:tblPr>
        <w:tblW w:type="pct" w:w="100%"/>
        <w:tblBorders>
          <w:top w:val="single" w:color="D6D3D1" w:sz="4"/>
          <w:left w:val="single" w:color="D6D3D1" w:sz="4"/>
          <w:bottom w:val="single" w:color="D6D3D1" w:sz="4"/>
          <w:right w:val="single" w:color="D6D3D1" w:sz="4"/>
          <w:insideH w:val="single" w:color="D6D3D1" w:sz="4"/>
          <w:insideV w:val="single" w:color="D6D3D1" w:sz="4"/>
        </w:tblBorders>
      </w:tblPr>
      <w:tblGrid>
        <w:gridCol w:w="3024"/>
        <w:gridCol w:w="3024"/>
        <w:gridCol w:w="3024"/>
      </w:tblGrid>
      <w:tr>
        <w:tc>
          <w:tcPr>
            <w:tcW w:type="pct" w:w="32%"/>
            <w:shd w:fill="1F2937" w:color="auto" w:val="clear"/>
            <w:tcMar>
              <w:top w:type="dxa" w:w="120"/>
              <w:left w:type="dxa" w:w="160"/>
              <w:bottom w:type="dxa" w:w="120"/>
              <w:right w:type="dxa" w:w="160"/>
            </w:tcMar>
          </w:tcPr>
          <w:p>
            <w:pPr>
              <w:spacing w:after="40"/>
              <w:jc w:val="left"/>
            </w:pPr>
            <w:r>
              <w:rPr>
                <w:rFonts w:ascii="Calibri" w:cs="Calibri" w:eastAsia="Calibri" w:hAnsi="Calibri"/>
                <w:b/>
                <w:bCs/>
                <w:color w:val="FFFFFF"/>
                <w:sz w:val="20"/>
                <w:szCs w:val="20"/>
              </w:rPr>
              <w:t xml:space="preserve">Tham số</w:t>
            </w:r>
          </w:p>
        </w:tc>
        <w:tc>
          <w:tcPr>
            <w:tcW w:type="pct" w:w="44%"/>
            <w:shd w:fill="1F2937" w:color="auto" w:val="clear"/>
            <w:tcMar>
              <w:top w:type="dxa" w:w="120"/>
              <w:left w:type="dxa" w:w="160"/>
              <w:bottom w:type="dxa" w:w="120"/>
              <w:right w:type="dxa" w:w="160"/>
            </w:tcMar>
          </w:tcPr>
          <w:p>
            <w:pPr>
              <w:spacing w:after="40"/>
              <w:jc w:val="left"/>
            </w:pPr>
            <w:r>
              <w:rPr>
                <w:rFonts w:ascii="Calibri" w:cs="Calibri" w:eastAsia="Calibri" w:hAnsi="Calibri"/>
                <w:b/>
                <w:bCs/>
                <w:color w:val="FFFFFF"/>
                <w:sz w:val="20"/>
                <w:szCs w:val="20"/>
              </w:rPr>
              <w:t xml:space="preserve">Giá trị</w:t>
            </w:r>
          </w:p>
        </w:tc>
        <w:tc>
          <w:tcPr>
            <w:tcW w:type="pct" w:w="24%"/>
            <w:shd w:fill="1F2937" w:color="auto" w:val="clear"/>
            <w:tcMar>
              <w:top w:type="dxa" w:w="120"/>
              <w:left w:type="dxa" w:w="160"/>
              <w:bottom w:type="dxa" w:w="120"/>
              <w:right w:type="dxa" w:w="160"/>
            </w:tcMar>
          </w:tcPr>
          <w:p>
            <w:pPr>
              <w:spacing w:after="40"/>
              <w:jc w:val="left"/>
            </w:pPr>
            <w:r>
              <w:rPr>
                <w:rFonts w:ascii="Calibri" w:cs="Calibri" w:eastAsia="Calibri" w:hAnsi="Calibri"/>
                <w:b/>
                <w:bCs/>
                <w:color w:val="FFFFFF"/>
                <w:sz w:val="20"/>
                <w:szCs w:val="20"/>
              </w:rPr>
              <w:t xml:space="preserve">Bảng tính nguồn</w:t>
            </w:r>
          </w:p>
        </w:tc>
      </w:tr>
      <w:tr>
        <w:tc>
          <w:tcPr>
            <w:tcW w:type="pct" w:w="32%"/>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Lưới trục dài</w:t>
            </w:r>
          </w:p>
        </w:tc>
        <w:tc>
          <w:tcPr>
            <w:tcW w:type="pct" w:w="44%"/>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3.850 + 5.500 + 5.500 + 7.150 + 6.050 = 28.050 mm</w:t>
            </w:r>
          </w:p>
        </w:tc>
        <w:tc>
          <w:tcPr>
            <w:tcW w:type="pct" w:w="24%"/>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PLN-012</w:t>
            </w:r>
          </w:p>
        </w:tc>
      </w:tr>
      <w:tr>
        <w:tc>
          <w:tcPr>
            <w:tcW w:type="pct" w:w="32%"/>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Độ sâu thửa đất</w:t>
            </w:r>
          </w:p>
        </w:tc>
        <w:tc>
          <w:tcPr>
            <w:tcW w:type="pct" w:w="44%"/>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11.550 mm (vịnh phòng khách); 14.350 mm (cánh phòng ăn)</w:t>
            </w:r>
          </w:p>
        </w:tc>
        <w:tc>
          <w:tcPr>
            <w:tcW w:type="pct" w:w="24%"/>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PLN-012 / PLN-013</w:t>
            </w:r>
          </w:p>
        </w:tc>
      </w:tr>
      <w:tr>
        <w:tc>
          <w:tcPr>
            <w:tcW w:type="pct" w:w="32%"/>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GF FFL</w:t>
            </w:r>
          </w:p>
        </w:tc>
        <w:tc>
          <w:tcPr>
            <w:tcW w:type="pct" w:w="44%"/>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+2.930 m (SL +2.770)</w:t>
            </w:r>
          </w:p>
        </w:tc>
        <w:tc>
          <w:tcPr>
            <w:tcW w:type="pct" w:w="24%"/>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PLN-012</w:t>
            </w:r>
          </w:p>
        </w:tc>
      </w:tr>
      <w:tr>
        <w:tc>
          <w:tcPr>
            <w:tcW w:type="pct" w:w="32%"/>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L1 FFL</w:t>
            </w:r>
          </w:p>
        </w:tc>
        <w:tc>
          <w:tcPr>
            <w:tcW w:type="pct" w:w="44%"/>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+3.180 m</w:t>
            </w:r>
          </w:p>
        </w:tc>
        <w:tc>
          <w:tcPr>
            <w:tcW w:type="pct" w:w="24%"/>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PLN-013</w:t>
            </w:r>
          </w:p>
        </w:tc>
      </w:tr>
      <w:tr>
        <w:tc>
          <w:tcPr>
            <w:tcW w:type="pct" w:w="32%"/>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FFL mái hiện có</w:t>
            </w:r>
          </w:p>
        </w:tc>
        <w:tc>
          <w:tcPr>
            <w:tcW w:type="pct" w:w="44%"/>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+6.970 m (SL +6.800)</w:t>
            </w:r>
          </w:p>
        </w:tc>
        <w:tc>
          <w:tcPr>
            <w:tcW w:type="pct" w:w="24%"/>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PLN-014</w:t>
            </w:r>
          </w:p>
        </w:tc>
      </w:tr>
      <w:tr>
        <w:tc>
          <w:tcPr>
            <w:tcW w:type="pct" w:w="32%"/>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Chiều cao tổng thể (hiện có)</w:t>
            </w:r>
          </w:p>
        </w:tc>
        <w:tc>
          <w:tcPr>
            <w:tcW w:type="pct" w:w="44%"/>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~7,00 m (mái bằng)</w:t>
            </w:r>
          </w:p>
        </w:tc>
        <w:tc>
          <w:tcPr>
            <w:tcW w:type="pct" w:w="24%"/>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ELE-031 / ELE-033</w:t>
            </w:r>
          </w:p>
        </w:tc>
      </w:tr>
      <w:tr>
        <w:tc>
          <w:tcPr>
            <w:tcW w:type="pct" w:w="32%"/>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Từ sàn sang từ sàn GF→L1</w:t>
            </w:r>
          </w:p>
        </w:tc>
        <w:tc>
          <w:tcPr>
            <w:tcW w:type="pct" w:w="44%"/>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~3,55 m</w:t>
            </w:r>
          </w:p>
        </w:tc>
        <w:tc>
          <w:tcPr>
            <w:tcW w:type="pct" w:w="24%"/>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SEC-041</w:t>
            </w:r>
          </w:p>
        </w:tc>
      </w:tr>
    </w:tbl>
    <w:p>
      <w:pPr>
        <w:spacing w:after="140" w:before="0"/>
      </w:pPr>
      <w:r>
        <w:t xml:space="preserve"/>
      </w:r>
    </w:p>
    <w:p>
      <w:pPr>
        <w:pStyle w:val="Heading2"/>
        <w:spacing w:after="120" w:before="280"/>
      </w:pPr>
      <w:r>
        <w:rPr>
          <w:rFonts w:ascii="Georgia" w:cs="Georgia" w:eastAsia="Georgia" w:hAnsi="Georgia"/>
          <w:b/>
          <w:bCs/>
          <w:color w:val="B45309"/>
          <w:sz w:val="28"/>
          <w:szCs w:val="28"/>
        </w:rPr>
        <w:t xml:space="preserve">4.2 Chuyển sang tờ</w:t>
      </w:r>
    </w:p>
    <w:p>
      <w:pPr>
        <w:spacing w:after="140" w:line="300"/>
        <w:jc w:val="both"/>
      </w:pPr>
      <w:r>
        <w:rPr>
          <w:rFonts w:ascii="Calibri" w:cs="Calibri" w:eastAsia="Calibri" w:hAnsi="Calibri"/>
          <w:b w:val="false"/>
          <w:bCs w:val="false"/>
          <w:i w:val="false"/>
          <w:iCs w:val="false"/>
          <w:color w:val="1F2937"/>
          <w:sz w:val="22"/>
          <w:szCs w:val="22"/>
        </w:rPr>
        <w:t xml:space="preserve">Gói ArAD được lập kế hoạch dưới đây được coi là đường cơ sở tham chiếu. Các tờ được đánh dấu ● được cập nhật theo khái niệm này; các tờ được đánh dấu ○ được giữ nguyên từ chữ để phối hợp với các gói dân sự, MEP và cảnh quan.</w:t>
      </w:r>
    </w:p>
    <w:tbl>
      <w:tblPr>
        <w:tblW w:type="pct" w:w="100%"/>
        <w:tblBorders>
          <w:top w:val="single" w:color="D6D3D1" w:sz="4"/>
          <w:left w:val="single" w:color="D6D3D1" w:sz="4"/>
          <w:bottom w:val="single" w:color="D6D3D1" w:sz="4"/>
          <w:right w:val="single" w:color="D6D3D1" w:sz="4"/>
          <w:insideH w:val="single" w:color="D6D3D1" w:sz="4"/>
          <w:insideV w:val="single" w:color="D6D3D1" w:sz="4"/>
        </w:tblBorders>
      </w:tblPr>
      <w:tblGrid>
        <w:gridCol w:w="3024"/>
        <w:gridCol w:w="3024"/>
        <w:gridCol w:w="3024"/>
      </w:tblGrid>
      <w:tr>
        <w:tc>
          <w:tcPr>
            <w:tcW w:type="pct" w:w="22%"/>
            <w:shd w:fill="1F2937" w:color="auto" w:val="clear"/>
            <w:tcMar>
              <w:top w:type="dxa" w:w="120"/>
              <w:left w:type="dxa" w:w="160"/>
              <w:bottom w:type="dxa" w:w="120"/>
              <w:right w:type="dxa" w:w="160"/>
            </w:tcMar>
          </w:tcPr>
          <w:p>
            <w:pPr>
              <w:spacing w:after="40"/>
              <w:jc w:val="left"/>
            </w:pPr>
            <w:r>
              <w:rPr>
                <w:rFonts w:ascii="Calibri" w:cs="Calibri" w:eastAsia="Calibri" w:hAnsi="Calibri"/>
                <w:b/>
                <w:bCs/>
                <w:color w:val="FFFFFF"/>
                <w:sz w:val="20"/>
                <w:szCs w:val="20"/>
              </w:rPr>
              <w:t xml:space="preserve">Nhóm tờ</w:t>
            </w:r>
          </w:p>
        </w:tc>
        <w:tc>
          <w:tcPr>
            <w:tcW w:type="pct" w:w="50%"/>
            <w:shd w:fill="1F2937" w:color="auto" w:val="clear"/>
            <w:tcMar>
              <w:top w:type="dxa" w:w="120"/>
              <w:left w:type="dxa" w:w="160"/>
              <w:bottom w:type="dxa" w:w="120"/>
              <w:right w:type="dxa" w:w="160"/>
            </w:tcMar>
          </w:tcPr>
          <w:p>
            <w:pPr>
              <w:spacing w:after="40"/>
              <w:jc w:val="left"/>
            </w:pPr>
            <w:r>
              <w:rPr>
                <w:rFonts w:ascii="Calibri" w:cs="Calibri" w:eastAsia="Calibri" w:hAnsi="Calibri"/>
                <w:b/>
                <w:bCs/>
                <w:color w:val="FFFFFF"/>
                <w:sz w:val="20"/>
                <w:szCs w:val="20"/>
              </w:rPr>
              <w:t xml:space="preserve">Tờ</w:t>
            </w:r>
          </w:p>
        </w:tc>
        <w:tc>
          <w:tcPr>
            <w:tcW w:type="pct" w:w="28%"/>
            <w:shd w:fill="1F2937" w:color="auto" w:val="clear"/>
            <w:tcMar>
              <w:top w:type="dxa" w:w="120"/>
              <w:left w:type="dxa" w:w="160"/>
              <w:bottom w:type="dxa" w:w="120"/>
              <w:right w:type="dxa" w:w="160"/>
            </w:tcMar>
          </w:tcPr>
          <w:p>
            <w:pPr>
              <w:spacing w:after="40"/>
              <w:jc w:val="left"/>
            </w:pPr>
            <w:r>
              <w:rPr>
                <w:rFonts w:ascii="Calibri" w:cs="Calibri" w:eastAsia="Calibri" w:hAnsi="Calibri"/>
                <w:b/>
                <w:bCs/>
                <w:color w:val="FFFFFF"/>
                <w:sz w:val="20"/>
                <w:szCs w:val="20"/>
              </w:rPr>
              <w:t xml:space="preserve">Chuyển sang</w:t>
            </w:r>
          </w:p>
        </w:tc>
      </w:tr>
      <w:tr>
        <w:tc>
          <w:tcPr>
            <w:tcW w:type="pct" w:w="22%"/>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Mặt bằng</w:t>
            </w:r>
          </w:p>
        </w:tc>
        <w:tc>
          <w:tcPr>
            <w:tcW w:type="pct" w:w="50%"/>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PLN-012 GF · PLN-013 L1 · PLN-014 Mái</w:t>
            </w:r>
          </w:p>
        </w:tc>
        <w:tc>
          <w:tcPr>
            <w:tcW w:type="pct" w:w="28%"/>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 Cập nhật (L1 mở rộng, mái heng)</w:t>
            </w:r>
          </w:p>
        </w:tc>
      </w:tr>
      <w:tr>
        <w:tc>
          <w:tcPr>
            <w:tcW w:type="pct" w:w="22%"/>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Hoàn thiện sàn</w:t>
            </w:r>
          </w:p>
        </w:tc>
        <w:tc>
          <w:tcPr>
            <w:tcW w:type="pct" w:w="50%"/>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FFL-015 GF · FFL-016 L1</w:t>
            </w:r>
          </w:p>
        </w:tc>
        <w:tc>
          <w:tcPr>
            <w:tcW w:type="pct" w:w="28%"/>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 Cập nhật (bảng màu nội thất được đặt lại)</w:t>
            </w:r>
          </w:p>
        </w:tc>
      </w:tr>
      <w:tr>
        <w:tc>
          <w:tcPr>
            <w:tcW w:type="pct" w:w="22%"/>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Trần / RCP</w:t>
            </w:r>
          </w:p>
        </w:tc>
        <w:tc>
          <w:tcPr>
            <w:tcW w:type="pct" w:w="50%"/>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CEL-017</w:t>
            </w:r>
          </w:p>
        </w:tc>
        <w:tc>
          <w:tcPr>
            <w:tcW w:type="pct" w:w="28%"/>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 Cập nhật (coffered / lưỡi-groove)</w:t>
            </w:r>
          </w:p>
        </w:tc>
      </w:tr>
      <w:tr>
        <w:tc>
          <w:tcPr>
            <w:tcW w:type="pct" w:w="22%"/>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Mặt đứng</w:t>
            </w:r>
          </w:p>
        </w:tc>
        <w:tc>
          <w:tcPr>
            <w:tcW w:type="pct" w:w="50%"/>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ELE-031/032/033 · 1A–4B (tám mặt đứng)</w:t>
            </w:r>
          </w:p>
        </w:tc>
        <w:tc>
          <w:tcPr>
            <w:tcW w:type="pct" w:w="28%"/>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 Cập nhật (lót lại thuộc địa)</w:t>
            </w:r>
          </w:p>
        </w:tc>
      </w:tr>
      <w:tr>
        <w:tc>
          <w:tcPr>
            <w:tcW w:type="pct" w:w="22%"/>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Tiết diện</w:t>
            </w:r>
          </w:p>
        </w:tc>
        <w:tc>
          <w:tcPr>
            <w:tcW w:type="pct" w:w="50%"/>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SEC-041/042/043 · A–G (bảy tiết diện)</w:t>
            </w:r>
          </w:p>
        </w:tc>
        <w:tc>
          <w:tcPr>
            <w:tcW w:type="pct" w:w="28%"/>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 Cập nhật (hồ sơ mái heng)</w:t>
            </w:r>
          </w:p>
        </w:tc>
      </w:tr>
      <w:tr>
        <w:tc>
          <w:tcPr>
            <w:tcW w:type="pct" w:w="22%"/>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Chi tiết</w:t>
            </w:r>
          </w:p>
        </w:tc>
        <w:tc>
          <w:tcPr>
            <w:tcW w:type="pct" w:w="50%"/>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SDET-075 rèm tre · Chuỗi AD kính · cơ sở đá STW2</w:t>
            </w:r>
          </w:p>
        </w:tc>
        <w:tc>
          <w:tcPr>
            <w:tcW w:type="pct" w:w="28%"/>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 Giữ lại; phát hành lại trong teak / ngói đất nung / đá</w:t>
            </w:r>
          </w:p>
        </w:tc>
      </w:tr>
    </w:tbl>
    <w:p>
      <w:r>
        <w:br w:type="page"/>
      </w:r>
    </w:p>
    <w:p>
      <w:pPr>
        <w:pStyle w:val="Heading1"/>
        <w:spacing w:after="160" w:before="360"/>
      </w:pPr>
      <w:r>
        <w:rPr>
          <w:rFonts w:ascii="Georgia" w:cs="Georgia" w:eastAsia="Georgia" w:hAnsi="Georgia"/>
          <w:b/>
          <w:bCs/>
          <w:color w:val="1F2937"/>
          <w:sz w:val="36"/>
          <w:szCs w:val="36"/>
        </w:rPr>
        <w:t xml:space="preserve">05 · Chiến lược thiết kế</w:t>
      </w:r>
    </w:p>
    <w:p>
      <w:pPr>
        <w:pBdr>
          <w:bottom w:val="single" w:color="D6D3D1" w:sz="6" w:space="1"/>
        </w:pBdr>
        <w:spacing w:after="80" w:before="80"/>
      </w:pPr>
      <w:r>
        <w:t xml:space="preserve"/>
      </w:r>
    </w:p>
    <w:p>
      <w:pPr>
        <w:pStyle w:val="Heading2"/>
        <w:spacing w:after="120" w:before="280"/>
      </w:pPr>
      <w:r>
        <w:rPr>
          <w:rFonts w:ascii="Georgia" w:cs="Georgia" w:eastAsia="Georgia" w:hAnsi="Georgia"/>
          <w:b/>
          <w:bCs/>
          <w:color w:val="B45309"/>
          <w:sz w:val="28"/>
          <w:szCs w:val="28"/>
        </w:rPr>
        <w:t xml:space="preserve">5.1 Năm động thái</w:t>
      </w:r>
    </w:p>
    <w:p>
      <w:pPr>
        <w:spacing w:after="140" w:line="300"/>
        <w:jc w:val="both"/>
      </w:pPr>
      <w:r>
        <w:rPr>
          <w:rFonts w:ascii="Calibri" w:cs="Calibri" w:eastAsia="Calibri" w:hAnsi="Calibri"/>
          <w:b/>
          <w:bCs/>
          <w:i w:val="false"/>
          <w:iCs w:val="false"/>
          <w:color w:val="1F2937"/>
          <w:sz w:val="22"/>
          <w:szCs w:val="22"/>
        </w:rPr>
        <w:t xml:space="preserve">Động thái 1 · Mở rộng L1 đến toàn bộ footprint tầng trệt.</w:t>
      </w:r>
      <w:r>
        <w:rPr>
          <w:rFonts w:ascii="Calibri" w:cs="Calibri" w:eastAsia="Calibri" w:hAnsi="Calibri"/>
          <w:b w:val="false"/>
          <w:bCs w:val="false"/>
          <w:i w:val="false"/>
          <w:iCs w:val="false"/>
          <w:color w:val="1F2937"/>
          <w:sz w:val="22"/>
          <w:szCs w:val="22"/>
        </w:rPr>
        <w:t xml:space="preserve">  Kế hoạch hiện có để lại một sân thượng 148 m² mở trên cánh phòng ăn và phòng ngủ chính. Đây là cơ hội GFA duy nhất lớn nhất; khái niệm chuyển đổi khoảng trống đó thành sàn điều hòa, cung cấp ba phòng khách bổ sung cộng với phòng lounge trên tầng 1 trong khi giữ chiều cao đỉnh mái dưới 9 m.</w:t>
      </w:r>
    </w:p>
    <w:p>
      <w:pPr>
        <w:spacing w:after="140" w:line="300"/>
        <w:jc w:val="both"/>
      </w:pPr>
      <w:r>
        <w:rPr>
          <w:rFonts w:ascii="Calibri" w:cs="Calibri" w:eastAsia="Calibri" w:hAnsi="Calibri"/>
          <w:b/>
          <w:bCs/>
          <w:i w:val="false"/>
          <w:iCs w:val="false"/>
          <w:color w:val="1F2937"/>
          <w:sz w:val="22"/>
          <w:szCs w:val="22"/>
        </w:rPr>
        <w:t xml:space="preserve">Động thái 2 · Heng mái.</w:t>
      </w:r>
      <w:r>
        <w:rPr>
          <w:rFonts w:ascii="Calibri" w:cs="Calibri" w:eastAsia="Calibri" w:hAnsi="Calibri"/>
          <w:b w:val="false"/>
          <w:bCs w:val="false"/>
          <w:i w:val="false"/>
          <w:iCs w:val="false"/>
          <w:color w:val="1F2937"/>
          <w:sz w:val="22"/>
          <w:szCs w:val="22"/>
        </w:rPr>
        <w:t xml:space="preserve">  Mái bằng ArAD ở +6,97 được thay thế bằng mái ngói đất nung heng 25° tăng lên đỉnh ~+9,00. Hồ sơ heng đọc được như đối tác Capella ở khoảng cách 100 m và là hình ảnh thống trị trong nhiếp ảnh tầm nhìn vịnh.</w:t>
      </w:r>
    </w:p>
    <w:p>
      <w:pPr>
        <w:spacing w:after="140" w:line="300"/>
        <w:jc w:val="both"/>
      </w:pPr>
      <w:r>
        <w:rPr>
          <w:rFonts w:ascii="Calibri" w:cs="Calibri" w:eastAsia="Calibri" w:hAnsi="Calibri"/>
          <w:b/>
          <w:bCs/>
          <w:i w:val="false"/>
          <w:iCs w:val="false"/>
          <w:color w:val="1F2937"/>
          <w:sz w:val="22"/>
          <w:szCs w:val="22"/>
        </w:rPr>
        <w:t xml:space="preserve">Động thái 3 · Lót lại trong trắng thuộc địa.</w:t>
      </w:r>
      <w:r>
        <w:rPr>
          <w:rFonts w:ascii="Calibri" w:cs="Calibri" w:eastAsia="Calibri" w:hAnsi="Calibri"/>
          <w:b w:val="false"/>
          <w:bCs w:val="false"/>
          <w:i w:val="false"/>
          <w:iCs w:val="false"/>
          <w:color w:val="1F2937"/>
          <w:sz w:val="22"/>
          <w:szCs w:val="22"/>
        </w:rPr>
        <w:t xml:space="preserve">  Cơ sở đá (giữ lại nơi hiện có) đến +3,18; sơn vôi trang trí trắng đến gầm mái hiên; cửa chớp gỗ teak lam trên tất cả các lỗ mở phía nam và tây; tiết lộ sâu (300 mm) để tạo tính dẻo dai trong ánh nắng làm ngang.</w:t>
      </w:r>
    </w:p>
    <w:p>
      <w:pPr>
        <w:spacing w:after="140" w:line="300"/>
        <w:jc w:val="both"/>
      </w:pPr>
      <w:r>
        <w:rPr>
          <w:rFonts w:ascii="Calibri" w:cs="Calibri" w:eastAsia="Calibri" w:hAnsi="Calibri"/>
          <w:b/>
          <w:bCs/>
          <w:i w:val="false"/>
          <w:iCs w:val="false"/>
          <w:color w:val="1F2937"/>
          <w:sz w:val="22"/>
          <w:szCs w:val="22"/>
        </w:rPr>
        <w:t xml:space="preserve">Động thái 4 · Bao bọc mặt đứng vịnh trong hành lang có mái.</w:t>
      </w:r>
      <w:r>
        <w:rPr>
          <w:rFonts w:ascii="Calibri" w:cs="Calibri" w:eastAsia="Calibri" w:hAnsi="Calibri"/>
          <w:b w:val="false"/>
          <w:bCs w:val="false"/>
          <w:i w:val="false"/>
          <w:iCs w:val="false"/>
          <w:color w:val="1F2937"/>
          <w:sz w:val="22"/>
          <w:szCs w:val="22"/>
        </w:rPr>
        <w:t xml:space="preserve">  Hành lang có mái quá hang 2,4 m dọc theo mặt đứng phía nam (hướng vịnh) và tây trên cả tầng trệt và tầng 1 — động thái bungalow thuộc địa cổ điển — che phủ kính, bảo vệ sơn vôi từ mưa và cung cấp cho mỗi phòng chính một quá cảnh ngoài trời-đến-vịnh trực tiếp.</w:t>
      </w:r>
    </w:p>
    <w:p>
      <w:pPr>
        <w:spacing w:after="140" w:line="300"/>
        <w:jc w:val="both"/>
      </w:pPr>
      <w:r>
        <w:rPr>
          <w:rFonts w:ascii="Calibri" w:cs="Calibri" w:eastAsia="Calibri" w:hAnsi="Calibri"/>
          <w:b/>
          <w:bCs/>
          <w:i w:val="false"/>
          <w:iCs w:val="false"/>
          <w:color w:val="1F2937"/>
          <w:sz w:val="22"/>
          <w:szCs w:val="22"/>
        </w:rPr>
        <w:t xml:space="preserve">Động thái 5 · Nội thất lại quanh bảng màu ốm/teak/đồng.</w:t>
      </w:r>
      <w:r>
        <w:rPr>
          <w:rFonts w:ascii="Calibri" w:cs="Calibri" w:eastAsia="Calibri" w:hAnsi="Calibri"/>
          <w:b w:val="false"/>
          <w:bCs w:val="false"/>
          <w:i w:val="false"/>
          <w:iCs w:val="false"/>
          <w:color w:val="1F2937"/>
          <w:sz w:val="22"/>
          <w:szCs w:val="22"/>
        </w:rPr>
        <w:t xml:space="preserve">  Thay thế nội thất đương đại bằng tường sơn thô ốm ấm, sàn ngói teak xương cá, bảng tấm raffia dệt, phần cứng đồng cũ, bọc linen trong lúa mì và mực, nghệ thuật và vải dệt có nguồn gốc từ truyền thống thủ công Hạ Long / Đông Hồ.</w:t>
      </w:r>
    </w:p>
    <w:p>
      <w:pPr>
        <w:pStyle w:val="Heading2"/>
        <w:spacing w:after="120" w:before="280"/>
      </w:pPr>
      <w:r>
        <w:rPr>
          <w:rFonts w:ascii="Georgia" w:cs="Georgia" w:eastAsia="Georgia" w:hAnsi="Georgia"/>
          <w:b/>
          <w:bCs/>
          <w:color w:val="B45309"/>
          <w:sz w:val="28"/>
          <w:szCs w:val="28"/>
        </w:rPr>
        <w:t xml:space="preserve">5.2 Tóm tắt chương trình</w:t>
      </w:r>
    </w:p>
    <w:tbl>
      <w:tblPr>
        <w:tblW w:type="pct" w:w="100%"/>
        <w:tblBorders>
          <w:top w:val="single" w:color="D6D3D1" w:sz="4"/>
          <w:left w:val="single" w:color="D6D3D1" w:sz="4"/>
          <w:bottom w:val="single" w:color="D6D3D1" w:sz="4"/>
          <w:right w:val="single" w:color="D6D3D1" w:sz="4"/>
          <w:insideH w:val="single" w:color="D6D3D1" w:sz="4"/>
          <w:insideV w:val="single" w:color="D6D3D1" w:sz="4"/>
        </w:tblBorders>
      </w:tblPr>
      <w:tblGrid>
        <w:gridCol w:w="3024"/>
        <w:gridCol w:w="3024"/>
        <w:gridCol w:w="3024"/>
      </w:tblGrid>
      <w:tr>
        <w:tc>
          <w:tcPr>
            <w:tcW w:type="pct" w:w="22%"/>
            <w:shd w:fill="1F2937" w:color="auto" w:val="clear"/>
            <w:tcMar>
              <w:top w:type="dxa" w:w="120"/>
              <w:left w:type="dxa" w:w="160"/>
              <w:bottom w:type="dxa" w:w="120"/>
              <w:right w:type="dxa" w:w="160"/>
            </w:tcMar>
          </w:tcPr>
          <w:p>
            <w:pPr>
              <w:spacing w:after="40"/>
              <w:jc w:val="left"/>
            </w:pPr>
            <w:r>
              <w:rPr>
                <w:rFonts w:ascii="Calibri" w:cs="Calibri" w:eastAsia="Calibri" w:hAnsi="Calibri"/>
                <w:b/>
                <w:bCs/>
                <w:color w:val="FFFFFF"/>
                <w:sz w:val="20"/>
                <w:szCs w:val="20"/>
              </w:rPr>
              <w:t xml:space="preserve">Tầng</w:t>
            </w:r>
          </w:p>
        </w:tc>
        <w:tc>
          <w:tcPr>
            <w:tcW w:type="pct" w:w="58%"/>
            <w:shd w:fill="1F2937" w:color="auto" w:val="clear"/>
            <w:tcMar>
              <w:top w:type="dxa" w:w="120"/>
              <w:left w:type="dxa" w:w="160"/>
              <w:bottom w:type="dxa" w:w="120"/>
              <w:right w:type="dxa" w:w="160"/>
            </w:tcMar>
          </w:tcPr>
          <w:p>
            <w:pPr>
              <w:spacing w:after="40"/>
              <w:jc w:val="left"/>
            </w:pPr>
            <w:r>
              <w:rPr>
                <w:rFonts w:ascii="Calibri" w:cs="Calibri" w:eastAsia="Calibri" w:hAnsi="Calibri"/>
                <w:b/>
                <w:bCs/>
                <w:color w:val="FFFFFF"/>
                <w:sz w:val="20"/>
                <w:szCs w:val="20"/>
              </w:rPr>
              <w:t xml:space="preserve">Phòng</w:t>
            </w:r>
          </w:p>
        </w:tc>
        <w:tc>
          <w:tcPr>
            <w:tcW w:type="pct" w:w="20%"/>
            <w:shd w:fill="1F2937" w:color="auto" w:val="clear"/>
            <w:tcMar>
              <w:top w:type="dxa" w:w="120"/>
              <w:left w:type="dxa" w:w="160"/>
              <w:bottom w:type="dxa" w:w="120"/>
              <w:right w:type="dxa" w:w="160"/>
            </w:tcMar>
          </w:tcPr>
          <w:p>
            <w:pPr>
              <w:spacing w:after="40"/>
              <w:jc w:val="left"/>
            </w:pPr>
            <w:r>
              <w:rPr>
                <w:rFonts w:ascii="Calibri" w:cs="Calibri" w:eastAsia="Calibri" w:hAnsi="Calibri"/>
                <w:b/>
                <w:bCs/>
                <w:color w:val="FFFFFF"/>
                <w:sz w:val="20"/>
                <w:szCs w:val="20"/>
              </w:rPr>
              <w:t xml:space="preserve">Diện tích (khoảng)</w:t>
            </w:r>
          </w:p>
        </w:tc>
      </w:tr>
      <w:tr>
        <w:tc>
          <w:tcPr>
            <w:tcW w:type="pct" w:w="22%"/>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GF (~300 m²)</w:t>
            </w:r>
          </w:p>
        </w:tc>
        <w:tc>
          <w:tcPr>
            <w:tcW w:type="pct" w:w="58%"/>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Porte-cochère · sảnh vào chính thức · phòng khách chính thức (vịnh) · phòng ăn (vịnh) · phòng khách gia đình · phòng học / thư viện · bếp mở · bếp dịch vụ · tủ đựa · phòng ngủ chính + tủ quần áo + phòng tắm · phòng bột · phòng hầu · công trình · hành lang có mái phía nam + tây (2,4 m)</w:t>
            </w:r>
          </w:p>
        </w:tc>
        <w:tc>
          <w:tcPr>
            <w:tcW w:type="pct" w:w="20%"/>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300 m² kín + ~120 m² hành lang có mái che phủ</w:t>
            </w:r>
          </w:p>
        </w:tc>
      </w:tr>
      <w:tr>
        <w:tc>
          <w:tcPr>
            <w:tcW w:type="pct" w:w="22%"/>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L1 (~300 m², full match mới)</w:t>
            </w:r>
          </w:p>
        </w:tc>
        <w:tc>
          <w:tcPr>
            <w:tcW w:type="pct" w:w="58%"/>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Phòng khách 1 (vịnh, king) · Phòng khách 2 (vịnh, king) · Phòng khách 3 (vườn, đôi) · phòng lounge khách / phòng trưng bày · xem góc · hành lang có mái trên tầng (vịnh)</w:t>
            </w:r>
          </w:p>
        </w:tc>
        <w:tc>
          <w:tcPr>
            <w:tcW w:type="pct" w:w="20%"/>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300 m² kín + ~90 m² hành lang có mái trên tầng che phủ</w:t>
            </w:r>
          </w:p>
        </w:tc>
      </w:tr>
      <w:tr>
        <w:tc>
          <w:tcPr>
            <w:tcW w:type="pct" w:w="22%"/>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Mái</w:t>
            </w:r>
          </w:p>
        </w:tc>
        <w:tc>
          <w:tcPr>
            <w:tcW w:type="pct" w:w="58%"/>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Ngói đất nung heng, 25°, đỉnh đồng + máng; lỗ thông gió đỉnh; tùy chọn PV ẩn ở sườn phía sau</w:t>
            </w:r>
          </w:p>
        </w:tc>
        <w:tc>
          <w:tcPr>
            <w:tcW w:type="pct" w:w="20%"/>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w:t>
            </w:r>
          </w:p>
        </w:tc>
      </w:tr>
      <w:tr>
        <w:tc>
          <w:tcPr>
            <w:tcW w:type="pct" w:w="22%"/>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Khu đất</w:t>
            </w:r>
          </w:p>
        </w:tc>
        <w:tc>
          <w:tcPr>
            <w:tcW w:type="pct" w:w="58%"/>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Hồ bơi vô cực (giữ lại, chỉnh sửa cạnh trong đá basalt lăn) · sân hồ bơi trong teak · sân khấu phòng tách biệt · bếp / BBQ ngoài trời · sân dịch vụ phía bắc · sân xe motor với cặp frangipani · kho của người làm vườn</w:t>
            </w:r>
          </w:p>
        </w:tc>
        <w:tc>
          <w:tcPr>
            <w:tcW w:type="pct" w:w="20%"/>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~540 m² chương trình bên ngoài</w:t>
            </w:r>
          </w:p>
        </w:tc>
      </w:tr>
    </w:tbl>
    <w:p>
      <w:r>
        <w:br w:type="page"/>
      </w:r>
    </w:p>
    <w:p>
      <w:pPr>
        <w:pStyle w:val="Heading1"/>
        <w:spacing w:after="160" w:before="360"/>
      </w:pPr>
      <w:r>
        <w:rPr>
          <w:rFonts w:ascii="Georgia" w:cs="Georgia" w:eastAsia="Georgia" w:hAnsi="Georgia"/>
          <w:b/>
          <w:bCs/>
          <w:color w:val="1F2937"/>
          <w:sz w:val="36"/>
          <w:szCs w:val="36"/>
        </w:rPr>
        <w:t xml:space="preserve">06 · Khối lượng, Mặt bằng, Mặt đứng</w:t>
      </w:r>
    </w:p>
    <w:p>
      <w:pPr>
        <w:pBdr>
          <w:bottom w:val="single" w:color="D6D3D1" w:sz="6" w:space="1"/>
        </w:pBdr>
        <w:spacing w:after="80" w:before="80"/>
      </w:pPr>
      <w:r>
        <w:t xml:space="preserve"/>
      </w:r>
    </w:p>
    <w:p>
      <w:pPr>
        <w:pStyle w:val="Heading2"/>
        <w:spacing w:after="120" w:before="280"/>
      </w:pPr>
      <w:r>
        <w:rPr>
          <w:rFonts w:ascii="Georgia" w:cs="Georgia" w:eastAsia="Georgia" w:hAnsi="Georgia"/>
          <w:b/>
          <w:bCs/>
          <w:color w:val="B45309"/>
          <w:sz w:val="28"/>
          <w:szCs w:val="28"/>
        </w:rPr>
        <w:t xml:space="preserve">6.1 Sơ đồ khối lượng (tường thuật)</w:t>
      </w:r>
    </w:p>
    <w:p>
      <w:pPr>
        <w:spacing w:after="140" w:line="300"/>
        <w:jc w:val="both"/>
      </w:pPr>
      <w:r>
        <w:rPr>
          <w:rFonts w:ascii="Calibri" w:cs="Calibri" w:eastAsia="Calibri" w:hAnsi="Calibri"/>
          <w:b w:val="false"/>
          <w:bCs w:val="false"/>
          <w:i w:val="false"/>
          <w:iCs w:val="false"/>
          <w:color w:val="1F2937"/>
          <w:sz w:val="22"/>
          <w:szCs w:val="22"/>
        </w:rPr>
        <w:t xml:space="preserve">Nhìn phía nam từ sân xe motor, biệt thự trình bày một khối tuyến tính dài song song với vịnh. Cơ sở tầng trệt là một thể tích liên tục sơn vôi trắng 28,05 × 11,55 m với cánh phòng ăn nổi lên (+2,8 m). Tầng 1, bây giờ được mở rộng đến toàn bộ đường bao tầng trệt, nằm trực tiếp ở trên với một quá hang 300 mm tạo thành trần hành lang có mái. Mái ngói đất nung heng 25° che phủ toàn bộ, đỉnh trung tâm trên đường thẳng C và hep sang gable phía đông và tây. Đường mái đọc như một hồ sơ thống nhất — thay đổi quan trọng nhất từ ​​phương án mái bằng hiện có.</w:t>
      </w:r>
    </w:p>
    <w:p>
      <w:pPr>
        <w:pStyle w:val="Heading2"/>
        <w:spacing w:after="120" w:before="280"/>
      </w:pPr>
      <w:r>
        <w:rPr>
          <w:rFonts w:ascii="Georgia" w:cs="Georgia" w:eastAsia="Georgia" w:hAnsi="Georgia"/>
          <w:b/>
          <w:bCs/>
          <w:color w:val="B45309"/>
          <w:sz w:val="28"/>
          <w:szCs w:val="28"/>
        </w:rPr>
        <w:t xml:space="preserve">6.2 Mặt bằng tầng trệt — tường thuật</w:t>
      </w:r>
    </w:p>
    <w:p>
      <w:pPr>
        <w:spacing w:after="140" w:line="300"/>
        <w:jc w:val="both"/>
      </w:pPr>
      <w:r>
        <w:rPr>
          <w:rFonts w:ascii="Calibri" w:cs="Calibri" w:eastAsia="Calibri" w:hAnsi="Calibri"/>
          <w:b w:val="false"/>
          <w:bCs w:val="false"/>
          <w:i w:val="false"/>
          <w:iCs w:val="false"/>
          <w:color w:val="1F2937"/>
          <w:sz w:val="22"/>
          <w:szCs w:val="22"/>
        </w:rPr>
        <w:t xml:space="preserve">Sự đến là từ phía bắc vào một sân xe motor được lát gạch được bao quanh bởi một cặp cây frangipani trưởng thành. Porte-cochère nằm trên đường thẳng C–D; vượt quá nó, một sảnh cao gấp đôi với trần teak coffered mở bên trái vào phòng khách chính thức (tầm nhìn vịnh, cửa kính trượt toàn chiều cao đến hành lang có mái phía nam) và phía bên phải đến phòng ăn chính thức (tầm nhìn vịnh, bàn teak 10 chỗ). Một sống lưng dịch vụ ở cạnh phía bắc chứa tủ để, bếp dịch vụ, phòng hầu và công trình — giữ lại phía sau nhà vô hình từ mặt đứng hướng vịnh. Phòng ngủ chính chiếm đầu phía tây của tầng trệt, với sân hiên che phủ riêng của nó bước trực tiếp xuống sân hồ bơi. Đầu phía đông mang phòng học/thư viện (một nửa ốp teak, bàn viết, ba ghế bành) và phòng vệ sinh bột khách.</w:t>
      </w:r>
    </w:p>
    <w:p>
      <w:pPr>
        <w:pStyle w:val="Heading2"/>
        <w:spacing w:after="120" w:before="280"/>
      </w:pPr>
      <w:r>
        <w:rPr>
          <w:rFonts w:ascii="Georgia" w:cs="Georgia" w:eastAsia="Georgia" w:hAnsi="Georgia"/>
          <w:b/>
          <w:bCs/>
          <w:color w:val="B45309"/>
          <w:sz w:val="28"/>
          <w:szCs w:val="28"/>
        </w:rPr>
        <w:t xml:space="preserve">6.3 Mặt bằng tầng 1 — mở rộng</w:t>
      </w:r>
    </w:p>
    <w:p>
      <w:pPr>
        <w:spacing w:after="140" w:line="300"/>
        <w:jc w:val="both"/>
      </w:pPr>
      <w:r>
        <w:rPr>
          <w:rFonts w:ascii="Calibri" w:cs="Calibri" w:eastAsia="Calibri" w:hAnsi="Calibri"/>
          <w:b w:val="false"/>
          <w:bCs w:val="false"/>
          <w:i w:val="false"/>
          <w:iCs w:val="false"/>
          <w:color w:val="1F2937"/>
          <w:sz w:val="22"/>
          <w:szCs w:val="22"/>
        </w:rPr>
        <w:t xml:space="preserve">L1 phản chiếu đường bao tầng trệt (28,05 × 11,55 m cộng với hình chiếu cánh phòng ăn 14,35 m). Kế hoạch được sắp xếp quanh một hành lang trục trung tâm trên đường thẳng C chạy từ đông sang tây. Hai phòng khách chính (Phòng A và Phòng B) nằm trên tường phía nam hướng vịnh, mỗi phòng có một lát riêng của hành lang có mái trên tầng 2,4 m. Phòng C (giường đôi, tầm nhìn vườn) nằm phía bắc. 'Phòng trưng bày' trung tâm mở rộng trên sảnh vào tầng trệt thành một sân thượng đọc kép với một hộp sáng mái (khoảng cách duy nhất từ ​​mái heng). Ở đầu phía đông, những gì là một sân thượng mái bằng phòng ăn mở trở thành phòng lounge khách và thư viện nhỏ.</w:t>
      </w:r>
    </w:p>
    <w:p>
      <w:pPr>
        <w:pStyle w:val="Heading2"/>
        <w:spacing w:after="120" w:before="280"/>
      </w:pPr>
      <w:r>
        <w:rPr>
          <w:rFonts w:ascii="Georgia" w:cs="Georgia" w:eastAsia="Georgia" w:hAnsi="Georgia"/>
          <w:b/>
          <w:bCs/>
          <w:color w:val="B45309"/>
          <w:sz w:val="28"/>
          <w:szCs w:val="28"/>
        </w:rPr>
        <w:t xml:space="preserve">6.4 Mặt đứng</w:t>
      </w:r>
    </w:p>
    <w:tbl>
      <w:tblPr>
        <w:tblW w:type="pct" w:w="100%"/>
        <w:tblBorders>
          <w:top w:val="single" w:color="D6D3D1" w:sz="4"/>
          <w:left w:val="single" w:color="D6D3D1" w:sz="4"/>
          <w:bottom w:val="single" w:color="D6D3D1" w:sz="4"/>
          <w:right w:val="single" w:color="D6D3D1" w:sz="4"/>
          <w:insideH w:val="single" w:color="D6D3D1" w:sz="4"/>
          <w:insideV w:val="single" w:color="D6D3D1" w:sz="4"/>
        </w:tblBorders>
      </w:tblPr>
      <w:tblGrid>
        <w:gridCol w:w="3024"/>
        <w:gridCol w:w="3024"/>
        <w:gridCol w:w="3024"/>
      </w:tblGrid>
      <w:tr>
        <w:tc>
          <w:tcPr>
            <w:tcW w:type="pct" w:w="24%"/>
            <w:shd w:fill="1F2937" w:color="auto" w:val="clear"/>
            <w:tcMar>
              <w:top w:type="dxa" w:w="120"/>
              <w:left w:type="dxa" w:w="160"/>
              <w:bottom w:type="dxa" w:w="120"/>
              <w:right w:type="dxa" w:w="160"/>
            </w:tcMar>
          </w:tcPr>
          <w:p>
            <w:pPr>
              <w:spacing w:after="40"/>
              <w:jc w:val="left"/>
            </w:pPr>
            <w:r>
              <w:rPr>
                <w:rFonts w:ascii="Calibri" w:cs="Calibri" w:eastAsia="Calibri" w:hAnsi="Calibri"/>
                <w:b/>
                <w:bCs/>
                <w:color w:val="FFFFFF"/>
                <w:sz w:val="20"/>
                <w:szCs w:val="20"/>
              </w:rPr>
              <w:t xml:space="preserve">Mặt đứng</w:t>
            </w:r>
          </w:p>
        </w:tc>
        <w:tc>
          <w:tcPr>
            <w:tcW w:type="pct" w:w="22%"/>
            <w:shd w:fill="1F2937" w:color="auto" w:val="clear"/>
            <w:tcMar>
              <w:top w:type="dxa" w:w="120"/>
              <w:left w:type="dxa" w:w="160"/>
              <w:bottom w:type="dxa" w:w="120"/>
              <w:right w:type="dxa" w:w="160"/>
            </w:tcMar>
          </w:tcPr>
          <w:p>
            <w:pPr>
              <w:spacing w:after="40"/>
              <w:jc w:val="left"/>
            </w:pPr>
            <w:r>
              <w:rPr>
                <w:rFonts w:ascii="Calibri" w:cs="Calibri" w:eastAsia="Calibri" w:hAnsi="Calibri"/>
                <w:b/>
                <w:bCs/>
                <w:color w:val="FFFFFF"/>
                <w:sz w:val="20"/>
                <w:szCs w:val="20"/>
              </w:rPr>
              <w:t xml:space="preserve">Vai trò</w:t>
            </w:r>
          </w:p>
        </w:tc>
        <w:tc>
          <w:tcPr>
            <w:tcW w:type="pct" w:w="54%"/>
            <w:shd w:fill="1F2937" w:color="auto" w:val="clear"/>
            <w:tcMar>
              <w:top w:type="dxa" w:w="120"/>
              <w:left w:type="dxa" w:w="160"/>
              <w:bottom w:type="dxa" w:w="120"/>
              <w:right w:type="dxa" w:w="160"/>
            </w:tcMar>
          </w:tcPr>
          <w:p>
            <w:pPr>
              <w:spacing w:after="40"/>
              <w:jc w:val="left"/>
            </w:pPr>
            <w:r>
              <w:rPr>
                <w:rFonts w:ascii="Calibri" w:cs="Calibri" w:eastAsia="Calibri" w:hAnsi="Calibri"/>
                <w:b/>
                <w:bCs/>
                <w:color w:val="FFFFFF"/>
                <w:sz w:val="20"/>
                <w:szCs w:val="20"/>
              </w:rPr>
              <w:t xml:space="preserve">Ghi chú chính</w:t>
            </w:r>
          </w:p>
        </w:tc>
      </w:tr>
      <w:tr>
        <w:tc>
          <w:tcPr>
            <w:tcW w:type="pct" w:w="24%"/>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Nam (1A/1B) — vịnh</w:t>
            </w:r>
          </w:p>
        </w:tc>
        <w:tc>
          <w:tcPr>
            <w:tcW w:type="pct" w:w="22%"/>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Hình ảnh anh hùng</w:t>
            </w:r>
          </w:p>
        </w:tc>
        <w:tc>
          <w:tcPr>
            <w:tcW w:type="pct" w:w="54%"/>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Chạy hành lang có mái 28 m đầy đủ; 5 vịnh cửa chớp lam teak; L1 quá hang tầng trệt ở 2,4 m; mái ngói đất nung heng xuống đến +6,50 mái hiên</w:t>
            </w:r>
          </w:p>
        </w:tc>
      </w:tr>
      <w:tr>
        <w:tc>
          <w:tcPr>
            <w:tcW w:type="pct" w:w="24%"/>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Đông (2A/2B) — cánh phòng ăn</w:t>
            </w:r>
          </w:p>
        </w:tc>
        <w:tc>
          <w:tcPr>
            <w:tcW w:type="pct" w:w="22%"/>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Hình ảnh anh hùng thứ cấp</w:t>
            </w:r>
          </w:p>
        </w:tc>
        <w:tc>
          <w:tcPr>
            <w:tcW w:type="pct" w:w="54%"/>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Cạnh gable nổi lên với cửa sổ teak vòm jack đến phòng ăn; sân khấu phòng ở tiền cảnh</w:t>
            </w:r>
          </w:p>
        </w:tc>
      </w:tr>
      <w:tr>
        <w:tc>
          <w:tcPr>
            <w:tcW w:type="pct" w:w="24%"/>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Bắc (3A/3B) — sự đến</w:t>
            </w:r>
          </w:p>
        </w:tc>
        <w:tc>
          <w:tcPr>
            <w:tcW w:type="pct" w:w="22%"/>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Sự đến</w:t>
            </w:r>
          </w:p>
        </w:tc>
        <w:tc>
          <w:tcPr>
            <w:tcW w:type="pct" w:w="54%"/>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Porte-cochère với cơ sở đá, cửa teak lá kép, hộp sáng clerestory ở trên sảnh; sân dịch vụ được che chắn bởi một bức tường phấn thấp</w:t>
            </w:r>
          </w:p>
        </w:tc>
      </w:tr>
      <w:tr>
        <w:tc>
          <w:tcPr>
            <w:tcW w:type="pct" w:w="24%"/>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Tây (4A/4B) — phòng ngủ chính</w:t>
            </w:r>
          </w:p>
        </w:tc>
        <w:tc>
          <w:tcPr>
            <w:tcW w:type="pct" w:w="22%"/>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Tư nhân</w:t>
            </w:r>
          </w:p>
        </w:tc>
        <w:tc>
          <w:tcPr>
            <w:tcW w:type="pct" w:w="54%"/>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Sân hiên phòng ngủ chính; hip mái hướng vào trung tâm; kết xuất rắn với chỉ hai cửa chớp</w:t>
            </w:r>
          </w:p>
        </w:tc>
      </w:tr>
    </w:tbl>
    <w:p>
      <w:pPr>
        <w:pStyle w:val="Heading2"/>
        <w:spacing w:after="120" w:before="280"/>
      </w:pPr>
      <w:r>
        <w:rPr>
          <w:rFonts w:ascii="Georgia" w:cs="Georgia" w:eastAsia="Georgia" w:hAnsi="Georgia"/>
          <w:b/>
          <w:bCs/>
          <w:color w:val="B45309"/>
          <w:sz w:val="28"/>
          <w:szCs w:val="28"/>
        </w:rPr>
        <w:t xml:space="preserve">6.5 Tiết diện A–A (ngang)</w:t>
      </w:r>
    </w:p>
    <w:p>
      <w:pPr>
        <w:spacing w:after="140" w:line="300"/>
        <w:jc w:val="both"/>
      </w:pPr>
      <w:r>
        <w:rPr>
          <w:rFonts w:ascii="Calibri" w:cs="Calibri" w:eastAsia="Calibri" w:hAnsi="Calibri"/>
          <w:b w:val="false"/>
          <w:bCs w:val="false"/>
          <w:i w:val="false"/>
          <w:iCs w:val="false"/>
          <w:color w:val="1F2937"/>
          <w:sz w:val="22"/>
          <w:szCs w:val="22"/>
        </w:rPr>
        <w:t xml:space="preserve">Cắt từ bắc sang nam thông qua đường thẳng D, tiết diện đọc (từ vịnh đến dịch vụ): hành lang có mái 2,4 m · phòng khách chính 5,5 m (tầng trệt) / phòng khách (L1) · sống lưng lưu thông 1,5 m · khu dịch vụ 2,2 m. Tầng trệt từ sàn sang sàn = 3,55 m; L1 = 3,20 m; đỉnh mái ở đường thẳng trung tâm = +9,00 m. Hình học mái heng được đặt sao cho mỗi vịnh chính hướng vịnh có chiều cao trần tối thiểu 3,0 m ở đầu giường; đường đỉnh được che chắn từ sân hồ bơi bởi nắp mái hiên hành lang có mái trên tầng.</w:t>
      </w:r>
    </w:p>
    <w:p>
      <w:r>
        <w:br w:type="page"/>
      </w:r>
    </w:p>
    <w:p>
      <w:pPr>
        <w:pStyle w:val="Heading1"/>
        <w:spacing w:after="160" w:before="360"/>
      </w:pPr>
      <w:r>
        <w:rPr>
          <w:rFonts w:ascii="Georgia" w:cs="Georgia" w:eastAsia="Georgia" w:hAnsi="Georgia"/>
          <w:b/>
          <w:bCs/>
          <w:color w:val="1F2937"/>
          <w:sz w:val="36"/>
          <w:szCs w:val="36"/>
        </w:rPr>
        <w:t xml:space="preserve">07 · Vật liệu, Hoàn thiện, Màu sắc</w:t>
      </w:r>
    </w:p>
    <w:p>
      <w:pPr>
        <w:pBdr>
          <w:bottom w:val="single" w:color="D6D3D1" w:sz="6" w:space="1"/>
        </w:pBdr>
        <w:spacing w:after="80" w:before="80"/>
      </w:pPr>
      <w:r>
        <w:t xml:space="preserve"/>
      </w:r>
    </w:p>
    <w:p>
      <w:pPr>
        <w:pStyle w:val="Heading2"/>
        <w:spacing w:after="120" w:before="280"/>
      </w:pPr>
      <w:r>
        <w:rPr>
          <w:rFonts w:ascii="Georgia" w:cs="Georgia" w:eastAsia="Georgia" w:hAnsi="Georgia"/>
          <w:b/>
          <w:bCs/>
          <w:color w:val="B45309"/>
          <w:sz w:val="28"/>
          <w:szCs w:val="28"/>
        </w:rPr>
        <w:t xml:space="preserve">7.1 Bảng màu bên ngoài</w:t>
      </w:r>
    </w:p>
    <w:tbl>
      <w:tblPr>
        <w:tblW w:type="pct" w:w="100%"/>
        <w:tblBorders>
          <w:top w:val="single" w:color="D6D3D1" w:sz="4"/>
          <w:left w:val="single" w:color="D6D3D1" w:sz="4"/>
          <w:bottom w:val="single" w:color="D6D3D1" w:sz="4"/>
          <w:right w:val="single" w:color="D6D3D1" w:sz="4"/>
          <w:insideH w:val="single" w:color="D6D3D1" w:sz="4"/>
          <w:insideV w:val="single" w:color="D6D3D1" w:sz="4"/>
        </w:tblBorders>
      </w:tblPr>
      <w:tblGrid>
        <w:gridCol w:w="2268"/>
        <w:gridCol w:w="2268"/>
        <w:gridCol w:w="2268"/>
        <w:gridCol w:w="2268"/>
      </w:tblGrid>
      <w:tr>
        <w:tc>
          <w:tcPr>
            <w:tcW w:type="pct" w:w="18%"/>
            <w:shd w:fill="1F2937" w:color="auto" w:val="clear"/>
            <w:tcMar>
              <w:top w:type="dxa" w:w="120"/>
              <w:left w:type="dxa" w:w="160"/>
              <w:bottom w:type="dxa" w:w="120"/>
              <w:right w:type="dxa" w:w="160"/>
            </w:tcMar>
          </w:tcPr>
          <w:p>
            <w:pPr>
              <w:spacing w:after="40"/>
              <w:jc w:val="left"/>
            </w:pPr>
            <w:r>
              <w:rPr>
                <w:rFonts w:ascii="Calibri" w:cs="Calibri" w:eastAsia="Calibri" w:hAnsi="Calibri"/>
                <w:b/>
                <w:bCs/>
                <w:color w:val="FFFFFF"/>
                <w:sz w:val="20"/>
                <w:szCs w:val="20"/>
              </w:rPr>
              <w:t xml:space="preserve">Phần tử</w:t>
            </w:r>
          </w:p>
        </w:tc>
        <w:tc>
          <w:tcPr>
            <w:tcW w:type="pct" w:w="28%"/>
            <w:shd w:fill="1F2937" w:color="auto" w:val="clear"/>
            <w:tcMar>
              <w:top w:type="dxa" w:w="120"/>
              <w:left w:type="dxa" w:w="160"/>
              <w:bottom w:type="dxa" w:w="120"/>
              <w:right w:type="dxa" w:w="160"/>
            </w:tcMar>
          </w:tcPr>
          <w:p>
            <w:pPr>
              <w:spacing w:after="40"/>
              <w:jc w:val="left"/>
            </w:pPr>
            <w:r>
              <w:rPr>
                <w:rFonts w:ascii="Calibri" w:cs="Calibri" w:eastAsia="Calibri" w:hAnsi="Calibri"/>
                <w:b/>
                <w:bCs/>
                <w:color w:val="FFFFFF"/>
                <w:sz w:val="20"/>
                <w:szCs w:val="20"/>
              </w:rPr>
              <w:t xml:space="preserve">Vật liệu</w:t>
            </w:r>
          </w:p>
        </w:tc>
        <w:tc>
          <w:tcPr>
            <w:tcW w:type="pct" w:w="30%"/>
            <w:shd w:fill="1F2937" w:color="auto" w:val="clear"/>
            <w:tcMar>
              <w:top w:type="dxa" w:w="120"/>
              <w:left w:type="dxa" w:w="160"/>
              <w:bottom w:type="dxa" w:w="120"/>
              <w:right w:type="dxa" w:w="160"/>
            </w:tcMar>
          </w:tcPr>
          <w:p>
            <w:pPr>
              <w:spacing w:after="40"/>
              <w:jc w:val="left"/>
            </w:pPr>
            <w:r>
              <w:rPr>
                <w:rFonts w:ascii="Calibri" w:cs="Calibri" w:eastAsia="Calibri" w:hAnsi="Calibri"/>
                <w:b/>
                <w:bCs/>
                <w:color w:val="FFFFFF"/>
                <w:sz w:val="20"/>
                <w:szCs w:val="20"/>
              </w:rPr>
              <w:t xml:space="preserve">Màu sắc / hoàn thiện</w:t>
            </w:r>
          </w:p>
        </w:tc>
        <w:tc>
          <w:tcPr>
            <w:tcW w:type="pct" w:w="24%"/>
            <w:shd w:fill="1F2937" w:color="auto" w:val="clear"/>
            <w:tcMar>
              <w:top w:type="dxa" w:w="120"/>
              <w:left w:type="dxa" w:w="160"/>
              <w:bottom w:type="dxa" w:w="120"/>
              <w:right w:type="dxa" w:w="160"/>
            </w:tcMar>
          </w:tcPr>
          <w:p>
            <w:pPr>
              <w:spacing w:after="40"/>
              <w:jc w:val="left"/>
            </w:pPr>
            <w:r>
              <w:rPr>
                <w:rFonts w:ascii="Calibri" w:cs="Calibri" w:eastAsia="Calibri" w:hAnsi="Calibri"/>
                <w:b/>
                <w:bCs/>
                <w:color w:val="FFFFFF"/>
                <w:sz w:val="20"/>
                <w:szCs w:val="20"/>
              </w:rPr>
              <w:t xml:space="preserve">Ghi chú vùng đệm UNESCO</w:t>
            </w:r>
          </w:p>
        </w:tc>
      </w:tr>
      <w:tr>
        <w:tc>
          <w:tcPr>
            <w:tcW w:type="pct" w:w="18%"/>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Mái</w:t>
            </w:r>
          </w:p>
        </w:tc>
        <w:tc>
          <w:tcPr>
            <w:tcW w:type="pct" w:w="28%"/>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Ngói đất nung làm bằng tay, heng, 25°</w:t>
            </w:r>
          </w:p>
        </w:tc>
        <w:tc>
          <w:tcPr>
            <w:tcW w:type="pct" w:w="30%"/>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Đất nung che phủ (kết hợp mành đồng Capella)</w:t>
            </w:r>
          </w:p>
        </w:tc>
        <w:tc>
          <w:tcPr>
            <w:tcW w:type="pct" w:w="24%"/>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Muted, matte, không lấp lánh kim loại</w:t>
            </w:r>
          </w:p>
        </w:tc>
      </w:tr>
      <w:tr>
        <w:tc>
          <w:tcPr>
            <w:tcW w:type="pct" w:w="18%"/>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Đỉnh + máng</w:t>
            </w:r>
          </w:p>
        </w:tc>
        <w:tc>
          <w:tcPr>
            <w:tcW w:type="pct" w:w="28%"/>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Đồng được tự động hóa</w:t>
            </w:r>
          </w:p>
        </w:tc>
        <w:tc>
          <w:tcPr>
            <w:tcW w:type="pct" w:w="30%"/>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Verdigris trong 5 năm</w:t>
            </w:r>
          </w:p>
        </w:tc>
        <w:tc>
          <w:tcPr>
            <w:tcW w:type="pct" w:w="24%"/>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Hoàn thiện già ở bàn giao — được rửa sạch trước</w:t>
            </w:r>
          </w:p>
        </w:tc>
      </w:tr>
      <w:tr>
        <w:tc>
          <w:tcPr>
            <w:tcW w:type="pct" w:w="18%"/>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Tường (trên)</w:t>
            </w:r>
          </w:p>
        </w:tc>
        <w:tc>
          <w:tcPr>
            <w:tcW w:type="pct" w:w="28%"/>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Sơn vôi trang trí trên thạch cao</w:t>
            </w:r>
          </w:p>
        </w:tc>
        <w:tc>
          <w:tcPr>
            <w:tcW w:type="pct" w:w="30%"/>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Ốm ấm (NCS S 1005-Y20R)</w:t>
            </w:r>
          </w:p>
        </w:tc>
        <w:tc>
          <w:tcPr>
            <w:tcW w:type="pct" w:w="24%"/>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Không phản xạ, không có màu sắc cạnh tranh với núi đá vôi</w:t>
            </w:r>
          </w:p>
        </w:tc>
      </w:tr>
      <w:tr>
        <w:tc>
          <w:tcPr>
            <w:tcW w:type="pct" w:w="18%"/>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Tường (cơ sở đến +3,18)</w:t>
            </w:r>
          </w:p>
        </w:tc>
        <w:tc>
          <w:tcPr>
            <w:tcW w:type="pct" w:w="28%"/>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Basalt chia mặt STW2 được giữ lại</w:t>
            </w:r>
          </w:p>
        </w:tc>
        <w:tc>
          <w:tcPr>
            <w:tcW w:type="pct" w:w="30%"/>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Nguyên bản tối than</w:t>
            </w:r>
          </w:p>
        </w:tc>
        <w:tc>
          <w:tcPr>
            <w:tcW w:type="pct" w:w="24%"/>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Hoàn thiện hiện có, không thay đổi</w:t>
            </w:r>
          </w:p>
        </w:tc>
      </w:tr>
      <w:tr>
        <w:tc>
          <w:tcPr>
            <w:tcW w:type="pct" w:w="18%"/>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Cửa chớp / lam</w:t>
            </w:r>
          </w:p>
        </w:tc>
        <w:tc>
          <w:tcPr>
            <w:tcW w:type="pct" w:w="28%"/>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Teak FSC, dầu</w:t>
            </w:r>
          </w:p>
        </w:tc>
        <w:tc>
          <w:tcPr>
            <w:tcW w:type="pct" w:w="30%"/>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Mực-than nhanh chóng, matte</w:t>
            </w:r>
          </w:p>
        </w:tc>
        <w:tc>
          <w:tcPr>
            <w:tcW w:type="pct" w:w="24%"/>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Trực tiếp thay thế rèm tre SDET-075</w:t>
            </w:r>
          </w:p>
        </w:tc>
      </w:tr>
      <w:tr>
        <w:tc>
          <w:tcPr>
            <w:tcW w:type="pct" w:w="18%"/>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Trần hành lang có mái</w:t>
            </w:r>
          </w:p>
        </w:tc>
        <w:tc>
          <w:tcPr>
            <w:tcW w:type="pct" w:w="28%"/>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Lưỡi teak-and-groove</w:t>
            </w:r>
          </w:p>
        </w:tc>
        <w:tc>
          <w:tcPr>
            <w:tcW w:type="pct" w:w="30%"/>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Dầu tự nhiên</w:t>
            </w:r>
          </w:p>
        </w:tc>
        <w:tc>
          <w:tcPr>
            <w:tcW w:type="pct" w:w="24%"/>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Làm mềm quá hang trong ảnh</w:t>
            </w:r>
          </w:p>
        </w:tc>
      </w:tr>
      <w:tr>
        <w:tc>
          <w:tcPr>
            <w:tcW w:type="pct" w:w="18%"/>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Kính</w:t>
            </w:r>
          </w:p>
        </w:tc>
        <w:tc>
          <w:tcPr>
            <w:tcW w:type="pct" w:w="28%"/>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Chuỗi AD được giữ lại, khung đồng</w:t>
            </w:r>
          </w:p>
        </w:tc>
        <w:tc>
          <w:tcPr>
            <w:tcW w:type="pct" w:w="30%"/>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Tint mặt trời trung lập 20%</w:t>
            </w:r>
          </w:p>
        </w:tc>
        <w:tc>
          <w:tcPr>
            <w:tcW w:type="pct" w:w="24%"/>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Không lớp phủ phản xạ</w:t>
            </w:r>
          </w:p>
        </w:tc>
      </w:tr>
      <w:tr>
        <w:tc>
          <w:tcPr>
            <w:tcW w:type="pct" w:w="18%"/>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Sàn hành lang có mái</w:t>
            </w:r>
          </w:p>
        </w:tc>
        <w:tc>
          <w:tcPr>
            <w:tcW w:type="pct" w:w="28%"/>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Sàn teak cổ</w:t>
            </w:r>
          </w:p>
        </w:tc>
        <w:tc>
          <w:tcPr>
            <w:tcW w:type="pct" w:w="30%"/>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Che phủ bạc tự nhiên</w:t>
            </w:r>
          </w:p>
        </w:tc>
        <w:tc>
          <w:tcPr>
            <w:tcW w:type="pct" w:w="24%"/>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Timber đọc như cảnh quan</w:t>
            </w:r>
          </w:p>
        </w:tc>
      </w:tr>
      <w:tr>
        <w:tc>
          <w:tcPr>
            <w:tcW w:type="pct" w:w="18%"/>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Cạnh hồ bơi</w:t>
            </w:r>
          </w:p>
        </w:tc>
        <w:tc>
          <w:tcPr>
            <w:tcW w:type="pct" w:w="28%"/>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Basalt Indonesia lăn</w:t>
            </w:r>
          </w:p>
        </w:tc>
        <w:tc>
          <w:tcPr>
            <w:tcW w:type="pct" w:w="30%"/>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Than, mài</w:t>
            </w:r>
          </w:p>
        </w:tc>
        <w:tc>
          <w:tcPr>
            <w:tcW w:type="pct" w:w="24%"/>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Khớp với tường cơ sở</w:t>
            </w:r>
          </w:p>
        </w:tc>
      </w:tr>
      <w:tr>
        <w:tc>
          <w:tcPr>
            <w:tcW w:type="pct" w:w="18%"/>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Đường dẫn &amp; sân xe motor</w:t>
            </w:r>
          </w:p>
        </w:tc>
        <w:tc>
          <w:tcPr>
            <w:tcW w:type="pct" w:w="28%"/>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Basalt cắt với khớp cỏ</w:t>
            </w:r>
          </w:p>
        </w:tc>
        <w:tc>
          <w:tcPr>
            <w:tcW w:type="pct" w:w="30%"/>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Than + xanh</w:t>
            </w:r>
          </w:p>
        </w:tc>
        <w:tc>
          <w:tcPr>
            <w:tcW w:type="pct" w:w="24%"/>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Lát cảnh quan thẩm thấu</w:t>
            </w:r>
          </w:p>
        </w:tc>
      </w:tr>
    </w:tbl>
    <w:p>
      <w:pPr>
        <w:spacing w:after="120" w:before="0"/>
      </w:pPr>
      <w:r>
        <w:t xml:space="preserve"/>
      </w:r>
    </w:p>
    <w:p>
      <w:pPr>
        <w:pStyle w:val="Heading2"/>
        <w:spacing w:after="120" w:before="280"/>
      </w:pPr>
      <w:r>
        <w:rPr>
          <w:rFonts w:ascii="Georgia" w:cs="Georgia" w:eastAsia="Georgia" w:hAnsi="Georgia"/>
          <w:b/>
          <w:bCs/>
          <w:color w:val="B45309"/>
          <w:sz w:val="28"/>
          <w:szCs w:val="28"/>
        </w:rPr>
        <w:t xml:space="preserve">7.2 Bảng màu nội thất</w:t>
      </w:r>
    </w:p>
    <w:tbl>
      <w:tblPr>
        <w:tblW w:type="pct" w:w="100%"/>
        <w:tblBorders>
          <w:top w:val="single" w:color="D6D3D1" w:sz="4"/>
          <w:left w:val="single" w:color="D6D3D1" w:sz="4"/>
          <w:bottom w:val="single" w:color="D6D3D1" w:sz="4"/>
          <w:right w:val="single" w:color="D6D3D1" w:sz="4"/>
          <w:insideH w:val="single" w:color="D6D3D1" w:sz="4"/>
          <w:insideV w:val="single" w:color="D6D3D1" w:sz="4"/>
        </w:tblBorders>
      </w:tblPr>
      <w:tblGrid>
        <w:gridCol w:w="1814"/>
        <w:gridCol w:w="1814"/>
        <w:gridCol w:w="1814"/>
        <w:gridCol w:w="1814"/>
        <w:gridCol w:w="1814"/>
      </w:tblGrid>
      <w:tr>
        <w:tc>
          <w:tcPr>
            <w:tcW w:type="pct" w:w="18%"/>
            <w:shd w:fill="1F2937" w:color="auto" w:val="clear"/>
            <w:tcMar>
              <w:top w:type="dxa" w:w="120"/>
              <w:left w:type="dxa" w:w="160"/>
              <w:bottom w:type="dxa" w:w="120"/>
              <w:right w:type="dxa" w:w="160"/>
            </w:tcMar>
          </w:tcPr>
          <w:p>
            <w:pPr>
              <w:spacing w:after="40"/>
              <w:jc w:val="left"/>
            </w:pPr>
            <w:r>
              <w:rPr>
                <w:rFonts w:ascii="Calibri" w:cs="Calibri" w:eastAsia="Calibri" w:hAnsi="Calibri"/>
                <w:b/>
                <w:bCs/>
                <w:color w:val="FFFFFF"/>
                <w:sz w:val="20"/>
                <w:szCs w:val="20"/>
              </w:rPr>
              <w:t xml:space="preserve">Khu vực</w:t>
            </w:r>
          </w:p>
        </w:tc>
        <w:tc>
          <w:tcPr>
            <w:tcW w:type="pct" w:w="22%"/>
            <w:shd w:fill="1F2937" w:color="auto" w:val="clear"/>
            <w:tcMar>
              <w:top w:type="dxa" w:w="120"/>
              <w:left w:type="dxa" w:w="160"/>
              <w:bottom w:type="dxa" w:w="120"/>
              <w:right w:type="dxa" w:w="160"/>
            </w:tcMar>
          </w:tcPr>
          <w:p>
            <w:pPr>
              <w:spacing w:after="40"/>
              <w:jc w:val="left"/>
            </w:pPr>
            <w:r>
              <w:rPr>
                <w:rFonts w:ascii="Calibri" w:cs="Calibri" w:eastAsia="Calibri" w:hAnsi="Calibri"/>
                <w:b/>
                <w:bCs/>
                <w:color w:val="FFFFFF"/>
                <w:sz w:val="20"/>
                <w:szCs w:val="20"/>
              </w:rPr>
              <w:t xml:space="preserve">Tường</w:t>
            </w:r>
          </w:p>
        </w:tc>
        <w:tc>
          <w:tcPr>
            <w:tcW w:type="pct" w:w="16%"/>
            <w:shd w:fill="1F2937" w:color="auto" w:val="clear"/>
            <w:tcMar>
              <w:top w:type="dxa" w:w="120"/>
              <w:left w:type="dxa" w:w="160"/>
              <w:bottom w:type="dxa" w:w="120"/>
              <w:right w:type="dxa" w:w="160"/>
            </w:tcMar>
          </w:tcPr>
          <w:p>
            <w:pPr>
              <w:spacing w:after="40"/>
              <w:jc w:val="left"/>
            </w:pPr>
            <w:r>
              <w:rPr>
                <w:rFonts w:ascii="Calibri" w:cs="Calibri" w:eastAsia="Calibri" w:hAnsi="Calibri"/>
                <w:b/>
                <w:bCs/>
                <w:color w:val="FFFFFF"/>
                <w:sz w:val="20"/>
                <w:szCs w:val="20"/>
              </w:rPr>
              <w:t xml:space="preserve">Sàn</w:t>
            </w:r>
          </w:p>
        </w:tc>
        <w:tc>
          <w:tcPr>
            <w:tcW w:type="pct" w:w="22%"/>
            <w:shd w:fill="1F2937" w:color="auto" w:val="clear"/>
            <w:tcMar>
              <w:top w:type="dxa" w:w="120"/>
              <w:left w:type="dxa" w:w="160"/>
              <w:bottom w:type="dxa" w:w="120"/>
              <w:right w:type="dxa" w:w="160"/>
            </w:tcMar>
          </w:tcPr>
          <w:p>
            <w:pPr>
              <w:spacing w:after="40"/>
              <w:jc w:val="left"/>
            </w:pPr>
            <w:r>
              <w:rPr>
                <w:rFonts w:ascii="Calibri" w:cs="Calibri" w:eastAsia="Calibri" w:hAnsi="Calibri"/>
                <w:b/>
                <w:bCs/>
                <w:color w:val="FFFFFF"/>
                <w:sz w:val="20"/>
                <w:szCs w:val="20"/>
              </w:rPr>
              <w:t xml:space="preserve">Trần</w:t>
            </w:r>
          </w:p>
        </w:tc>
        <w:tc>
          <w:tcPr>
            <w:tcW w:type="pct" w:w="22%"/>
            <w:shd w:fill="1F2937" w:color="auto" w:val="clear"/>
            <w:tcMar>
              <w:top w:type="dxa" w:w="120"/>
              <w:left w:type="dxa" w:w="160"/>
              <w:bottom w:type="dxa" w:w="120"/>
              <w:right w:type="dxa" w:w="160"/>
            </w:tcMar>
          </w:tcPr>
          <w:p>
            <w:pPr>
              <w:spacing w:after="40"/>
              <w:jc w:val="left"/>
            </w:pPr>
            <w:r>
              <w:rPr>
                <w:rFonts w:ascii="Calibri" w:cs="Calibri" w:eastAsia="Calibri" w:hAnsi="Calibri"/>
                <w:b/>
                <w:bCs/>
                <w:color w:val="FFFFFF"/>
                <w:sz w:val="20"/>
                <w:szCs w:val="20"/>
              </w:rPr>
              <w:t xml:space="preserve">Tính năng</w:t>
            </w:r>
          </w:p>
        </w:tc>
      </w:tr>
      <w:tr>
        <w:tc>
          <w:tcPr>
            <w:tcW w:type="pct" w:w="18%"/>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Sảnh vào</w:t>
            </w:r>
          </w:p>
        </w:tc>
        <w:tc>
          <w:tcPr>
            <w:tcW w:type="pct" w:w="22%"/>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Vữa Venezia ốm</w:t>
            </w:r>
          </w:p>
        </w:tc>
        <w:tc>
          <w:tcPr>
            <w:tcW w:type="pct" w:w="16%"/>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Travertine lăn</w:t>
            </w:r>
          </w:p>
        </w:tc>
        <w:tc>
          <w:tcPr>
            <w:tcW w:type="pct" w:w="22%"/>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Teak coffered</w:t>
            </w:r>
          </w:p>
        </w:tc>
        <w:tc>
          <w:tcPr>
            <w:tcW w:type="pct" w:w="22%"/>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Hộp đèn đồng cũ, 1,6 m dia</w:t>
            </w:r>
          </w:p>
        </w:tc>
      </w:tr>
      <w:tr>
        <w:tc>
          <w:tcPr>
            <w:tcW w:type="pct" w:w="18%"/>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Phòng khách chính thức</w:t>
            </w:r>
          </w:p>
        </w:tc>
        <w:tc>
          <w:tcPr>
            <w:tcW w:type="pct" w:w="22%"/>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Ốm thô, ray dado</w:t>
            </w:r>
          </w:p>
        </w:tc>
        <w:tc>
          <w:tcPr>
            <w:tcW w:type="pct" w:w="16%"/>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Ngói teak xương cá</w:t>
            </w:r>
          </w:p>
        </w:tc>
        <w:tc>
          <w:tcPr>
            <w:tcW w:type="pct" w:w="22%"/>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Bảng tấm raffia giữa xà teak</w:t>
            </w:r>
          </w:p>
        </w:tc>
        <w:tc>
          <w:tcPr>
            <w:tcW w:type="pct" w:w="22%"/>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Sofa linen, lúa mì; ghế bành nhung mực</w:t>
            </w:r>
          </w:p>
        </w:tc>
      </w:tr>
      <w:tr>
        <w:tc>
          <w:tcPr>
            <w:tcW w:type="pct" w:w="18%"/>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Phòng ăn chính thức</w:t>
            </w:r>
          </w:p>
        </w:tc>
        <w:tc>
          <w:tcPr>
            <w:tcW w:type="pct" w:w="22%"/>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Ốm với ốp teak</w:t>
            </w:r>
          </w:p>
        </w:tc>
        <w:tc>
          <w:tcPr>
            <w:tcW w:type="pct" w:w="16%"/>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Ngói teak xương cá</w:t>
            </w:r>
          </w:p>
        </w:tc>
        <w:tc>
          <w:tcPr>
            <w:tcW w:type="pct" w:w="22%"/>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Coffered, raffia infill</w:t>
            </w:r>
          </w:p>
        </w:tc>
        <w:tc>
          <w:tcPr>
            <w:tcW w:type="pct" w:w="22%"/>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Bàn teak 10 chỗ, ghế mây</w:t>
            </w:r>
          </w:p>
        </w:tc>
      </w:tr>
      <w:tr>
        <w:tc>
          <w:tcPr>
            <w:tcW w:type="pct" w:w="18%"/>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Bếp (mở)</w:t>
            </w:r>
          </w:p>
        </w:tc>
        <w:tc>
          <w:tcPr>
            <w:tcW w:type="pct" w:w="22%"/>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Ốm với backsplash đá cẩm thạch</w:t>
            </w:r>
          </w:p>
        </w:tc>
        <w:tc>
          <w:tcPr>
            <w:tcW w:type="pct" w:w="16%"/>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Travertine lăn</w:t>
            </w:r>
          </w:p>
        </w:tc>
        <w:tc>
          <w:tcPr>
            <w:tcW w:type="pct" w:w="22%"/>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Vữa để sạch</w:t>
            </w:r>
          </w:p>
        </w:tc>
        <w:tc>
          <w:tcPr>
            <w:tcW w:type="pct" w:w="22%"/>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Hòn đảo Carrara mài, phần cứng đồng</w:t>
            </w:r>
          </w:p>
        </w:tc>
      </w:tr>
      <w:tr>
        <w:tc>
          <w:tcPr>
            <w:tcW w:type="pct" w:w="18%"/>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Phòng ngủ chính</w:t>
            </w:r>
          </w:p>
        </w:tc>
        <w:tc>
          <w:tcPr>
            <w:tcW w:type="pct" w:w="22%"/>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Ốm ấm, tường đầu vải dệt</w:t>
            </w:r>
          </w:p>
        </w:tc>
        <w:tc>
          <w:tcPr>
            <w:tcW w:type="pct" w:w="16%"/>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Sồi trắng</w:t>
            </w:r>
          </w:p>
        </w:tc>
        <w:tc>
          <w:tcPr>
            <w:tcW w:type="pct" w:w="22%"/>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Vữa để sạch</w:t>
            </w:r>
          </w:p>
        </w:tc>
        <w:tc>
          <w:tcPr>
            <w:tcW w:type="pct" w:w="22%"/>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Giường bốn cột teak, mặt dây chuyền raffia</w:t>
            </w:r>
          </w:p>
        </w:tc>
      </w:tr>
      <w:tr>
        <w:tc>
          <w:tcPr>
            <w:tcW w:type="pct" w:w="18%"/>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Phòng tắm chính</w:t>
            </w:r>
          </w:p>
        </w:tc>
        <w:tc>
          <w:tcPr>
            <w:tcW w:type="pct" w:w="22%"/>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Bảng điều khiển Carrara mài</w:t>
            </w:r>
          </w:p>
        </w:tc>
        <w:tc>
          <w:tcPr>
            <w:tcW w:type="pct" w:w="16%"/>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Carrara mài</w:t>
            </w:r>
          </w:p>
        </w:tc>
        <w:tc>
          <w:tcPr>
            <w:tcW w:type="pct" w:w="22%"/>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Vữa để sạch</w:t>
            </w:r>
          </w:p>
        </w:tc>
        <w:tc>
          <w:tcPr>
            <w:tcW w:type="pct" w:w="22%"/>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Bồn tắm đồng cũ độc lập, tầm nhìn vịnh</w:t>
            </w:r>
          </w:p>
        </w:tc>
      </w:tr>
      <w:tr>
        <w:tc>
          <w:tcPr>
            <w:tcW w:type="pct" w:w="18%"/>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Phòng khách (L1)</w:t>
            </w:r>
          </w:p>
        </w:tc>
        <w:tc>
          <w:tcPr>
            <w:tcW w:type="pct" w:w="22%"/>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Ốm thô ốm</w:t>
            </w:r>
          </w:p>
        </w:tc>
        <w:tc>
          <w:tcPr>
            <w:tcW w:type="pct" w:w="16%"/>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Sồi trắng</w:t>
            </w:r>
          </w:p>
        </w:tc>
        <w:tc>
          <w:tcPr>
            <w:tcW w:type="pct" w:w="22%"/>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Vữa để sạch với thanh buộc tiếp xúc</w:t>
            </w:r>
          </w:p>
        </w:tc>
      </w:tr>
      <w:tr>
        <w:tc>
          <w:tcPr>
            <w:tcW w:type="pct" w:w="18%"/>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Phòng lounge khách (L1)</w:t>
            </w:r>
          </w:p>
        </w:tc>
        <w:tc>
          <w:tcPr>
            <w:tcW w:type="pct" w:w="22%"/>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Nửa bảng teak, ốm ở trên</w:t>
            </w:r>
          </w:p>
        </w:tc>
        <w:tc>
          <w:tcPr>
            <w:tcW w:type="pct" w:w="16%"/>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Ngói teak xương cá</w:t>
            </w:r>
          </w:p>
        </w:tc>
        <w:tc>
          <w:tcPr>
            <w:tcW w:type="pct" w:w="22%"/>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Teak coffered</w:t>
            </w:r>
          </w:p>
        </w:tc>
        <w:tc>
          <w:tcPr>
            <w:tcW w:type="pct" w:w="22%"/>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Đèn đọc, tường thư viện</w:t>
            </w:r>
          </w:p>
        </w:tc>
      </w:tr>
    </w:tbl>
    <w:p>
      <w:r>
        <w:br w:type="page"/>
      </w:r>
    </w:p>
    <w:p>
      <w:pPr>
        <w:pStyle w:val="Heading1"/>
        <w:spacing w:after="160" w:before="360"/>
      </w:pPr>
      <w:r>
        <w:rPr>
          <w:rFonts w:ascii="Georgia" w:cs="Georgia" w:eastAsia="Georgia" w:hAnsi="Georgia"/>
          <w:b/>
          <w:bCs/>
          <w:color w:val="1F2937"/>
          <w:sz w:val="36"/>
          <w:szCs w:val="36"/>
        </w:rPr>
        <w:t xml:space="preserve">08 · Tường thuật nội thất &amp; cảnh quan</w:t>
      </w:r>
    </w:p>
    <w:p>
      <w:pPr>
        <w:pBdr>
          <w:bottom w:val="single" w:color="D6D3D1" w:sz="6" w:space="1"/>
        </w:pBdr>
        <w:spacing w:after="80" w:before="80"/>
      </w:pPr>
      <w:r>
        <w:t xml:space="preserve"/>
      </w:r>
    </w:p>
    <w:p>
      <w:pPr>
        <w:pStyle w:val="Heading2"/>
        <w:spacing w:after="120" w:before="280"/>
      </w:pPr>
      <w:r>
        <w:rPr>
          <w:rFonts w:ascii="Georgia" w:cs="Georgia" w:eastAsia="Georgia" w:hAnsi="Georgia"/>
          <w:b/>
          <w:bCs/>
          <w:color w:val="B45309"/>
          <w:sz w:val="28"/>
          <w:szCs w:val="28"/>
        </w:rPr>
        <w:t xml:space="preserve">8.1 Chuỗi sự đến</w:t>
      </w:r>
    </w:p>
    <w:p>
      <w:pPr>
        <w:spacing w:after="140" w:line="300"/>
        <w:jc w:val="both"/>
      </w:pPr>
      <w:r>
        <w:rPr>
          <w:rFonts w:ascii="Calibri" w:cs="Calibri" w:eastAsia="Calibri" w:hAnsi="Calibri"/>
          <w:b w:val="false"/>
          <w:bCs w:val="false"/>
          <w:i w:val="false"/>
          <w:iCs w:val="false"/>
          <w:color w:val="1F2937"/>
          <w:sz w:val="22"/>
          <w:szCs w:val="22"/>
        </w:rPr>
        <w:t xml:space="preserve">Khách vào từ phía bắc thông qua một sân xe motor 4 m rộng của basalt cắt với khớp cỏ, bao quanh bởi hai frangipani trưởng thành trong các bố cục đá nâng cao. Porte-cochère là một thể tích được lót đá đơn với một cặp cửa teak rắn (cao 2,4 m, ốp tấm teak, kéo đồng cũ). Vượt qua ngưỡng, sảnh tăng đến một không gian cao gấp đôi được che bằng một trần teak coffered và một hộp đèn đồng cũ 1,6 m; một tầm nhìn trục trung tâm kéo mắt qua các phòng khách và phòng ăn đến vịnh phía bbeyond. Chuỗi sự đến được giai đoạn cho nhiếp ảnh — 12 m chiều cao trần từ nén đến giải phóng, độ tương phản than-đến-ốm, và tầm nhìn đầu tiên của vịnh được khung bởi cửa sổ teak.</w:t>
      </w:r>
    </w:p>
    <w:p>
      <w:pPr>
        <w:pStyle w:val="Heading2"/>
        <w:spacing w:after="120" w:before="280"/>
      </w:pPr>
      <w:r>
        <w:rPr>
          <w:rFonts w:ascii="Georgia" w:cs="Georgia" w:eastAsia="Georgia" w:hAnsi="Georgia"/>
          <w:b/>
          <w:bCs/>
          <w:color w:val="B45309"/>
          <w:sz w:val="28"/>
          <w:szCs w:val="28"/>
        </w:rPr>
        <w:t xml:space="preserve">8.2 Phòng vịnh (phòng khách chính thức)</w:t>
      </w:r>
    </w:p>
    <w:p>
      <w:pPr>
        <w:spacing w:after="140" w:line="300"/>
        <w:jc w:val="both"/>
      </w:pPr>
      <w:r>
        <w:rPr>
          <w:rFonts w:ascii="Calibri" w:cs="Calibri" w:eastAsia="Calibri" w:hAnsi="Calibri"/>
          <w:b w:val="false"/>
          <w:bCs w:val="false"/>
          <w:i w:val="false"/>
          <w:iCs w:val="false"/>
          <w:color w:val="1F2937"/>
          <w:sz w:val="22"/>
          <w:szCs w:val="22"/>
        </w:rPr>
        <w:t xml:space="preserve">Phòng khách chính thức hướng dọc theo mặt đứng phía nam — 11 m rộng, sâu 6 m, trần 3,4 m. Bốn cặp cửa kính trượt toàn chiều cao teak mở ra hành lang có mái. Nhóm chỗ ngồi trung tâm là hai sofa linen 3,2 m ở lúa mì quay mặt nhau trên một bàn cà phê teak cổ, ngoặc bởi hai ghế bành nhung mực. Tường lò sưởi ghép travertine mài ngồi đối diện với vịnh (không hoạt động về khí hậu, nhưng cung cấp cho phòng một neo trục). Bảng tấm raffia trần giữa xà teak tiếp xúc; thảm Thổ Nhĩ Kỳ cũ trong rỉ sét phai; hai hộp đèn mặt dây chuyền đồng cũ. Vào lúc hoàng hôn, các cửa chớp nửa đóng ném bóng ngang qua sàn.</w:t>
      </w:r>
    </w:p>
    <w:p>
      <w:pPr>
        <w:pStyle w:val="Heading2"/>
        <w:spacing w:after="120" w:before="280"/>
      </w:pPr>
      <w:r>
        <w:rPr>
          <w:rFonts w:ascii="Georgia" w:cs="Georgia" w:eastAsia="Georgia" w:hAnsi="Georgia"/>
          <w:b/>
          <w:bCs/>
          <w:color w:val="B45309"/>
          <w:sz w:val="28"/>
          <w:szCs w:val="28"/>
        </w:rPr>
        <w:t xml:space="preserve">8.3 Phòng ngủ chính</w:t>
      </w:r>
    </w:p>
    <w:p>
      <w:pPr>
        <w:spacing w:after="140" w:line="300"/>
        <w:jc w:val="both"/>
      </w:pPr>
      <w:r>
        <w:rPr>
          <w:rFonts w:ascii="Calibri" w:cs="Calibri" w:eastAsia="Calibri" w:hAnsi="Calibri"/>
          <w:b w:val="false"/>
          <w:bCs w:val="false"/>
          <w:i w:val="false"/>
          <w:iCs w:val="false"/>
          <w:color w:val="1F2937"/>
          <w:sz w:val="22"/>
          <w:szCs w:val="22"/>
        </w:rPr>
        <w:t xml:space="preserve">Phòng ngủ chính chiếm đầu phía tây của tầng trệt, với sân hiên che phủ riêng của nó bước trực tiếp vào sân hồ bơi. Giường bốn cột teak quay mặt phía nam đến vịnh; tường đầu vải dệt được bao phủ trong raffia dệt tay. Một cặp cửa chớp teak quay tương tác khung tầm nhìn vịnh từ giường. Phòng tắm là một thể tích Carrara mài duy nhất: một bồn tắm đồng cũ độc lập ngồi trên tường phía nam dưới một cửa sổ quay 1,2 × 1,2 m, cung cấp một khoảnh khắc tắm-với-tầm nhìn-vịnh mà đọc ở định dạng Instagram. Phòng trang điểm được ốp teak với inlay đồng cũ.</w:t>
      </w:r>
    </w:p>
    <w:p>
      <w:pPr>
        <w:pStyle w:val="Heading2"/>
        <w:spacing w:after="120" w:before="280"/>
      </w:pPr>
      <w:r>
        <w:rPr>
          <w:rFonts w:ascii="Georgia" w:cs="Georgia" w:eastAsia="Georgia" w:hAnsi="Georgia"/>
          <w:b/>
          <w:bCs/>
          <w:color w:val="B45309"/>
          <w:sz w:val="28"/>
          <w:szCs w:val="28"/>
        </w:rPr>
        <w:t xml:space="preserve">8.4 Cảnh quan — sân hồ bơi</w:t>
      </w:r>
    </w:p>
    <w:p>
      <w:pPr>
        <w:spacing w:after="140" w:line="300"/>
        <w:jc w:val="both"/>
      </w:pPr>
      <w:r>
        <w:rPr>
          <w:rFonts w:ascii="Calibri" w:cs="Calibri" w:eastAsia="Calibri" w:hAnsi="Calibri"/>
          <w:b w:val="false"/>
          <w:bCs w:val="false"/>
          <w:i w:val="false"/>
          <w:iCs w:val="false"/>
          <w:color w:val="1F2937"/>
          <w:sz w:val="22"/>
          <w:szCs w:val="22"/>
        </w:rPr>
        <w:t xml:space="preserve">Hồ bơi hiện có được giữ lại nhưng được chỉnh sửa cạnh trong basalt lăn và mở rộng 1,5 m phía nam thành một giường cây trồng mới được phát triển của heliconia, chim thiên đường và cỏ nhiệt đới. Một sân khấu phòng tách biệt (3,6 × 3,6 m, mái ngói đất nung heng phù hợp với ngôi nhà chính, mở cả bốn phía, giường ngày + xe đẩy nước ngọt đồng) ngồi trên thảo nguyên phía đông như một phòng khách ngoài trời bóng. Một bếp ngoài trời với một lò nướng đốt gỗ được nhét vào góc nam-đông của nhà. Cây xoài và cây Nhân Hòa trưởng thành cạnh ranh giới phía tây, cung cấp bóng chiều cho sân hiên phòng ngủ chính và khung tầm nhìn vịnh trong đuôi dài.</w:t>
      </w:r>
    </w:p>
    <w:p>
      <w:r>
        <w:br w:type="page"/>
      </w:r>
    </w:p>
    <w:p>
      <w:pPr>
        <w:pStyle w:val="Heading1"/>
        <w:spacing w:after="160" w:before="360"/>
      </w:pPr>
      <w:r>
        <w:rPr>
          <w:rFonts w:ascii="Georgia" w:cs="Georgia" w:eastAsia="Georgia" w:hAnsi="Georgia"/>
          <w:b/>
          <w:bCs/>
          <w:color w:val="1F2937"/>
          <w:sz w:val="36"/>
          <w:szCs w:val="36"/>
        </w:rPr>
        <w:t xml:space="preserve">09 · Danh mục tuân thủ pháp lý</w:t>
      </w:r>
    </w:p>
    <w:p>
      <w:pPr>
        <w:pBdr>
          <w:bottom w:val="single" w:color="D6D3D1" w:sz="6" w:space="1"/>
        </w:pBdr>
        <w:spacing w:after="80" w:before="80"/>
      </w:pPr>
      <w:r>
        <w:t xml:space="preserve"/>
      </w:r>
    </w:p>
    <w:tbl>
      <w:tblPr>
        <w:tblW w:type="pct" w:w="100%"/>
        <w:tblBorders>
          <w:top w:val="single" w:color="D6D3D1" w:sz="4"/>
          <w:left w:val="single" w:color="D6D3D1" w:sz="4"/>
          <w:bottom w:val="single" w:color="D6D3D1" w:sz="4"/>
          <w:right w:val="single" w:color="D6D3D1" w:sz="4"/>
          <w:insideH w:val="single" w:color="D6D3D1" w:sz="4"/>
          <w:insideV w:val="single" w:color="D6D3D1" w:sz="4"/>
        </w:tblBorders>
      </w:tblPr>
      <w:tblGrid>
        <w:gridCol w:w="2268"/>
        <w:gridCol w:w="2268"/>
        <w:gridCol w:w="2268"/>
        <w:gridCol w:w="2268"/>
      </w:tblGrid>
      <w:tr>
        <w:tc>
          <w:tcPr>
            <w:tcW w:type="pct" w:w="6%"/>
            <w:shd w:fill="1F2937" w:color="auto" w:val="clear"/>
            <w:tcMar>
              <w:top w:type="dxa" w:w="120"/>
              <w:left w:type="dxa" w:w="160"/>
              <w:bottom w:type="dxa" w:w="120"/>
              <w:right w:type="dxa" w:w="160"/>
            </w:tcMar>
          </w:tcPr>
          <w:p>
            <w:pPr>
              <w:spacing w:after="40"/>
              <w:jc w:val="left"/>
            </w:pPr>
            <w:r>
              <w:rPr>
                <w:rFonts w:ascii="Calibri" w:cs="Calibri" w:eastAsia="Calibri" w:hAnsi="Calibri"/>
                <w:b/>
                <w:bCs/>
                <w:color w:val="FFFFFF"/>
                <w:sz w:val="20"/>
                <w:szCs w:val="20"/>
              </w:rPr>
              <w:t xml:space="preserve">#</w:t>
            </w:r>
          </w:p>
        </w:tc>
        <w:tc>
          <w:tcPr>
            <w:tcW w:type="pct" w:w="40%"/>
            <w:shd w:fill="1F2937" w:color="auto" w:val="clear"/>
            <w:tcMar>
              <w:top w:type="dxa" w:w="120"/>
              <w:left w:type="dxa" w:w="160"/>
              <w:bottom w:type="dxa" w:w="120"/>
              <w:right w:type="dxa" w:w="160"/>
            </w:tcMar>
          </w:tcPr>
          <w:p>
            <w:pPr>
              <w:spacing w:after="40"/>
              <w:jc w:val="left"/>
            </w:pPr>
            <w:r>
              <w:rPr>
                <w:rFonts w:ascii="Calibri" w:cs="Calibri" w:eastAsia="Calibri" w:hAnsi="Calibri"/>
                <w:b/>
                <w:bCs/>
                <w:color w:val="FFFFFF"/>
                <w:sz w:val="20"/>
                <w:szCs w:val="20"/>
              </w:rPr>
              <w:t xml:space="preserve">Yêu cầu</w:t>
            </w:r>
          </w:p>
        </w:tc>
        <w:tc>
          <w:tcPr>
            <w:tcW w:type="pct" w:w="26%"/>
            <w:shd w:fill="1F2937" w:color="auto" w:val="clear"/>
            <w:tcMar>
              <w:top w:type="dxa" w:w="120"/>
              <w:left w:type="dxa" w:w="160"/>
              <w:bottom w:type="dxa" w:w="120"/>
              <w:right w:type="dxa" w:w="160"/>
            </w:tcMar>
          </w:tcPr>
          <w:p>
            <w:pPr>
              <w:spacing w:after="40"/>
              <w:jc w:val="left"/>
            </w:pPr>
            <w:r>
              <w:rPr>
                <w:rFonts w:ascii="Calibri" w:cs="Calibri" w:eastAsia="Calibri" w:hAnsi="Calibri"/>
                <w:b/>
                <w:bCs/>
                <w:color w:val="FFFFFF"/>
                <w:sz w:val="20"/>
                <w:szCs w:val="20"/>
              </w:rPr>
              <w:t xml:space="preserve">Nguồn</w:t>
            </w:r>
          </w:p>
        </w:tc>
        <w:tc>
          <w:tcPr>
            <w:tcW w:type="pct" w:w="28%"/>
            <w:shd w:fill="1F2937" w:color="auto" w:val="clear"/>
            <w:tcMar>
              <w:top w:type="dxa" w:w="120"/>
              <w:left w:type="dxa" w:w="160"/>
              <w:bottom w:type="dxa" w:w="120"/>
              <w:right w:type="dxa" w:w="160"/>
            </w:tcMar>
          </w:tcPr>
          <w:p>
            <w:pPr>
              <w:spacing w:after="40"/>
              <w:jc w:val="left"/>
            </w:pPr>
            <w:r>
              <w:rPr>
                <w:rFonts w:ascii="Calibri" w:cs="Calibri" w:eastAsia="Calibri" w:hAnsi="Calibri"/>
                <w:b/>
                <w:bCs/>
                <w:color w:val="FFFFFF"/>
                <w:sz w:val="20"/>
                <w:szCs w:val="20"/>
              </w:rPr>
              <w:t xml:space="preserve">Trạng thái</w:t>
            </w:r>
          </w:p>
        </w:tc>
      </w:tr>
      <w:tr>
        <w:tc>
          <w:tcPr>
            <w:tcW w:type="pct" w:w="6%"/>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1</w:t>
            </w:r>
          </w:p>
        </w:tc>
        <w:tc>
          <w:tcPr>
            <w:tcW w:type="pct" w:w="40%"/>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Số tầng ≤ 3 (F1.2)</w:t>
            </w:r>
          </w:p>
        </w:tc>
        <w:tc>
          <w:tcPr>
            <w:tcW w:type="pct" w:w="26%"/>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QCVN 06:2022/BXD</w:t>
            </w:r>
          </w:p>
        </w:tc>
        <w:tc>
          <w:tcPr>
            <w:tcW w:type="pct" w:w="28%"/>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 Chỉ tầng trệt + tầng 1</w:t>
            </w:r>
          </w:p>
        </w:tc>
      </w:tr>
      <w:tr>
        <w:tc>
          <w:tcPr>
            <w:tcW w:type="pct" w:w="6%"/>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2</w:t>
            </w:r>
          </w:p>
        </w:tc>
        <w:tc>
          <w:tcPr>
            <w:tcW w:type="pct" w:w="40%"/>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GFA trong phong bì 1/500 đã được phê duyệt</w:t>
            </w:r>
          </w:p>
        </w:tc>
        <w:tc>
          <w:tcPr>
            <w:tcW w:type="pct" w:w="26%"/>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QĐ 1112/2012</w:t>
            </w:r>
          </w:p>
        </w:tc>
        <w:tc>
          <w:tcPr>
            <w:tcW w:type="pct" w:w="28%"/>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 L1 khớp với đường bao tầng trệt; không mở rộng thửa đất</w:t>
            </w:r>
          </w:p>
        </w:tc>
      </w:tr>
      <w:tr>
        <w:tc>
          <w:tcPr>
            <w:tcW w:type="pct" w:w="6%"/>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3</w:t>
            </w:r>
          </w:p>
        </w:tc>
        <w:tc>
          <w:tcPr>
            <w:tcW w:type="pct" w:w="40%"/>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Khoảng lùi mỗi 1/500</w:t>
            </w:r>
          </w:p>
        </w:tc>
        <w:tc>
          <w:tcPr>
            <w:tcW w:type="pct" w:w="26%"/>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QĐ 1112/2012</w:t>
            </w:r>
          </w:p>
        </w:tc>
        <w:tc>
          <w:tcPr>
            <w:tcW w:type="pct" w:w="28%"/>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 Khoảng lùi Caye Sereno hiện có được giữ nguyên</w:t>
            </w:r>
          </w:p>
        </w:tc>
      </w:tr>
      <w:tr>
        <w:tc>
          <w:tcPr>
            <w:tcW w:type="pct" w:w="6%"/>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4</w:t>
            </w:r>
          </w:p>
        </w:tc>
        <w:tc>
          <w:tcPr>
            <w:tcW w:type="pct" w:w="40%"/>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Đỉnh ≤ 9,0 m</w:t>
            </w:r>
          </w:p>
        </w:tc>
        <w:tc>
          <w:tcPr>
            <w:tcW w:type="pct" w:w="26%"/>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Quy ước vùng đệm UNESCO</w:t>
            </w:r>
          </w:p>
        </w:tc>
        <w:tc>
          <w:tcPr>
            <w:tcW w:type="pct" w:w="28%"/>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 Đỉnh trung tâm +9,00 m; mái hiên +6,50 m</w:t>
            </w:r>
          </w:p>
        </w:tc>
      </w:tr>
      <w:tr>
        <w:tc>
          <w:tcPr>
            <w:tcW w:type="pct" w:w="6%"/>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5</w:t>
            </w:r>
          </w:p>
        </w:tc>
        <w:tc>
          <w:tcPr>
            <w:tcW w:type="pct" w:w="40%"/>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Bảng màu bên ngoài nhẹ, không phản xạ</w:t>
            </w:r>
          </w:p>
        </w:tc>
        <w:tc>
          <w:tcPr>
            <w:tcW w:type="pct" w:w="26%"/>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Quy ước vùng đệm UNESCO</w:t>
            </w:r>
          </w:p>
        </w:tc>
        <w:tc>
          <w:tcPr>
            <w:tcW w:type="pct" w:w="28%"/>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 Đất nung + ốm + basalt + teak</w:t>
            </w:r>
          </w:p>
        </w:tc>
      </w:tr>
      <w:tr>
        <w:tc>
          <w:tcPr>
            <w:tcW w:type="pct" w:w="6%"/>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6</w:t>
            </w:r>
          </w:p>
        </w:tc>
        <w:tc>
          <w:tcPr>
            <w:tcW w:type="pct" w:w="40%"/>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Không kích hoạt lệ phí sử dụng đất mới</w:t>
            </w:r>
          </w:p>
        </w:tc>
        <w:tc>
          <w:tcPr>
            <w:tcW w:type="pct" w:w="26%"/>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§5 Hóa đơn lệ phí lưu giữ trên tệp</w:t>
            </w:r>
          </w:p>
        </w:tc>
        <w:tc>
          <w:tcPr>
            <w:tcW w:type="pct" w:w="28%"/>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 Không thay đổi thửa đất, không phân vùng lại</w:t>
            </w:r>
          </w:p>
        </w:tc>
      </w:tr>
      <w:tr>
        <w:tc>
          <w:tcPr>
            <w:tcW w:type="pct" w:w="6%"/>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7</w:t>
            </w:r>
          </w:p>
        </w:tc>
        <w:tc>
          <w:tcPr>
            <w:tcW w:type="pct" w:w="40%"/>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Cam kết môi trường vẫn được thỏa mãn</w:t>
            </w:r>
          </w:p>
        </w:tc>
        <w:tc>
          <w:tcPr>
            <w:tcW w:type="pct" w:w="26%"/>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§14 CKBVMT được chấp nhận</w:t>
            </w:r>
          </w:p>
        </w:tc>
        <w:tc>
          <w:tcPr>
            <w:tcW w:type="pct" w:w="28%"/>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 Tu sửa + mở rộng L1 trong phạm vi được phê duyệt</w:t>
            </w:r>
          </w:p>
        </w:tc>
      </w:tr>
      <w:tr>
        <w:tc>
          <w:tcPr>
            <w:tcW w:type="pct" w:w="6%"/>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8</w:t>
            </w:r>
          </w:p>
        </w:tc>
        <w:tc>
          <w:tcPr>
            <w:tcW w:type="pct" w:w="40%"/>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Miễn giấy phép xây dựng được bảo tồn</w:t>
            </w:r>
          </w:p>
        </w:tc>
        <w:tc>
          <w:tcPr>
            <w:tcW w:type="pct" w:w="26%"/>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§13 GPXD-miễn</w:t>
            </w:r>
          </w:p>
        </w:tc>
        <w:tc>
          <w:tcPr>
            <w:tcW w:type="pct" w:w="28%"/>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 Phê duyệt 1/500 vẫn quản lý</w:t>
            </w:r>
          </w:p>
        </w:tc>
      </w:tr>
      <w:tr>
        <w:tc>
          <w:tcPr>
            <w:tcW w:type="pct" w:w="6%"/>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9</w:t>
            </w:r>
          </w:p>
        </w:tc>
        <w:tc>
          <w:tcPr>
            <w:tcW w:type="pct" w:w="40%"/>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Parcels LURC không thay đổi</w:t>
            </w:r>
          </w:p>
        </w:tc>
        <w:tc>
          <w:tcPr>
            <w:tcW w:type="pct" w:w="26%"/>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Bi 462036 / Bi 462037</w:t>
            </w:r>
          </w:p>
        </w:tc>
        <w:tc>
          <w:tcPr>
            <w:tcW w:type="pct" w:w="28%"/>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 Không phân chia</w:t>
            </w:r>
          </w:p>
        </w:tc>
      </w:tr>
      <w:tr>
        <w:tc>
          <w:tcPr>
            <w:tcW w:type="pct" w:w="6%"/>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10</w:t>
            </w:r>
          </w:p>
        </w:tc>
        <w:tc>
          <w:tcPr>
            <w:tcW w:type="pct" w:w="40%"/>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Nghĩa vụ JVA trung lập</w:t>
            </w:r>
          </w:p>
        </w:tc>
        <w:tc>
          <w:tcPr>
            <w:tcW w:type="pct" w:w="26%"/>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JVA 06-07-2012 + addenda</w:t>
            </w:r>
          </w:p>
        </w:tc>
        <w:tc>
          <w:tcPr>
            <w:tcW w:type="pct" w:w="28%"/>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 Sản phẩm bàn giao là style-neutral</w:t>
            </w:r>
          </w:p>
        </w:tc>
      </w:tr>
    </w:tbl>
    <w:p>
      <w:pPr>
        <w:spacing w:after="160" w:before="0"/>
      </w:pPr>
      <w:r>
        <w:t xml:space="preserve"/>
      </w:r>
    </w:p>
    <w:p>
      <w:pPr>
        <w:pStyle w:val="Heading2"/>
        <w:spacing w:after="120" w:before="280"/>
      </w:pPr>
      <w:r>
        <w:rPr>
          <w:rFonts w:ascii="Georgia" w:cs="Georgia" w:eastAsia="Georgia" w:hAnsi="Georgia"/>
          <w:b/>
          <w:bCs/>
          <w:color w:val="B45309"/>
          <w:sz w:val="28"/>
          <w:szCs w:val="28"/>
        </w:rPr>
        <w:t xml:space="preserve">9.1 Các mục mở cho phối hợp kỹ thuật</w:t>
      </w:r>
    </w:p>
    <w:p>
      <w:pPr>
        <w:pStyle w:val="ListParagraph"/>
        <w:numPr>
          <w:ilvl w:val="0"/>
          <w:numId w:val="2"/>
        </w:numPr>
        <w:spacing w:after="60"/>
      </w:pPr>
      <w:r>
        <w:rPr>
          <w:rFonts w:ascii="Calibri" w:cs="Calibri" w:eastAsia="Calibri" w:hAnsi="Calibri"/>
          <w:color w:val="1F2937"/>
          <w:sz w:val="22"/>
          <w:szCs w:val="22"/>
        </w:rPr>
        <w:t xml:space="preserve">Kết cấu — xác nhận các cột/dầm hiện có có thể chịu sàn L1 mới trên sân thượng mái cũ (có khả năng; cấu trúc hiện có được định kích thước cho sàn L1 đầy đủ trong kế hoạch Transform ban đầu).</w:t>
      </w:r>
    </w:p>
    <w:p>
      <w:pPr>
        <w:pStyle w:val="ListParagraph"/>
        <w:numPr>
          <w:ilvl w:val="0"/>
          <w:numId w:val="2"/>
        </w:numPr>
        <w:spacing w:after="60"/>
      </w:pPr>
      <w:r>
        <w:rPr>
          <w:rFonts w:ascii="Calibri" w:cs="Calibri" w:eastAsia="Calibri" w:hAnsi="Calibri"/>
          <w:color w:val="1F2937"/>
          <w:sz w:val="22"/>
          <w:szCs w:val="22"/>
        </w:rPr>
        <w:t xml:space="preserve">Kết cấu — nhịp mái dầm heng mới ≤ 11,55 m (chính) / 14,35 m (cánh phòng ăn); teak glulam khả thi, lưng thép có thể chấp nhận được.</w:t>
      </w:r>
    </w:p>
    <w:p>
      <w:pPr>
        <w:pStyle w:val="ListParagraph"/>
        <w:numPr>
          <w:ilvl w:val="0"/>
          <w:numId w:val="2"/>
        </w:numPr>
        <w:spacing w:after="60"/>
      </w:pPr>
      <w:r>
        <w:rPr>
          <w:rFonts w:ascii="Calibri" w:cs="Calibri" w:eastAsia="Calibri" w:hAnsi="Calibri"/>
          <w:color w:val="1F2937"/>
          <w:sz w:val="22"/>
          <w:szCs w:val="22"/>
        </w:rPr>
        <w:t xml:space="preserve">MEP — tải làm lạnh tăng ~33% với diện tích L1 điều hòa mới; xác nhận dung lượng nhà máy máy lạnh hiện có hoặc định kích thước một máy nén bổ sung.</w:t>
      </w:r>
    </w:p>
    <w:p>
      <w:pPr>
        <w:pStyle w:val="ListParagraph"/>
        <w:numPr>
          <w:ilvl w:val="0"/>
          <w:numId w:val="2"/>
        </w:numPr>
        <w:spacing w:after="60"/>
      </w:pPr>
      <w:r>
        <w:rPr>
          <w:rFonts w:ascii="Calibri" w:cs="Calibri" w:eastAsia="Calibri" w:hAnsi="Calibri"/>
          <w:color w:val="1F2937"/>
          <w:sz w:val="22"/>
          <w:szCs w:val="22"/>
        </w:rPr>
        <w:t xml:space="preserve">Thoát nước — mái heng tăng khối lượng nước mưa; máng đồng mới + ống thoát + soakaway bề mặt dưới lòng đất ở các khoảng lùi bên.</w:t>
      </w:r>
    </w:p>
    <w:p>
      <w:pPr>
        <w:pStyle w:val="ListParagraph"/>
        <w:numPr>
          <w:ilvl w:val="0"/>
          <w:numId w:val="2"/>
        </w:numPr>
        <w:spacing w:after="60"/>
      </w:pPr>
      <w:r>
        <w:rPr>
          <w:rFonts w:ascii="Calibri" w:cs="Calibri" w:eastAsia="Calibri" w:hAnsi="Calibri"/>
          <w:color w:val="1F2937"/>
          <w:sz w:val="22"/>
          <w:szCs w:val="22"/>
        </w:rPr>
        <w:t xml:space="preserve">Hỏa hoạn — cần hai cầu thang thoát ở khoảng cách ≤25 m; cầu thang duy nhất hiện có được bổ sung bằng một cầu thang thứ cấp ở gable đông cánh phòng ăn.</w:t>
      </w:r>
    </w:p>
    <w:p>
      <w:pPr>
        <w:pStyle w:val="ListParagraph"/>
        <w:numPr>
          <w:ilvl w:val="0"/>
          <w:numId w:val="2"/>
        </w:numPr>
        <w:spacing w:after="60"/>
      </w:pPr>
      <w:r>
        <w:rPr>
          <w:rFonts w:ascii="Calibri" w:cs="Calibri" w:eastAsia="Calibri" w:hAnsi="Calibri"/>
          <w:color w:val="1F2937"/>
          <w:sz w:val="22"/>
          <w:szCs w:val="22"/>
        </w:rPr>
        <w:t xml:space="preserve">Âm thanh — bảng tấm raffia trần được chỉ định dưới hậu bối thủng để duy trì Rw ≥ 45 dB giữa các phòng khách.</w:t>
      </w:r>
    </w:p>
    <w:p>
      <w:r>
        <w:br w:type="page"/>
      </w:r>
    </w:p>
    <w:p>
      <w:pPr>
        <w:pStyle w:val="Heading1"/>
        <w:spacing w:after="160" w:before="360"/>
      </w:pPr>
      <w:r>
        <w:rPr>
          <w:rFonts w:ascii="Georgia" w:cs="Georgia" w:eastAsia="Georgia" w:hAnsi="Georgia"/>
          <w:b/>
          <w:bCs/>
          <w:color w:val="1F2937"/>
          <w:sz w:val="36"/>
          <w:szCs w:val="36"/>
        </w:rPr>
        <w:t xml:space="preserve">10 · Danh mục sản phẩm bàn giao</w:t>
      </w:r>
    </w:p>
    <w:p>
      <w:pPr>
        <w:pBdr>
          <w:bottom w:val="single" w:color="D6D3D1" w:sz="6" w:space="1"/>
        </w:pBdr>
        <w:spacing w:after="80" w:before="80"/>
      </w:pPr>
      <w:r>
        <w:t xml:space="preserve"/>
      </w:r>
    </w:p>
    <w:p>
      <w:pPr>
        <w:spacing w:after="140" w:line="300"/>
        <w:jc w:val="both"/>
      </w:pPr>
      <w:r>
        <w:rPr>
          <w:rFonts w:ascii="Calibri" w:cs="Calibri" w:eastAsia="Calibri" w:hAnsi="Calibri"/>
          <w:b w:val="false"/>
          <w:bCs w:val="false"/>
          <w:i w:val="false"/>
          <w:iCs w:val="false"/>
          <w:color w:val="1F2937"/>
          <w:sz w:val="22"/>
          <w:szCs w:val="22"/>
        </w:rPr>
        <w:t xml:space="preserve">Thiết kế khái niệm này là một trong ba sản phẩm bàn giao do cộng tác sản xuất. Gói đầy đủ được liệt kê dưới đây cho nhóm Jen Tuan Chau:</w:t>
      </w:r>
    </w:p>
    <w:tbl>
      <w:tblPr>
        <w:tblW w:type="pct" w:w="100%"/>
        <w:tblBorders>
          <w:top w:val="single" w:color="D6D3D1" w:sz="4"/>
          <w:left w:val="single" w:color="D6D3D1" w:sz="4"/>
          <w:bottom w:val="single" w:color="D6D3D1" w:sz="4"/>
          <w:right w:val="single" w:color="D6D3D1" w:sz="4"/>
          <w:insideH w:val="single" w:color="D6D3D1" w:sz="4"/>
          <w:insideV w:val="single" w:color="D6D3D1" w:sz="4"/>
        </w:tblBorders>
      </w:tblPr>
      <w:tblGrid>
        <w:gridCol w:w="2268"/>
        <w:gridCol w:w="2268"/>
        <w:gridCol w:w="2268"/>
        <w:gridCol w:w="2268"/>
      </w:tblGrid>
      <w:tr>
        <w:tc>
          <w:tcPr>
            <w:tcW w:type="pct" w:w="6%"/>
            <w:shd w:fill="1F2937" w:color="auto" w:val="clear"/>
            <w:tcMar>
              <w:top w:type="dxa" w:w="120"/>
              <w:left w:type="dxa" w:w="160"/>
              <w:bottom w:type="dxa" w:w="120"/>
              <w:right w:type="dxa" w:w="160"/>
            </w:tcMar>
          </w:tcPr>
          <w:p>
            <w:pPr>
              <w:spacing w:after="40"/>
              <w:jc w:val="left"/>
            </w:pPr>
            <w:r>
              <w:rPr>
                <w:rFonts w:ascii="Calibri" w:cs="Calibri" w:eastAsia="Calibri" w:hAnsi="Calibri"/>
                <w:b/>
                <w:bCs/>
                <w:color w:val="FFFFFF"/>
                <w:sz w:val="20"/>
                <w:szCs w:val="20"/>
              </w:rPr>
              <w:t xml:space="preserve">#</w:t>
            </w:r>
          </w:p>
        </w:tc>
        <w:tc>
          <w:tcPr>
            <w:tcW w:type="pct" w:w="50%"/>
            <w:shd w:fill="1F2937" w:color="auto" w:val="clear"/>
            <w:tcMar>
              <w:top w:type="dxa" w:w="120"/>
              <w:left w:type="dxa" w:w="160"/>
              <w:bottom w:type="dxa" w:w="120"/>
              <w:right w:type="dxa" w:w="160"/>
            </w:tcMar>
          </w:tcPr>
          <w:p>
            <w:pPr>
              <w:spacing w:after="40"/>
              <w:jc w:val="left"/>
            </w:pPr>
            <w:r>
              <w:rPr>
                <w:rFonts w:ascii="Calibri" w:cs="Calibri" w:eastAsia="Calibri" w:hAnsi="Calibri"/>
                <w:b/>
                <w:bCs/>
                <w:color w:val="FFFFFF"/>
                <w:sz w:val="20"/>
                <w:szCs w:val="20"/>
              </w:rPr>
              <w:t xml:space="preserve">Sản phẩm bàn giao</w:t>
            </w:r>
          </w:p>
        </w:tc>
        <w:tc>
          <w:tcPr>
            <w:tcW w:type="pct" w:w="20%"/>
            <w:shd w:fill="1F2937" w:color="auto" w:val="clear"/>
            <w:tcMar>
              <w:top w:type="dxa" w:w="120"/>
              <w:left w:type="dxa" w:w="160"/>
              <w:bottom w:type="dxa" w:w="120"/>
              <w:right w:type="dxa" w:w="160"/>
            </w:tcMar>
          </w:tcPr>
          <w:p>
            <w:pPr>
              <w:spacing w:after="40"/>
              <w:jc w:val="left"/>
            </w:pPr>
            <w:r>
              <w:rPr>
                <w:rFonts w:ascii="Calibri" w:cs="Calibri" w:eastAsia="Calibri" w:hAnsi="Calibri"/>
                <w:b/>
                <w:bCs/>
                <w:color w:val="FFFFFF"/>
                <w:sz w:val="20"/>
                <w:szCs w:val="20"/>
              </w:rPr>
              <w:t xml:space="preserve">Định dạng</w:t>
            </w:r>
          </w:p>
        </w:tc>
        <w:tc>
          <w:tcPr>
            <w:tcW w:type="pct" w:w="24%"/>
            <w:shd w:fill="1F2937" w:color="auto" w:val="clear"/>
            <w:tcMar>
              <w:top w:type="dxa" w:w="120"/>
              <w:left w:type="dxa" w:w="160"/>
              <w:bottom w:type="dxa" w:w="120"/>
              <w:right w:type="dxa" w:w="160"/>
            </w:tcMar>
          </w:tcPr>
          <w:p>
            <w:pPr>
              <w:spacing w:after="40"/>
              <w:jc w:val="left"/>
            </w:pPr>
            <w:r>
              <w:rPr>
                <w:rFonts w:ascii="Calibri" w:cs="Calibri" w:eastAsia="Calibri" w:hAnsi="Calibri"/>
                <w:b/>
                <w:bCs/>
                <w:color w:val="FFFFFF"/>
                <w:sz w:val="20"/>
                <w:szCs w:val="20"/>
              </w:rPr>
              <w:t xml:space="preserve">Đối tượng</w:t>
            </w:r>
          </w:p>
        </w:tc>
      </w:tr>
      <w:tr>
        <w:tc>
          <w:tcPr>
            <w:tcW w:type="pct" w:w="6%"/>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1</w:t>
            </w:r>
          </w:p>
        </w:tc>
        <w:tc>
          <w:tcPr>
            <w:tcW w:type="pct" w:w="50%"/>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Thiết kế khái niệm — tài liệu này</w:t>
            </w:r>
          </w:p>
        </w:tc>
        <w:tc>
          <w:tcPr>
            <w:tcW w:type="pct" w:w="20%"/>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.docx</w:t>
            </w:r>
          </w:p>
        </w:tc>
        <w:tc>
          <w:tcPr>
            <w:tcW w:type="pct" w:w="24%"/>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Hội đồng, đối tác liên doanh, nhà phê bình kế hoạch</w:t>
            </w:r>
          </w:p>
        </w:tc>
      </w:tr>
      <w:tr>
        <w:tc>
          <w:tcPr>
            <w:tcW w:type="pct" w:w="6%"/>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2</w:t>
            </w:r>
          </w:p>
        </w:tc>
        <w:tc>
          <w:tcPr>
            <w:tcW w:type="pct" w:w="50%"/>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Gói trực quan — trình xem khu đất/mặt bằng/mặt đứng tương tác</w:t>
            </w:r>
          </w:p>
        </w:tc>
        <w:tc>
          <w:tcPr>
            <w:tcW w:type="pct" w:w="20%"/>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.html</w:t>
            </w:r>
          </w:p>
        </w:tc>
        <w:tc>
          <w:tcPr>
            <w:tcW w:type="pct" w:w="24%"/>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Hội đồng, tiếp thị, bộ nhà đầu tư</w:t>
            </w:r>
          </w:p>
        </w:tc>
      </w:tr>
      <w:tr>
        <w:tc>
          <w:tcPr>
            <w:tcW w:type="pct" w:w="6%"/>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3</w:t>
            </w:r>
          </w:p>
        </w:tc>
        <w:tc>
          <w:tcPr>
            <w:tcW w:type="pct" w:w="50%"/>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Gói lời nhắc kết xuất bên ngoài</w:t>
            </w:r>
          </w:p>
        </w:tc>
        <w:tc>
          <w:tcPr>
            <w:tcW w:type="pct" w:w="20%"/>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.md</w:t>
            </w:r>
          </w:p>
        </w:tc>
        <w:tc>
          <w:tcPr>
            <w:tcW w:type="pct" w:w="24%"/>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Studio trực quan / Midjourney / Flux</w:t>
            </w:r>
          </w:p>
        </w:tc>
      </w:tr>
    </w:tbl>
    <w:p>
      <w:pPr>
        <w:spacing w:after="160" w:before="0"/>
      </w:pPr>
      <w:r>
        <w:t xml:space="preserve"/>
      </w:r>
    </w:p>
    <w:p>
      <w:pPr>
        <w:pStyle w:val="Heading2"/>
        <w:spacing w:after="120" w:before="280"/>
      </w:pPr>
      <w:r>
        <w:rPr>
          <w:rFonts w:ascii="Georgia" w:cs="Georgia" w:eastAsia="Georgia" w:hAnsi="Georgia"/>
          <w:b/>
          <w:bCs/>
          <w:color w:val="B45309"/>
          <w:sz w:val="28"/>
          <w:szCs w:val="28"/>
        </w:rPr>
        <w:t xml:space="preserve">10.1 Tóm tắt gói lời nhắc</w:t>
      </w:r>
    </w:p>
    <w:p>
      <w:pPr>
        <w:pStyle w:val="ListParagraph"/>
        <w:numPr>
          <w:ilvl w:val="0"/>
          <w:numId w:val="2"/>
        </w:numPr>
        <w:spacing w:after="60"/>
      </w:pPr>
      <w:r>
        <w:rPr>
          <w:rFonts w:ascii="Calibri" w:cs="Calibri" w:eastAsia="Calibri" w:hAnsi="Calibri"/>
          <w:color w:val="1F2937"/>
          <w:sz w:val="22"/>
          <w:szCs w:val="22"/>
        </w:rPr>
        <w:t xml:space="preserve">Ngoại thất anh hùng (góc nam-tây, giờ vàng, hành lang có mái sáng từ trong, vịnh ở phía sau).</w:t>
      </w:r>
    </w:p>
    <w:p>
      <w:pPr>
        <w:pStyle w:val="ListParagraph"/>
        <w:numPr>
          <w:ilvl w:val="0"/>
          <w:numId w:val="2"/>
        </w:numPr>
        <w:spacing w:after="60"/>
      </w:pPr>
      <w:r>
        <w:rPr>
          <w:rFonts w:ascii="Calibri" w:cs="Calibri" w:eastAsia="Calibri" w:hAnsi="Calibri"/>
          <w:color w:val="1F2937"/>
          <w:sz w:val="22"/>
          <w:szCs w:val="22"/>
        </w:rPr>
        <w:t xml:space="preserve">Sự đến / porte-cochère vào lúc hoàng hôn (đèn lồng đồng, frangipani, cửa teak).</w:t>
      </w:r>
    </w:p>
    <w:p>
      <w:pPr>
        <w:pStyle w:val="ListParagraph"/>
        <w:numPr>
          <w:ilvl w:val="0"/>
          <w:numId w:val="2"/>
        </w:numPr>
        <w:spacing w:after="60"/>
      </w:pPr>
      <w:r>
        <w:rPr>
          <w:rFonts w:ascii="Calibri" w:cs="Calibri" w:eastAsia="Calibri" w:hAnsi="Calibri"/>
          <w:color w:val="1F2937"/>
          <w:sz w:val="22"/>
          <w:szCs w:val="22"/>
        </w:rPr>
        <w:t xml:space="preserve">Phòng khách chính thức — tầm nhìn vịnh qua các cửa chớp mở, sofa linen, trần raffia.</w:t>
      </w:r>
    </w:p>
    <w:p>
      <w:pPr>
        <w:pStyle w:val="ListParagraph"/>
        <w:numPr>
          <w:ilvl w:val="0"/>
          <w:numId w:val="2"/>
        </w:numPr>
        <w:spacing w:after="60"/>
      </w:pPr>
      <w:r>
        <w:rPr>
          <w:rFonts w:ascii="Calibri" w:cs="Calibri" w:eastAsia="Calibri" w:hAnsi="Calibri"/>
          <w:color w:val="1F2937"/>
          <w:sz w:val="22"/>
          <w:szCs w:val="22"/>
        </w:rPr>
        <w:t xml:space="preserve">Phòng ngủ chính — giường bốn cột, tầm nhìn vịnh được khung bởi cửa chớp, ánh sáng buổi sáng ấm.</w:t>
      </w:r>
    </w:p>
    <w:p>
      <w:pPr>
        <w:pStyle w:val="ListParagraph"/>
        <w:numPr>
          <w:ilvl w:val="0"/>
          <w:numId w:val="2"/>
        </w:numPr>
        <w:spacing w:after="60"/>
      </w:pPr>
      <w:r>
        <w:rPr>
          <w:rFonts w:ascii="Calibri" w:cs="Calibri" w:eastAsia="Calibri" w:hAnsi="Calibri"/>
          <w:color w:val="1F2937"/>
          <w:sz w:val="22"/>
          <w:szCs w:val="22"/>
        </w:rPr>
        <w:t xml:space="preserve">Sân hồ bơi — cạnh vô cực đến vịnh, sân khấu phòng giữa khung hình, cây trồng tiền cảnh.</w:t>
      </w:r>
    </w:p>
    <w:p>
      <w:pPr>
        <w:pStyle w:val="Heading2"/>
        <w:spacing w:after="120" w:before="280"/>
      </w:pPr>
      <w:r>
        <w:rPr>
          <w:rFonts w:ascii="Georgia" w:cs="Georgia" w:eastAsia="Georgia" w:hAnsi="Georgia"/>
          <w:b/>
          <w:bCs/>
          <w:color w:val="B45309"/>
          <w:sz w:val="28"/>
          <w:szCs w:val="28"/>
        </w:rPr>
        <w:t xml:space="preserve">10.2 Bước tiếp theo</w:t>
      </w:r>
    </w:p>
    <w:p>
      <w:pPr>
        <w:pStyle w:val="ListParagraph"/>
        <w:numPr>
          <w:ilvl w:val="0"/>
          <w:numId w:val="2"/>
        </w:numPr>
        <w:spacing w:after="60"/>
      </w:pPr>
      <w:r>
        <w:rPr>
          <w:rFonts w:ascii="Calibri" w:cs="Calibri" w:eastAsia="Calibri" w:hAnsi="Calibri"/>
          <w:color w:val="1F2937"/>
          <w:sz w:val="22"/>
          <w:szCs w:val="22"/>
        </w:rPr>
        <w:t xml:space="preserve">Khách hàng xem xét gói khái niệm này — 5 ngày làm việc.</w:t>
      </w:r>
    </w:p>
    <w:p>
      <w:pPr>
        <w:pStyle w:val="ListParagraph"/>
        <w:numPr>
          <w:ilvl w:val="0"/>
          <w:numId w:val="2"/>
        </w:numPr>
        <w:spacing w:after="60"/>
      </w:pPr>
      <w:r>
        <w:rPr>
          <w:rFonts w:ascii="Calibri" w:cs="Calibri" w:eastAsia="Calibri" w:hAnsi="Calibri"/>
          <w:color w:val="1F2937"/>
          <w:sz w:val="22"/>
          <w:szCs w:val="22"/>
        </w:rPr>
        <w:t xml:space="preserve">Ký phê duyệt khả thi kết cấu trên sàn L1 trên sân thượng mái cũ — 10 ngày làm việc.</w:t>
      </w:r>
    </w:p>
    <w:p>
      <w:pPr>
        <w:pStyle w:val="ListParagraph"/>
        <w:numPr>
          <w:ilvl w:val="0"/>
          <w:numId w:val="2"/>
        </w:numPr>
        <w:spacing w:after="60"/>
      </w:pPr>
      <w:r>
        <w:rPr>
          <w:rFonts w:ascii="Calibri" w:cs="Calibri" w:eastAsia="Calibri" w:hAnsi="Calibri"/>
          <w:color w:val="1F2937"/>
          <w:sz w:val="22"/>
          <w:szCs w:val="22"/>
        </w:rPr>
        <w:t xml:space="preserve">Ủy quyền gói thiết kế cơ sở (SD) — mục tiêu 1 tháng 6 năm 2026.</w:t>
      </w:r>
    </w:p>
    <w:p>
      <w:pPr>
        <w:pStyle w:val="ListParagraph"/>
        <w:numPr>
          <w:ilvl w:val="0"/>
          <w:numId w:val="2"/>
        </w:numPr>
        <w:spacing w:after="60"/>
      </w:pPr>
      <w:r>
        <w:rPr>
          <w:rFonts w:ascii="Calibri" w:cs="Calibri" w:eastAsia="Calibri" w:hAnsi="Calibri"/>
          <w:color w:val="1F2937"/>
          <w:sz w:val="22"/>
          <w:szCs w:val="22"/>
        </w:rPr>
        <w:t xml:space="preserve">Thiết kế kỹ thuật (DD) bao gồm MEP, FF&amp;E, cảnh quan — mục tiêu 1 tháng 9 năm 2026.</w:t>
      </w:r>
    </w:p>
    <w:p>
      <w:pPr>
        <w:pStyle w:val="ListParagraph"/>
        <w:numPr>
          <w:ilvl w:val="0"/>
          <w:numId w:val="2"/>
        </w:numPr>
        <w:spacing w:after="60"/>
      </w:pPr>
      <w:r>
        <w:rPr>
          <w:rFonts w:ascii="Calibri" w:cs="Calibri" w:eastAsia="Calibri" w:hAnsi="Calibri"/>
          <w:color w:val="1F2937"/>
          <w:sz w:val="22"/>
          <w:szCs w:val="22"/>
        </w:rPr>
        <w:t xml:space="preserve">Thông báo xây dựng dự toán và chính quyền (không cần GPXD mỗi §13) — mục tiêu Q4 2026.</w:t>
      </w:r>
    </w:p>
    <w:p>
      <w:r>
        <w:br w:type="page"/>
      </w:r>
    </w:p>
    <w:p>
      <w:pPr>
        <w:pStyle w:val="Heading1"/>
        <w:spacing w:after="160" w:before="360"/>
      </w:pPr>
      <w:r>
        <w:rPr>
          <w:rFonts w:ascii="Georgia" w:cs="Georgia" w:eastAsia="Georgia" w:hAnsi="Georgia"/>
          <w:b/>
          <w:bCs/>
          <w:color w:val="1F2937"/>
          <w:sz w:val="36"/>
          <w:szCs w:val="36"/>
        </w:rPr>
        <w:t xml:space="preserve">Phụ lục A · Chuyển giao quy cách Capella Sentosa Manor</w:t>
      </w:r>
    </w:p>
    <w:p>
      <w:pPr>
        <w:pBdr>
          <w:bottom w:val="single" w:color="D6D3D1" w:sz="6" w:space="1"/>
        </w:pBdr>
        <w:spacing w:after="80" w:before="80"/>
      </w:pPr>
      <w:r>
        <w:t xml:space="preserve"/>
      </w:r>
    </w:p>
    <w:tbl>
      <w:tblPr>
        <w:tblW w:type="pct" w:w="100%"/>
        <w:tblBorders>
          <w:top w:val="single" w:color="D6D3D1" w:sz="4"/>
          <w:left w:val="single" w:color="D6D3D1" w:sz="4"/>
          <w:bottom w:val="single" w:color="D6D3D1" w:sz="4"/>
          <w:right w:val="single" w:color="D6D3D1" w:sz="4"/>
          <w:insideH w:val="single" w:color="D6D3D1" w:sz="4"/>
          <w:insideV w:val="single" w:color="D6D3D1" w:sz="4"/>
        </w:tblBorders>
      </w:tblPr>
      <w:tblGrid>
        <w:gridCol w:w="3024"/>
        <w:gridCol w:w="3024"/>
        <w:gridCol w:w="3024"/>
      </w:tblGrid>
      <w:tr>
        <w:tc>
          <w:tcPr>
            <w:tcW w:type="pct" w:w="28%"/>
            <w:shd w:fill="1F2937" w:color="auto" w:val="clear"/>
            <w:tcMar>
              <w:top w:type="dxa" w:w="120"/>
              <w:left w:type="dxa" w:w="160"/>
              <w:bottom w:type="dxa" w:w="120"/>
              <w:right w:type="dxa" w:w="160"/>
            </w:tcMar>
          </w:tcPr>
          <w:p>
            <w:pPr>
              <w:spacing w:after="40"/>
              <w:jc w:val="left"/>
            </w:pPr>
            <w:r>
              <w:rPr>
                <w:rFonts w:ascii="Calibri" w:cs="Calibri" w:eastAsia="Calibri" w:hAnsi="Calibri"/>
                <w:b/>
                <w:bCs/>
                <w:color w:val="FFFFFF"/>
                <w:sz w:val="20"/>
                <w:szCs w:val="20"/>
              </w:rPr>
              <w:t xml:space="preserve">Capella Sentosa Manor</w:t>
            </w:r>
          </w:p>
        </w:tc>
        <w:tc>
          <w:tcPr>
            <w:tcW w:type="pct" w:w="32%"/>
            <w:shd w:fill="1F2937" w:color="auto" w:val="clear"/>
            <w:tcMar>
              <w:top w:type="dxa" w:w="120"/>
              <w:left w:type="dxa" w:w="160"/>
              <w:bottom w:type="dxa" w:w="120"/>
              <w:right w:type="dxa" w:w="160"/>
            </w:tcMar>
          </w:tcPr>
          <w:p>
            <w:pPr>
              <w:spacing w:after="40"/>
              <w:jc w:val="left"/>
            </w:pPr>
            <w:r>
              <w:rPr>
                <w:rFonts w:ascii="Calibri" w:cs="Calibri" w:eastAsia="Calibri" w:hAnsi="Calibri"/>
                <w:b/>
                <w:bCs/>
                <w:color w:val="FFFFFF"/>
                <w:sz w:val="20"/>
                <w:szCs w:val="20"/>
              </w:rPr>
              <w:t xml:space="preserve">Giá trị</w:t>
            </w:r>
          </w:p>
        </w:tc>
        <w:tc>
          <w:tcPr>
            <w:tcW w:type="pct" w:w="40%"/>
            <w:shd w:fill="1F2937" w:color="auto" w:val="clear"/>
            <w:tcMar>
              <w:top w:type="dxa" w:w="120"/>
              <w:left w:type="dxa" w:w="160"/>
              <w:bottom w:type="dxa" w:w="120"/>
              <w:right w:type="dxa" w:w="160"/>
            </w:tcMar>
          </w:tcPr>
          <w:p>
            <w:pPr>
              <w:spacing w:after="40"/>
              <w:jc w:val="left"/>
            </w:pPr>
            <w:r>
              <w:rPr>
                <w:rFonts w:ascii="Calibri" w:cs="Calibri" w:eastAsia="Calibri" w:hAnsi="Calibri"/>
                <w:b/>
                <w:bCs/>
                <w:color w:val="FFFFFF"/>
                <w:sz w:val="20"/>
                <w:szCs w:val="20"/>
              </w:rPr>
              <w:t xml:space="preserve">Tương đương Jen Tuan Chau</w:t>
            </w:r>
          </w:p>
        </w:tc>
      </w:tr>
      <w:tr>
        <w:tc>
          <w:tcPr>
            <w:tcW w:type="pct" w:w="28%"/>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Loại hình</w:t>
            </w:r>
          </w:p>
        </w:tc>
        <w:tc>
          <w:tcPr>
            <w:tcW w:type="pct" w:w="32%"/>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Biệt thự thuộc địa 3 phòng ngủ</w:t>
            </w:r>
          </w:p>
        </w:tc>
        <w:tc>
          <w:tcPr>
            <w:tcW w:type="pct" w:w="40%"/>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Biệt thự thuộc địa 4 phòng ngủ + phòng học</w:t>
            </w:r>
          </w:p>
        </w:tc>
      </w:tr>
      <w:tr>
        <w:tc>
          <w:tcPr>
            <w:tcW w:type="pct" w:w="28%"/>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GFA (nội thất)</w:t>
            </w:r>
          </w:p>
        </w:tc>
        <w:tc>
          <w:tcPr>
            <w:tcW w:type="pct" w:w="32%"/>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434–436 m²</w:t>
            </w:r>
          </w:p>
        </w:tc>
        <w:tc>
          <w:tcPr>
            <w:tcW w:type="pct" w:w="40%"/>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~600 m² (+38%, full match L1)</w:t>
            </w:r>
          </w:p>
        </w:tc>
      </w:tr>
      <w:tr>
        <w:tc>
          <w:tcPr>
            <w:tcW w:type="pct" w:w="28%"/>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Phòng ngủ</w:t>
            </w:r>
          </w:p>
        </w:tc>
        <w:tc>
          <w:tcPr>
            <w:tcW w:type="pct" w:w="32%"/>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3 en-suite</w:t>
            </w:r>
          </w:p>
        </w:tc>
        <w:tc>
          <w:tcPr>
            <w:tcW w:type="pct" w:w="40%"/>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4 en-suite (1 chính + 3 khách)</w:t>
            </w:r>
          </w:p>
        </w:tc>
      </w:tr>
      <w:tr>
        <w:tc>
          <w:tcPr>
            <w:tcW w:type="pct" w:w="28%"/>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Khu vực sống</w:t>
            </w:r>
          </w:p>
        </w:tc>
        <w:tc>
          <w:tcPr>
            <w:tcW w:type="pct" w:w="32%"/>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2 (chính thức + gia đình)</w:t>
            </w:r>
          </w:p>
        </w:tc>
        <w:tc>
          <w:tcPr>
            <w:tcW w:type="pct" w:w="40%"/>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2 (chính thức + gia đình) + phòng học</w:t>
            </w:r>
          </w:p>
        </w:tc>
      </w:tr>
      <w:tr>
        <w:tc>
          <w:tcPr>
            <w:tcW w:type="pct" w:w="28%"/>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Hồ bơi</w:t>
            </w:r>
          </w:p>
        </w:tc>
        <w:tc>
          <w:tcPr>
            <w:tcW w:type="pct" w:w="32%"/>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Hồ bơi tư nhân</w:t>
            </w:r>
          </w:p>
        </w:tc>
        <w:tc>
          <w:tcPr>
            <w:tcW w:type="pct" w:w="40%"/>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Hồ bơi Caye Sereno hiện có, chỉnh sửa cạnh</w:t>
            </w:r>
          </w:p>
        </w:tc>
      </w:tr>
      <w:tr>
        <w:tc>
          <w:tcPr>
            <w:tcW w:type="pct" w:w="28%"/>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Sân khấu</w:t>
            </w:r>
          </w:p>
        </w:tc>
        <w:tc>
          <w:tcPr>
            <w:tcW w:type="pct" w:w="32%"/>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Phòng ngoài trời</w:t>
            </w:r>
          </w:p>
        </w:tc>
        <w:tc>
          <w:tcPr>
            <w:tcW w:type="pct" w:w="40%"/>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Sân khấu phòng tách biệt, thảo nguyên phía đông</w:t>
            </w:r>
          </w:p>
        </w:tc>
      </w:tr>
      <w:tr>
        <w:tc>
          <w:tcPr>
            <w:tcW w:type="pct" w:w="28%"/>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Mái</w:t>
            </w:r>
          </w:p>
        </w:tc>
        <w:tc>
          <w:tcPr>
            <w:tcW w:type="pct" w:w="32%"/>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Mái ngói đất nung heng, đỉnh đồng</w:t>
            </w:r>
          </w:p>
        </w:tc>
        <w:tc>
          <w:tcPr>
            <w:tcW w:type="pct" w:w="40%"/>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Mái ngói đất nung heng, đỉnh đồng (25°)</w:t>
            </w:r>
          </w:p>
        </w:tc>
      </w:tr>
      <w:tr>
        <w:tc>
          <w:tcPr>
            <w:tcW w:type="pct" w:w="28%"/>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Tường</w:t>
            </w:r>
          </w:p>
        </w:tc>
        <w:tc>
          <w:tcPr>
            <w:tcW w:type="pct" w:w="32%"/>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Sơn vôi trang trí trắng</w:t>
            </w:r>
          </w:p>
        </w:tc>
        <w:tc>
          <w:tcPr>
            <w:tcW w:type="pct" w:w="40%"/>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Sơn vôi trang trí trắng (NCS S 1005-Y20R)</w:t>
            </w:r>
          </w:p>
        </w:tc>
      </w:tr>
      <w:tr>
        <w:tc>
          <w:tcPr>
            <w:tcW w:type="pct" w:w="28%"/>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Cửa chớp</w:t>
            </w:r>
          </w:p>
        </w:tc>
        <w:tc>
          <w:tcPr>
            <w:tcW w:type="pct" w:w="32%"/>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Teak lam đen</w:t>
            </w:r>
          </w:p>
        </w:tc>
        <w:tc>
          <w:tcPr>
            <w:tcW w:type="pct" w:w="40%"/>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Teak FSC, mực-than nhanh chóng</w:t>
            </w:r>
          </w:p>
        </w:tc>
      </w:tr>
      <w:tr>
        <w:tc>
          <w:tcPr>
            <w:tcW w:type="pct" w:w="28%"/>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Chữ ký nội thất</w:t>
            </w:r>
          </w:p>
        </w:tc>
        <w:tc>
          <w:tcPr>
            <w:tcW w:type="pct" w:w="32%"/>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Ốm + teak + đồng + raffia</w:t>
            </w:r>
          </w:p>
        </w:tc>
        <w:tc>
          <w:tcPr>
            <w:tcW w:type="pct" w:w="40%"/>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Ốm + teak + đồng + raffia</w:t>
            </w:r>
          </w:p>
        </w:tc>
      </w:tr>
      <w:tr>
        <w:tc>
          <w:tcPr>
            <w:tcW w:type="pct" w:w="28%"/>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Cảnh quan</w:t>
            </w:r>
          </w:p>
        </w:tc>
        <w:tc>
          <w:tcPr>
            <w:tcW w:type="pct" w:w="32%"/>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Frangipani, heliconia, cọc, cây trưởng thành</w:t>
            </w:r>
          </w:p>
        </w:tc>
        <w:tc>
          <w:tcPr>
            <w:tcW w:type="pct" w:w="40%"/>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Cặp frangipani ở sân vào; heliconia + chim thiên đường ở sân hồ bơi; xoài + cây Nhân Hòa ở ranh giới tây</w:t>
            </w:r>
          </w:p>
        </w:tc>
      </w:tr>
    </w:tbl>
    <w:p>
      <w:r>
        <w:br w:type="page"/>
      </w:r>
    </w:p>
    <w:p>
      <w:pPr>
        <w:pStyle w:val="Heading1"/>
        <w:spacing w:after="160" w:before="360"/>
      </w:pPr>
      <w:r>
        <w:rPr>
          <w:rFonts w:ascii="Georgia" w:cs="Georgia" w:eastAsia="Georgia" w:hAnsi="Georgia"/>
          <w:b/>
          <w:bCs/>
          <w:color w:val="1F2937"/>
          <w:sz w:val="36"/>
          <w:szCs w:val="36"/>
        </w:rPr>
        <w:t xml:space="preserve">Phụ lục B · Kiểm tra chéo diện tích &amp; kích thước</w:t>
      </w:r>
    </w:p>
    <w:p>
      <w:pPr>
        <w:pBdr>
          <w:bottom w:val="single" w:color="D6D3D1" w:sz="6" w:space="1"/>
        </w:pBdr>
        <w:spacing w:after="80" w:before="80"/>
      </w:pPr>
      <w:r>
        <w:t xml:space="preserve"/>
      </w:r>
    </w:p>
    <w:p>
      <w:pPr>
        <w:spacing w:after="140" w:line="300"/>
        <w:jc w:val="both"/>
      </w:pPr>
      <w:r>
        <w:rPr>
          <w:rFonts w:ascii="Calibri" w:cs="Calibri" w:eastAsia="Calibri" w:hAnsi="Calibri"/>
          <w:b w:val="false"/>
          <w:bCs w:val="false"/>
          <w:i w:val="false"/>
          <w:iCs w:val="false"/>
          <w:color w:val="1F2937"/>
          <w:sz w:val="22"/>
          <w:szCs w:val="22"/>
        </w:rPr>
        <w:t xml:space="preserve">Tất cả các kích thước dưới đây được lấy trực tiếp từ ArAD.pdf (Transform Architecture, 06/2015). Diện tích được thực hiện đến kế hoạch Biệt thự Anh hùng.</w:t>
      </w:r>
    </w:p>
    <w:tbl>
      <w:tblPr>
        <w:tblW w:type="pct" w:w="100%"/>
        <w:tblBorders>
          <w:top w:val="single" w:color="D6D3D1" w:sz="4"/>
          <w:left w:val="single" w:color="D6D3D1" w:sz="4"/>
          <w:bottom w:val="single" w:color="D6D3D1" w:sz="4"/>
          <w:right w:val="single" w:color="D6D3D1" w:sz="4"/>
          <w:insideH w:val="single" w:color="D6D3D1" w:sz="4"/>
          <w:insideV w:val="single" w:color="D6D3D1" w:sz="4"/>
        </w:tblBorders>
      </w:tblPr>
      <w:tblGrid>
        <w:gridCol w:w="3024"/>
        <w:gridCol w:w="3024"/>
        <w:gridCol w:w="3024"/>
      </w:tblGrid>
      <w:tr>
        <w:tc>
          <w:tcPr>
            <w:tcW w:type="pct" w:w="40%"/>
            <w:shd w:fill="1F2937" w:color="auto" w:val="clear"/>
            <w:tcMar>
              <w:top w:type="dxa" w:w="120"/>
              <w:left w:type="dxa" w:w="160"/>
              <w:bottom w:type="dxa" w:w="120"/>
              <w:right w:type="dxa" w:w="160"/>
            </w:tcMar>
          </w:tcPr>
          <w:p>
            <w:pPr>
              <w:spacing w:after="40"/>
              <w:jc w:val="left"/>
            </w:pPr>
            <w:r>
              <w:rPr>
                <w:rFonts w:ascii="Calibri" w:cs="Calibri" w:eastAsia="Calibri" w:hAnsi="Calibri"/>
                <w:b/>
                <w:bCs/>
                <w:color w:val="FFFFFF"/>
                <w:sz w:val="20"/>
                <w:szCs w:val="20"/>
              </w:rPr>
              <w:t xml:space="preserve">Khu vực</w:t>
            </w:r>
          </w:p>
        </w:tc>
        <w:tc>
          <w:tcPr>
            <w:tcW w:type="pct" w:w="32%"/>
            <w:shd w:fill="1F2937" w:color="auto" w:val="clear"/>
            <w:tcMar>
              <w:top w:type="dxa" w:w="120"/>
              <w:left w:type="dxa" w:w="160"/>
              <w:bottom w:type="dxa" w:w="120"/>
              <w:right w:type="dxa" w:w="160"/>
            </w:tcMar>
          </w:tcPr>
          <w:p>
            <w:pPr>
              <w:spacing w:after="40"/>
              <w:jc w:val="left"/>
            </w:pPr>
            <w:r>
              <w:rPr>
                <w:rFonts w:ascii="Calibri" w:cs="Calibri" w:eastAsia="Calibri" w:hAnsi="Calibri"/>
                <w:b/>
                <w:bCs/>
                <w:color w:val="FFFFFF"/>
                <w:sz w:val="20"/>
                <w:szCs w:val="20"/>
              </w:rPr>
              <w:t xml:space="preserve">Kích thước (mm)</w:t>
            </w:r>
          </w:p>
        </w:tc>
        <w:tc>
          <w:tcPr>
            <w:tcW w:type="pct" w:w="28%"/>
            <w:shd w:fill="1F2937" w:color="auto" w:val="clear"/>
            <w:tcMar>
              <w:top w:type="dxa" w:w="120"/>
              <w:left w:type="dxa" w:w="160"/>
              <w:bottom w:type="dxa" w:w="120"/>
              <w:right w:type="dxa" w:w="160"/>
            </w:tcMar>
          </w:tcPr>
          <w:p>
            <w:pPr>
              <w:spacing w:after="40"/>
              <w:jc w:val="left"/>
            </w:pPr>
            <w:r>
              <w:rPr>
                <w:rFonts w:ascii="Calibri" w:cs="Calibri" w:eastAsia="Calibri" w:hAnsi="Calibri"/>
                <w:b/>
                <w:bCs/>
                <w:color w:val="FFFFFF"/>
                <w:sz w:val="20"/>
                <w:szCs w:val="20"/>
              </w:rPr>
              <w:t xml:space="preserve">Diện tích (m²)</w:t>
            </w:r>
          </w:p>
        </w:tc>
      </w:tr>
      <w:tr>
        <w:tc>
          <w:tcPr>
            <w:tcW w:type="pct" w:w="40%"/>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Khối chính tầng trệt (phòng khách/ăn)</w:t>
            </w:r>
          </w:p>
        </w:tc>
        <w:tc>
          <w:tcPr>
            <w:tcW w:type="pct" w:w="32%"/>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13.200 × 11.550</w:t>
            </w:r>
          </w:p>
        </w:tc>
        <w:tc>
          <w:tcPr>
            <w:tcW w:type="pct" w:w="28%"/>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152,46</w:t>
            </w:r>
          </w:p>
        </w:tc>
      </w:tr>
      <w:tr>
        <w:tc>
          <w:tcPr>
            <w:tcW w:type="pct" w:w="40%"/>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Hình chiếu cánh phòng ăn tầng trệt</w:t>
            </w:r>
          </w:p>
        </w:tc>
        <w:tc>
          <w:tcPr>
            <w:tcW w:type="pct" w:w="32%"/>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14.350 × 9.600 + fillet dịch vụ</w:t>
            </w:r>
          </w:p>
        </w:tc>
        <w:tc>
          <w:tcPr>
            <w:tcW w:type="pct" w:w="28%"/>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 147,80</w:t>
            </w:r>
          </w:p>
        </w:tc>
      </w:tr>
      <w:tr>
        <w:tc>
          <w:tcPr>
            <w:tcW w:type="pct" w:w="40%"/>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GF kín — TỔNG CỘNG</w:t>
            </w:r>
          </w:p>
        </w:tc>
        <w:tc>
          <w:tcPr>
            <w:tcW w:type="pct" w:w="32%"/>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w:t>
            </w:r>
          </w:p>
        </w:tc>
        <w:tc>
          <w:tcPr>
            <w:tcW w:type="pct" w:w="28%"/>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 300</w:t>
            </w:r>
          </w:p>
        </w:tc>
      </w:tr>
      <w:tr>
        <w:tc>
          <w:tcPr>
            <w:tcW w:type="pct" w:w="40%"/>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L1 (hiện có, Phòng 3 + 4 + bảo vệ)</w:t>
            </w:r>
          </w:p>
        </w:tc>
        <w:tc>
          <w:tcPr>
            <w:tcW w:type="pct" w:w="32%"/>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13.200 × 11.550 (một phần)</w:t>
            </w:r>
          </w:p>
        </w:tc>
        <w:tc>
          <w:tcPr>
            <w:tcW w:type="pct" w:w="28%"/>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 152</w:t>
            </w:r>
          </w:p>
        </w:tc>
      </w:tr>
      <w:tr>
        <w:tc>
          <w:tcPr>
            <w:tcW w:type="pct" w:w="40%"/>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Mở rộng L1 mới (trên sân thượng cũ)</w:t>
            </w:r>
          </w:p>
        </w:tc>
        <w:tc>
          <w:tcPr>
            <w:tcW w:type="pct" w:w="32%"/>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14.350 × 9.600 + fillet</w:t>
            </w:r>
          </w:p>
        </w:tc>
        <w:tc>
          <w:tcPr>
            <w:tcW w:type="pct" w:w="28%"/>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 148</w:t>
            </w:r>
          </w:p>
        </w:tc>
      </w:tr>
      <w:tr>
        <w:tc>
          <w:tcPr>
            <w:tcW w:type="pct" w:w="40%"/>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L1 kín — TỔNG CỘNG (đề xuất)</w:t>
            </w:r>
          </w:p>
        </w:tc>
        <w:tc>
          <w:tcPr>
            <w:tcW w:type="pct" w:w="32%"/>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Full match với tầng trệt</w:t>
            </w:r>
          </w:p>
        </w:tc>
        <w:tc>
          <w:tcPr>
            <w:tcW w:type="pct" w:w="28%"/>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 300</w:t>
            </w:r>
          </w:p>
        </w:tc>
      </w:tr>
      <w:tr>
        <w:tc>
          <w:tcPr>
            <w:tcW w:type="pct" w:w="40%"/>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GFA Tổng cộng</w:t>
            </w:r>
          </w:p>
        </w:tc>
        <w:tc>
          <w:tcPr>
            <w:tcW w:type="pct" w:w="32%"/>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w:t>
            </w:r>
          </w:p>
        </w:tc>
        <w:tc>
          <w:tcPr>
            <w:tcW w:type="pct" w:w="28%"/>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 600</w:t>
            </w:r>
          </w:p>
        </w:tc>
      </w:tr>
      <w:tr>
        <w:tc>
          <w:tcPr>
            <w:tcW w:type="pct" w:w="40%"/>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Hành lang có mái kín tầng trệt (nam + tây)</w:t>
            </w:r>
          </w:p>
        </w:tc>
        <w:tc>
          <w:tcPr>
            <w:tcW w:type="pct" w:w="32%"/>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2,4 m × ~50 m</w:t>
            </w:r>
          </w:p>
        </w:tc>
        <w:tc>
          <w:tcPr>
            <w:tcW w:type="pct" w:w="28%"/>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 120</w:t>
            </w:r>
          </w:p>
        </w:tc>
      </w:tr>
      <w:tr>
        <w:tc>
          <w:tcPr>
            <w:tcW w:type="pct" w:w="40%"/>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Hành lang có mái kín L1 (nam)</w:t>
            </w:r>
          </w:p>
        </w:tc>
        <w:tc>
          <w:tcPr>
            <w:tcW w:type="pct" w:w="32%"/>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2,4 m × ~38 m</w:t>
            </w:r>
          </w:p>
        </w:tc>
        <w:tc>
          <w:tcPr>
            <w:tcW w:type="pct" w:w="28%"/>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 90</w:t>
            </w:r>
          </w:p>
        </w:tc>
      </w:tr>
      <w:tr>
        <w:tc>
          <w:tcPr>
            <w:tcW w:type="pct" w:w="40%"/>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Bề mặt hồ bơi (giữ lại, chỉnh sửa cạnh)</w:t>
            </w:r>
          </w:p>
        </w:tc>
        <w:tc>
          <w:tcPr>
            <w:tcW w:type="pct" w:w="32%"/>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hiện có + mở rộng 1,5 m</w:t>
            </w:r>
          </w:p>
        </w:tc>
        <w:tc>
          <w:tcPr>
            <w:tcW w:type="pct" w:w="28%"/>
            <w:shd w:fill="FAF7F2" w:color="auto" w:val="clear"/>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 54</w:t>
            </w:r>
          </w:p>
        </w:tc>
      </w:tr>
      <w:tr>
        <w:tc>
          <w:tcPr>
            <w:tcW w:type="pct" w:w="40%"/>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Sân hồ bơi + thảo nguyên sân khấu</w:t>
            </w:r>
          </w:p>
        </w:tc>
        <w:tc>
          <w:tcPr>
            <w:tcW w:type="pct" w:w="32%"/>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w:t>
            </w:r>
          </w:p>
        </w:tc>
        <w:tc>
          <w:tcPr>
            <w:tcW w:type="pct" w:w="28%"/>
            <w:tcMar>
              <w:top w:type="dxa" w:w="120"/>
              <w:left w:type="dxa" w:w="160"/>
              <w:bottom w:type="dxa" w:w="120"/>
              <w:right w:type="dxa" w:w="160"/>
            </w:tcMar>
          </w:tcPr>
          <w:p>
            <w:pPr>
              <w:spacing w:after="40"/>
              <w:jc w:val="left"/>
            </w:pPr>
            <w:r>
              <w:rPr>
                <w:rFonts w:ascii="Calibri" w:cs="Calibri" w:eastAsia="Calibri" w:hAnsi="Calibri"/>
                <w:b w:val="false"/>
                <w:bCs w:val="false"/>
                <w:color w:val="1F2937"/>
                <w:sz w:val="20"/>
                <w:szCs w:val="20"/>
              </w:rPr>
              <w:t xml:space="preserve">≈ 220</w:t>
            </w:r>
          </w:p>
        </w:tc>
      </w:tr>
    </w:tbl>
    <w:p>
      <w:pPr>
        <w:spacing w:after="160" w:before="0"/>
      </w:pPr>
      <w:r>
        <w:t xml:space="preserve"/>
      </w:r>
    </w:p>
    <w:p>
      <w:pPr>
        <w:spacing w:after="140" w:line="300"/>
        <w:jc w:val="both"/>
      </w:pPr>
      <w:r>
        <w:rPr>
          <w:rFonts w:ascii="Calibri" w:cs="Calibri" w:eastAsia="Calibri" w:hAnsi="Calibri"/>
          <w:b w:val="false"/>
          <w:bCs w:val="false"/>
          <w:i w:val="false"/>
          <w:iCs w:val="false"/>
          <w:color w:val="1F2937"/>
          <w:sz w:val="22"/>
          <w:szCs w:val="22"/>
        </w:rPr>
        <w:t xml:space="preserve">Tính toán diện tích xác nhận con số tóm tắt ~600 m² tổng GFA, khoảng 38% lớn hơn tiêu chuẩn Capella Sentosa Manor. Bởi vì L1 được mở rộng trong đường bao tầng trệt hiện có, thửa đất và phong bì 1/500 không thay đổi — không cần phê duyệt lại.</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8716C"/>
        <w:sz w:val="16"/>
        <w:szCs w:val="16"/>
      </w:rPr>
      <w:t xml:space="preserve">Trang </w:t>
    </w:r>
    <w:r>
      <w:rPr>
        <w:rFonts w:ascii="Calibri" w:cs="Calibri" w:eastAsia="Calibri" w:hAnsi="Calibri"/>
        <w:color w:val="78716C"/>
        <w:sz w:val="16"/>
        <w:szCs w:val="16"/>
      </w:rPr>
      <w:fldChar w:fldCharType="begin"/>
      <w:instrText xml:space="preserve">PAGE</w:instrText>
      <w:fldChar w:fldCharType="separate"/>
      <w:fldChar w:fldCharType="end"/>
    </w:r>
    <w:r>
      <w:rPr>
        <w:rFonts w:ascii="Calibri" w:cs="Calibri" w:eastAsia="Calibri" w:hAnsi="Calibri"/>
        <w:color w:val="78716C"/>
        <w:sz w:val="16"/>
        <w:szCs w:val="16"/>
      </w:rPr>
      <w:t xml:space="preserve"> của </w:t>
    </w:r>
    <w:r>
      <w:rPr>
        <w:rFonts w:ascii="Calibri" w:cs="Calibri" w:eastAsia="Calibri" w:hAnsi="Calibri"/>
        <w:color w:val="78716C"/>
        <w:sz w:val="16"/>
        <w:szCs w:val="16"/>
      </w:rPr>
      <w:fldChar w:fldCharType="begin"/>
      <w:instrText xml:space="preserve">NUMPAGES</w:instrText>
      <w:fldChar w:fldCharType="separate"/>
      <w:fldChar w:fldCharType="end"/>
    </w:r>
    <w:r>
      <w:rPr>
        <w:rFonts w:ascii="Calibri" w:cs="Calibri" w:eastAsia="Calibri" w:hAnsi="Calibri"/>
        <w:color w:val="78716C"/>
        <w:sz w:val="16"/>
        <w:szCs w:val="16"/>
      </w:rPr>
      <w:t xml:space="preserve">  ·  Thiết kế khái niệm · Tháng Tư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color w:val="78716C"/>
        <w:sz w:val="16"/>
        <w:szCs w:val="16"/>
      </w:rPr>
      <w:t xml:space="preserve">JEN TUAN CHAU · BIỆT THỰ CHỦ ĐẠO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JEN TUAN CHAU · BIỆT THỰ CHỦ ĐẠO</dc:title>
  <dc:creator>Jen Tuan Chau design team</dc:creator>
  <dc:description>Thiết kế khái niệm — Biệt thự chủ đạo tại Jen Tuan Chau, đối tác thuộc địa-nhiệt đới của Capella Sentosa Manors.</dc:description>
  <cp:lastModifiedBy>Un-named</cp:lastModifiedBy>
  <cp:revision>1</cp:revision>
  <dcterms:created xsi:type="dcterms:W3CDTF">2026-04-18T09:56:31.490Z</dcterms:created>
  <dcterms:modified xsi:type="dcterms:W3CDTF">2026-04-18T09:56:31.491Z</dcterms:modified>
</cp:coreProperties>
</file>

<file path=docProps/custom.xml><?xml version="1.0" encoding="utf-8"?>
<Properties xmlns="http://schemas.openxmlformats.org/officeDocument/2006/custom-properties" xmlns:vt="http://schemas.openxmlformats.org/officeDocument/2006/docPropsVTypes"/>
</file>