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D802C" w14:textId="553645DB" w:rsidR="003A0A4A" w:rsidRPr="006F7A11" w:rsidRDefault="000671CA" w:rsidP="00205FAF">
      <w:pPr>
        <w:jc w:val="center"/>
        <w:rPr>
          <w:rFonts w:ascii="Times New Roman" w:hAnsi="Times New Roman" w:cs="Times New Roman"/>
          <w:b/>
          <w:bCs/>
          <w:sz w:val="36"/>
          <w:szCs w:val="36"/>
        </w:rPr>
      </w:pPr>
      <w:r w:rsidRPr="000671CA">
        <w:rPr>
          <w:rFonts w:ascii="Times New Roman" w:hAnsi="Times New Roman" w:cs="Times New Roman"/>
          <w:b/>
          <w:bCs/>
          <w:sz w:val="36"/>
          <w:szCs w:val="36"/>
        </w:rPr>
        <w:t>Supplementary Information</w:t>
      </w:r>
    </w:p>
    <w:p w14:paraId="25FF091C" w14:textId="440D4339" w:rsidR="00205FAF" w:rsidRPr="006F7A11" w:rsidRDefault="00205FAF" w:rsidP="00205FAF">
      <w:pPr>
        <w:jc w:val="center"/>
        <w:rPr>
          <w:rFonts w:ascii="Times New Roman" w:hAnsi="Times New Roman" w:cs="Times New Roman"/>
          <w:b/>
          <w:bCs/>
          <w:sz w:val="24"/>
          <w:szCs w:val="24"/>
        </w:rPr>
      </w:pPr>
    </w:p>
    <w:p w14:paraId="6430BB08" w14:textId="77777777" w:rsidR="00260E7A" w:rsidRDefault="00260E7A" w:rsidP="00205FAF">
      <w:pPr>
        <w:spacing w:line="276" w:lineRule="auto"/>
        <w:rPr>
          <w:rFonts w:ascii="Times New Roman" w:hAnsi="Times New Roman"/>
          <w:sz w:val="36"/>
          <w:szCs w:val="18"/>
        </w:rPr>
      </w:pPr>
      <w:bookmarkStart w:id="0" w:name="_Hlk111379760"/>
      <w:bookmarkStart w:id="1" w:name="_Hlk111379524"/>
      <w:r w:rsidRPr="00260E7A">
        <w:rPr>
          <w:rFonts w:ascii="Times New Roman" w:hAnsi="Times New Roman"/>
          <w:sz w:val="36"/>
          <w:szCs w:val="18"/>
        </w:rPr>
        <w:t>Interpretable Multi-Modal Consensus QSAR Framework Integrating Machine and Deep Learning for Multi-Endpoint Chemical Toxicity Assessment</w:t>
      </w:r>
    </w:p>
    <w:p w14:paraId="1C59835A" w14:textId="6070D88E" w:rsidR="00205FAF" w:rsidRPr="006F7A11" w:rsidRDefault="00205FAF" w:rsidP="00205FAF">
      <w:pPr>
        <w:spacing w:line="276" w:lineRule="auto"/>
        <w:rPr>
          <w:rFonts w:ascii="Times New Roman" w:hAnsi="Times New Roman"/>
        </w:rPr>
      </w:pPr>
      <w:r w:rsidRPr="006F7A11">
        <w:rPr>
          <w:rFonts w:ascii="Times New Roman" w:hAnsi="Times New Roman"/>
          <w:i/>
          <w:iCs/>
        </w:rPr>
        <w:t>FAUZAN SYARIF NURSYAFI</w:t>
      </w:r>
      <w:r w:rsidRPr="006F7A11">
        <w:rPr>
          <w:rFonts w:ascii="Times New Roman" w:hAnsi="Times New Roman"/>
          <w:vertAlign w:val="superscript"/>
        </w:rPr>
        <w:t>1</w:t>
      </w:r>
      <w:r w:rsidRPr="006F7A11">
        <w:rPr>
          <w:rFonts w:ascii="Times New Roman" w:hAnsi="Times New Roman"/>
        </w:rPr>
        <w:t xml:space="preserve">, </w:t>
      </w:r>
      <w:r w:rsidRPr="006F7A11">
        <w:rPr>
          <w:rFonts w:ascii="Times New Roman" w:hAnsi="Times New Roman"/>
          <w:i/>
          <w:iCs/>
        </w:rPr>
        <w:t>MUHAMMAD ADNAN PRAMUDITO</w:t>
      </w:r>
      <w:r w:rsidRPr="006F7A11">
        <w:rPr>
          <w:rFonts w:ascii="Times New Roman" w:hAnsi="Times New Roman"/>
          <w:vertAlign w:val="superscript"/>
        </w:rPr>
        <w:t>2</w:t>
      </w:r>
      <w:r w:rsidRPr="006F7A11">
        <w:rPr>
          <w:rFonts w:ascii="Times New Roman" w:hAnsi="Times New Roman"/>
        </w:rPr>
        <w:t xml:space="preserve">, </w:t>
      </w:r>
      <w:r w:rsidRPr="006F7A11">
        <w:rPr>
          <w:rFonts w:ascii="Times New Roman" w:hAnsi="Times New Roman"/>
          <w:i/>
          <w:iCs/>
        </w:rPr>
        <w:t>YUNENDAH NUR FUADAH</w:t>
      </w:r>
      <w:r w:rsidRPr="006F7A11">
        <w:rPr>
          <w:rFonts w:ascii="Times New Roman" w:hAnsi="Times New Roman"/>
          <w:vertAlign w:val="superscript"/>
        </w:rPr>
        <w:t>3*</w:t>
      </w:r>
      <w:r w:rsidRPr="006F7A11">
        <w:rPr>
          <w:rFonts w:ascii="Times New Roman" w:hAnsi="Times New Roman"/>
        </w:rPr>
        <w:t xml:space="preserve">, and </w:t>
      </w:r>
      <w:r w:rsidRPr="006F7A11">
        <w:rPr>
          <w:rFonts w:ascii="Times New Roman" w:hAnsi="Times New Roman"/>
          <w:i/>
          <w:iCs/>
        </w:rPr>
        <w:t>KI MOO LIM</w:t>
      </w:r>
      <w:r w:rsidRPr="006F7A11">
        <w:rPr>
          <w:rFonts w:ascii="Times New Roman" w:hAnsi="Times New Roman"/>
          <w:i/>
          <w:iCs/>
          <w:vertAlign w:val="superscript"/>
        </w:rPr>
        <w:t>1</w:t>
      </w:r>
      <w:r w:rsidRPr="006F7A11">
        <w:rPr>
          <w:rFonts w:ascii="Times New Roman" w:hAnsi="Times New Roman"/>
          <w:vertAlign w:val="superscript"/>
        </w:rPr>
        <w:t>,4,5*</w:t>
      </w:r>
      <w:bookmarkEnd w:id="0"/>
    </w:p>
    <w:p w14:paraId="3110DB41" w14:textId="77777777" w:rsidR="00205FAF" w:rsidRPr="006F7A11" w:rsidRDefault="00205FAF" w:rsidP="00205FAF">
      <w:pPr>
        <w:spacing w:after="0" w:line="276" w:lineRule="auto"/>
        <w:rPr>
          <w:rFonts w:ascii="Times New Roman" w:hAnsi="Times New Roman"/>
          <w:vertAlign w:val="superscript"/>
        </w:rPr>
      </w:pPr>
      <w:bookmarkStart w:id="2" w:name="_Hlk153891122"/>
      <w:bookmarkEnd w:id="1"/>
      <w:r w:rsidRPr="006F7A11">
        <w:rPr>
          <w:rFonts w:ascii="Times New Roman" w:hAnsi="Times New Roman"/>
          <w:vertAlign w:val="superscript"/>
        </w:rPr>
        <w:t>1</w:t>
      </w:r>
      <w:r w:rsidRPr="006F7A11">
        <w:rPr>
          <w:rFonts w:ascii="Times New Roman" w:hAnsi="Times New Roman"/>
        </w:rPr>
        <w:t xml:space="preserve">Computational Medicine Lab, Department of Medical IT Convergence Engineering, </w:t>
      </w:r>
      <w:proofErr w:type="spellStart"/>
      <w:r w:rsidRPr="006F7A11">
        <w:rPr>
          <w:rFonts w:ascii="Times New Roman" w:hAnsi="Times New Roman"/>
        </w:rPr>
        <w:t>Kumoh</w:t>
      </w:r>
      <w:proofErr w:type="spellEnd"/>
      <w:r w:rsidRPr="006F7A11">
        <w:rPr>
          <w:rFonts w:ascii="Times New Roman" w:hAnsi="Times New Roman"/>
        </w:rPr>
        <w:t xml:space="preserve"> National Institute of Technology, Gumi, 39177, Republic of Korea. </w:t>
      </w:r>
    </w:p>
    <w:p w14:paraId="6EB811FF" w14:textId="77777777" w:rsidR="00205FAF" w:rsidRPr="006F7A11" w:rsidRDefault="00205FAF" w:rsidP="00205FAF">
      <w:pPr>
        <w:spacing w:after="0" w:line="276" w:lineRule="auto"/>
        <w:rPr>
          <w:rFonts w:ascii="Times New Roman" w:hAnsi="Times New Roman"/>
        </w:rPr>
      </w:pPr>
      <w:bookmarkStart w:id="3" w:name="_Hlk178349148"/>
      <w:r w:rsidRPr="006F7A11">
        <w:rPr>
          <w:rFonts w:ascii="Times New Roman" w:hAnsi="Times New Roman"/>
          <w:vertAlign w:val="superscript"/>
        </w:rPr>
        <w:t>2</w:t>
      </w:r>
      <w:r w:rsidRPr="006F7A11">
        <w:rPr>
          <w:rFonts w:ascii="Times New Roman" w:hAnsi="Times New Roman"/>
        </w:rPr>
        <w:t xml:space="preserve">Computational Medicine Lab, Department of IT Convergence Engineering, </w:t>
      </w:r>
      <w:proofErr w:type="spellStart"/>
      <w:r w:rsidRPr="006F7A11">
        <w:rPr>
          <w:rFonts w:ascii="Times New Roman" w:hAnsi="Times New Roman"/>
        </w:rPr>
        <w:t>Kumoh</w:t>
      </w:r>
      <w:proofErr w:type="spellEnd"/>
      <w:r w:rsidRPr="006F7A11">
        <w:rPr>
          <w:rFonts w:ascii="Times New Roman" w:hAnsi="Times New Roman"/>
        </w:rPr>
        <w:t xml:space="preserve"> National Institute of Technology, Gumi, 39177, Republic of Korea</w:t>
      </w:r>
      <w:bookmarkEnd w:id="3"/>
      <w:r w:rsidRPr="006F7A11">
        <w:rPr>
          <w:rFonts w:ascii="Times New Roman" w:hAnsi="Times New Roman"/>
        </w:rPr>
        <w:t>.</w:t>
      </w:r>
    </w:p>
    <w:p w14:paraId="2697451F" w14:textId="77777777" w:rsidR="00205FAF" w:rsidRPr="006F7A11" w:rsidRDefault="00205FAF" w:rsidP="00205FAF">
      <w:pPr>
        <w:spacing w:after="0" w:line="276" w:lineRule="auto"/>
        <w:rPr>
          <w:rFonts w:ascii="Times New Roman" w:hAnsi="Times New Roman"/>
        </w:rPr>
      </w:pPr>
      <w:r w:rsidRPr="006F7A11">
        <w:rPr>
          <w:rFonts w:ascii="Times New Roman" w:hAnsi="Times New Roman"/>
          <w:vertAlign w:val="superscript"/>
        </w:rPr>
        <w:t>3</w:t>
      </w:r>
      <w:r w:rsidRPr="006F7A11">
        <w:rPr>
          <w:rFonts w:ascii="Times New Roman" w:hAnsi="Times New Roman"/>
        </w:rPr>
        <w:t>Telecommunication Engineering Study Program, School of Electrical Engineering, Telkom University Main Campus, Bandung, Indonesia</w:t>
      </w:r>
    </w:p>
    <w:p w14:paraId="144375E1" w14:textId="77777777" w:rsidR="00205FAF" w:rsidRPr="006F7A11" w:rsidRDefault="00205FAF" w:rsidP="00205FAF">
      <w:pPr>
        <w:spacing w:after="0" w:line="276" w:lineRule="auto"/>
        <w:rPr>
          <w:rFonts w:ascii="Times New Roman" w:hAnsi="Times New Roman"/>
          <w:vertAlign w:val="superscript"/>
        </w:rPr>
      </w:pPr>
      <w:r w:rsidRPr="006F7A11">
        <w:rPr>
          <w:rFonts w:ascii="Times New Roman" w:hAnsi="Times New Roman"/>
          <w:vertAlign w:val="superscript"/>
        </w:rPr>
        <w:t>4</w:t>
      </w:r>
      <w:r w:rsidRPr="006F7A11">
        <w:rPr>
          <w:rFonts w:ascii="Times New Roman" w:hAnsi="Times New Roman"/>
        </w:rPr>
        <w:t xml:space="preserve">Computational Medicine Lab, Department of Biomedical Engineering, </w:t>
      </w:r>
      <w:proofErr w:type="spellStart"/>
      <w:r w:rsidRPr="006F7A11">
        <w:rPr>
          <w:rFonts w:ascii="Times New Roman" w:hAnsi="Times New Roman"/>
        </w:rPr>
        <w:t>Kumoh</w:t>
      </w:r>
      <w:proofErr w:type="spellEnd"/>
      <w:r w:rsidRPr="006F7A11">
        <w:rPr>
          <w:rFonts w:ascii="Times New Roman" w:hAnsi="Times New Roman"/>
        </w:rPr>
        <w:t xml:space="preserve"> National Institute of Technology, Gumi, 39177, Republic of Korea.</w:t>
      </w:r>
    </w:p>
    <w:p w14:paraId="7B0DF461" w14:textId="60D6CB73" w:rsidR="00205FAF" w:rsidRPr="006F7A11" w:rsidRDefault="00205FAF" w:rsidP="00205FAF">
      <w:pPr>
        <w:pStyle w:val="BCAuthorAddress"/>
        <w:spacing w:line="276" w:lineRule="auto"/>
        <w:jc w:val="left"/>
        <w:rPr>
          <w:rStyle w:val="Hyperlink"/>
          <w:rFonts w:ascii="Times New Roman" w:hAnsi="Times New Roman"/>
        </w:rPr>
      </w:pPr>
      <w:r w:rsidRPr="006F7A11">
        <w:rPr>
          <w:rFonts w:ascii="Times New Roman" w:hAnsi="Times New Roman"/>
          <w:vertAlign w:val="superscript"/>
        </w:rPr>
        <w:t>5</w:t>
      </w:r>
      <w:r w:rsidRPr="006F7A11">
        <w:rPr>
          <w:rFonts w:ascii="Times New Roman" w:hAnsi="Times New Roman"/>
        </w:rPr>
        <w:t>Meta Heart Co., Ltd, Gumi, 39253, Republic of Korea.</w:t>
      </w:r>
      <w:bookmarkEnd w:id="2"/>
      <w:r w:rsidRPr="006F7A11">
        <w:rPr>
          <w:rFonts w:ascii="Times New Roman" w:hAnsi="Times New Roman"/>
        </w:rPr>
        <w:br/>
      </w:r>
      <w:r w:rsidRPr="006F7A11">
        <w:rPr>
          <w:rFonts w:ascii="Times New Roman" w:hAnsi="Times New Roman"/>
          <w:vertAlign w:val="superscript"/>
        </w:rPr>
        <w:t>*</w:t>
      </w:r>
      <w:r w:rsidRPr="006F7A11">
        <w:rPr>
          <w:rFonts w:ascii="Times New Roman" w:hAnsi="Times New Roman"/>
        </w:rPr>
        <w:t xml:space="preserve">Corresponding authors: </w:t>
      </w:r>
      <w:hyperlink r:id="rId5" w:history="1">
        <w:r w:rsidRPr="006F7A11">
          <w:rPr>
            <w:rStyle w:val="Hyperlink"/>
            <w:rFonts w:ascii="Times New Roman" w:hAnsi="Times New Roman"/>
          </w:rPr>
          <w:t>kmlim@kumoh.ac.kr</w:t>
        </w:r>
      </w:hyperlink>
    </w:p>
    <w:p w14:paraId="1BE7911C" w14:textId="1DB695B9" w:rsidR="00205FAF" w:rsidRPr="006F7A11" w:rsidRDefault="00205FAF" w:rsidP="00582CE3">
      <w:pPr>
        <w:rPr>
          <w:rFonts w:ascii="Times New Roman" w:hAnsi="Times New Roman" w:cs="Times New Roman"/>
          <w:b/>
          <w:bCs/>
          <w:sz w:val="24"/>
          <w:szCs w:val="24"/>
        </w:rPr>
      </w:pPr>
    </w:p>
    <w:p w14:paraId="00808432" w14:textId="77777777" w:rsidR="00582CE3" w:rsidRPr="00582CE3" w:rsidRDefault="00582CE3" w:rsidP="00582CE3">
      <w:pPr>
        <w:rPr>
          <w:rStyle w:val="Strong"/>
          <w:rFonts w:ascii="Times New Roman" w:eastAsia="Times New Roman" w:hAnsi="Times New Roman" w:cs="Times New Roman"/>
          <w:kern w:val="0"/>
          <w:sz w:val="24"/>
          <w:szCs w:val="24"/>
          <w14:ligatures w14:val="none"/>
        </w:rPr>
      </w:pPr>
      <w:r w:rsidRPr="00582CE3">
        <w:rPr>
          <w:rStyle w:val="Strong"/>
          <w:rFonts w:ascii="Times New Roman" w:eastAsia="Times New Roman" w:hAnsi="Times New Roman" w:cs="Times New Roman"/>
          <w:kern w:val="0"/>
          <w:sz w:val="24"/>
          <w:szCs w:val="24"/>
          <w14:ligatures w14:val="none"/>
        </w:rPr>
        <w:t>This supplementary information provides additional methodological details, specifically:</w:t>
      </w:r>
    </w:p>
    <w:p w14:paraId="5D5C1B4C" w14:textId="164D9854" w:rsidR="00582CE3" w:rsidRPr="00C25A01" w:rsidRDefault="00B01144" w:rsidP="00582CE3">
      <w:pPr>
        <w:pStyle w:val="ListParagraph"/>
        <w:numPr>
          <w:ilvl w:val="0"/>
          <w:numId w:val="4"/>
        </w:numPr>
        <w:tabs>
          <w:tab w:val="left" w:pos="450"/>
        </w:tabs>
        <w:ind w:left="360"/>
        <w:rPr>
          <w:rStyle w:val="Strong"/>
          <w:rFonts w:ascii="Times New Roman" w:eastAsia="Times New Roman" w:hAnsi="Times New Roman" w:cs="Times New Roman"/>
          <w:b w:val="0"/>
          <w:bCs w:val="0"/>
          <w:kern w:val="0"/>
          <w:sz w:val="24"/>
          <w:szCs w:val="24"/>
          <w14:ligatures w14:val="none"/>
        </w:rPr>
      </w:pPr>
      <w:r>
        <w:rPr>
          <w:rStyle w:val="Strong"/>
          <w:rFonts w:ascii="Times New Roman" w:eastAsia="Times New Roman" w:hAnsi="Times New Roman" w:cs="Times New Roman"/>
          <w:b w:val="0"/>
          <w:bCs w:val="0"/>
          <w:kern w:val="0"/>
          <w:sz w:val="24"/>
          <w:szCs w:val="24"/>
          <w14:ligatures w14:val="none"/>
        </w:rPr>
        <w:t>D</w:t>
      </w:r>
      <w:r w:rsidR="00582CE3" w:rsidRPr="00C25A01">
        <w:rPr>
          <w:rStyle w:val="Strong"/>
          <w:rFonts w:ascii="Times New Roman" w:eastAsia="Times New Roman" w:hAnsi="Times New Roman" w:cs="Times New Roman"/>
          <w:b w:val="0"/>
          <w:bCs w:val="0"/>
          <w:kern w:val="0"/>
          <w:sz w:val="24"/>
          <w:szCs w:val="24"/>
          <w14:ligatures w14:val="none"/>
        </w:rPr>
        <w:t>efinition of each toxicity endpoint and the compound-level preprocessing procedures applied.</w:t>
      </w:r>
    </w:p>
    <w:p w14:paraId="31902819" w14:textId="36C56A9F" w:rsidR="00582CE3" w:rsidRDefault="00582CE3" w:rsidP="00582CE3">
      <w:pPr>
        <w:pStyle w:val="ListParagraph"/>
        <w:numPr>
          <w:ilvl w:val="0"/>
          <w:numId w:val="4"/>
        </w:numPr>
        <w:tabs>
          <w:tab w:val="left" w:pos="450"/>
        </w:tabs>
        <w:ind w:left="360"/>
        <w:rPr>
          <w:rStyle w:val="Strong"/>
          <w:rFonts w:ascii="Times New Roman" w:eastAsia="Times New Roman" w:hAnsi="Times New Roman" w:cs="Times New Roman"/>
          <w:b w:val="0"/>
          <w:bCs w:val="0"/>
          <w:kern w:val="0"/>
          <w:sz w:val="24"/>
          <w:szCs w:val="24"/>
          <w14:ligatures w14:val="none"/>
        </w:rPr>
      </w:pPr>
      <w:r w:rsidRPr="00DA4A10">
        <w:rPr>
          <w:rStyle w:val="Strong"/>
          <w:rFonts w:ascii="Times New Roman" w:eastAsia="Times New Roman" w:hAnsi="Times New Roman" w:cs="Times New Roman"/>
          <w:kern w:val="0"/>
          <w:sz w:val="24"/>
          <w:szCs w:val="24"/>
          <w14:ligatures w14:val="none"/>
        </w:rPr>
        <w:t>Table S1.</w:t>
      </w:r>
      <w:r w:rsidRPr="00C25A01">
        <w:rPr>
          <w:rStyle w:val="Strong"/>
          <w:rFonts w:ascii="Times New Roman" w:eastAsia="Times New Roman" w:hAnsi="Times New Roman" w:cs="Times New Roman"/>
          <w:b w:val="0"/>
          <w:bCs w:val="0"/>
          <w:kern w:val="0"/>
          <w:sz w:val="24"/>
          <w:szCs w:val="24"/>
          <w14:ligatures w14:val="none"/>
        </w:rPr>
        <w:t xml:space="preserve"> Description of the physicochemical molecular descriptors (generated using RDKit and CDK) utilized for QSAR modeling.</w:t>
      </w:r>
    </w:p>
    <w:p w14:paraId="4E98251C" w14:textId="7689481E" w:rsidR="009E7418" w:rsidRDefault="009E7418" w:rsidP="00582CE3">
      <w:pPr>
        <w:pStyle w:val="ListParagraph"/>
        <w:numPr>
          <w:ilvl w:val="0"/>
          <w:numId w:val="4"/>
        </w:numPr>
        <w:tabs>
          <w:tab w:val="left" w:pos="450"/>
        </w:tabs>
        <w:ind w:left="360"/>
        <w:rPr>
          <w:rStyle w:val="Strong"/>
          <w:rFonts w:ascii="Times New Roman" w:eastAsia="Times New Roman" w:hAnsi="Times New Roman" w:cs="Times New Roman"/>
          <w:b w:val="0"/>
          <w:bCs w:val="0"/>
          <w:kern w:val="0"/>
          <w:sz w:val="24"/>
          <w:szCs w:val="24"/>
          <w14:ligatures w14:val="none"/>
        </w:rPr>
      </w:pPr>
      <w:r w:rsidRPr="00DA4A10">
        <w:rPr>
          <w:rStyle w:val="Strong"/>
          <w:rFonts w:ascii="Times New Roman" w:eastAsia="Times New Roman" w:hAnsi="Times New Roman" w:cs="Times New Roman"/>
          <w:kern w:val="0"/>
          <w:sz w:val="24"/>
          <w:szCs w:val="24"/>
          <w14:ligatures w14:val="none"/>
        </w:rPr>
        <w:t>Table S2.</w:t>
      </w:r>
      <w:r>
        <w:rPr>
          <w:rStyle w:val="Strong"/>
          <w:rFonts w:ascii="Times New Roman" w:eastAsia="Times New Roman" w:hAnsi="Times New Roman" w:cs="Times New Roman"/>
          <w:b w:val="0"/>
          <w:bCs w:val="0"/>
          <w:kern w:val="0"/>
          <w:sz w:val="24"/>
          <w:szCs w:val="24"/>
          <w14:ligatures w14:val="none"/>
        </w:rPr>
        <w:t xml:space="preserve"> </w:t>
      </w:r>
      <w:r w:rsidRPr="009E7418">
        <w:rPr>
          <w:rStyle w:val="Strong"/>
          <w:rFonts w:ascii="Times New Roman" w:eastAsia="Times New Roman" w:hAnsi="Times New Roman" w:cs="Times New Roman"/>
          <w:b w:val="0"/>
          <w:bCs w:val="0"/>
          <w:kern w:val="0"/>
          <w:sz w:val="24"/>
          <w:szCs w:val="24"/>
          <w14:ligatures w14:val="none"/>
        </w:rPr>
        <w:t>Hyperparameter settings for machine learning and deep learning models</w:t>
      </w:r>
    </w:p>
    <w:p w14:paraId="3B5AA128" w14:textId="1EE55BD1" w:rsidR="00205FAF" w:rsidRPr="006F7A11" w:rsidRDefault="00205FAF" w:rsidP="00582CE3">
      <w:pPr>
        <w:rPr>
          <w:rFonts w:ascii="Times New Roman" w:hAnsi="Times New Roman" w:cs="Times New Roman"/>
          <w:b/>
          <w:bCs/>
          <w:sz w:val="24"/>
          <w:szCs w:val="24"/>
        </w:rPr>
      </w:pPr>
    </w:p>
    <w:p w14:paraId="6000240F" w14:textId="00744A11" w:rsidR="00205FAF" w:rsidRPr="006F7A11" w:rsidRDefault="00205FAF" w:rsidP="00205FAF">
      <w:pPr>
        <w:jc w:val="center"/>
        <w:rPr>
          <w:rFonts w:ascii="Times New Roman" w:hAnsi="Times New Roman" w:cs="Times New Roman"/>
          <w:b/>
          <w:bCs/>
          <w:sz w:val="24"/>
          <w:szCs w:val="24"/>
        </w:rPr>
      </w:pPr>
    </w:p>
    <w:p w14:paraId="084A0FE6" w14:textId="1C5093FE" w:rsidR="00205FAF" w:rsidRPr="006F7A11" w:rsidRDefault="00205FAF" w:rsidP="00205FAF">
      <w:pPr>
        <w:jc w:val="center"/>
        <w:rPr>
          <w:rFonts w:ascii="Times New Roman" w:hAnsi="Times New Roman" w:cs="Times New Roman"/>
          <w:b/>
          <w:bCs/>
          <w:sz w:val="24"/>
          <w:szCs w:val="24"/>
        </w:rPr>
      </w:pPr>
    </w:p>
    <w:p w14:paraId="5A4A4768" w14:textId="6EA257F4" w:rsidR="00205FAF" w:rsidRPr="006F7A11" w:rsidRDefault="00205FAF" w:rsidP="00205FAF">
      <w:pPr>
        <w:jc w:val="center"/>
        <w:rPr>
          <w:rFonts w:ascii="Times New Roman" w:hAnsi="Times New Roman" w:cs="Times New Roman"/>
          <w:b/>
          <w:bCs/>
          <w:sz w:val="24"/>
          <w:szCs w:val="24"/>
        </w:rPr>
      </w:pPr>
    </w:p>
    <w:p w14:paraId="651514D7" w14:textId="74CD56D7" w:rsidR="00205FAF" w:rsidRPr="006F7A11" w:rsidRDefault="00205FAF" w:rsidP="00205FAF">
      <w:pPr>
        <w:jc w:val="center"/>
        <w:rPr>
          <w:rFonts w:ascii="Times New Roman" w:hAnsi="Times New Roman" w:cs="Times New Roman"/>
          <w:b/>
          <w:bCs/>
          <w:sz w:val="24"/>
          <w:szCs w:val="24"/>
        </w:rPr>
      </w:pPr>
    </w:p>
    <w:p w14:paraId="0489750A" w14:textId="285BA8B9" w:rsidR="00205FAF" w:rsidRPr="006F7A11" w:rsidRDefault="00205FAF" w:rsidP="00205FAF">
      <w:pPr>
        <w:jc w:val="center"/>
        <w:rPr>
          <w:rFonts w:ascii="Times New Roman" w:hAnsi="Times New Roman" w:cs="Times New Roman"/>
          <w:b/>
          <w:bCs/>
          <w:sz w:val="24"/>
          <w:szCs w:val="24"/>
        </w:rPr>
      </w:pPr>
    </w:p>
    <w:p w14:paraId="5F647B80" w14:textId="2CE2C37B" w:rsidR="00205FAF" w:rsidRPr="006F7A11" w:rsidRDefault="00205FAF" w:rsidP="00205FAF">
      <w:pPr>
        <w:jc w:val="center"/>
        <w:rPr>
          <w:rFonts w:ascii="Times New Roman" w:hAnsi="Times New Roman" w:cs="Times New Roman"/>
          <w:b/>
          <w:bCs/>
          <w:sz w:val="24"/>
          <w:szCs w:val="24"/>
        </w:rPr>
      </w:pPr>
    </w:p>
    <w:p w14:paraId="12720154" w14:textId="3AA9BD78" w:rsidR="00205FAF" w:rsidRPr="006F7A11" w:rsidRDefault="00205FAF" w:rsidP="00205FAF">
      <w:pPr>
        <w:jc w:val="center"/>
        <w:rPr>
          <w:rFonts w:ascii="Times New Roman" w:hAnsi="Times New Roman" w:cs="Times New Roman"/>
          <w:b/>
          <w:bCs/>
          <w:sz w:val="24"/>
          <w:szCs w:val="24"/>
        </w:rPr>
      </w:pPr>
    </w:p>
    <w:p w14:paraId="12C0D23A" w14:textId="77777777" w:rsidR="00C25A01" w:rsidRPr="00C25A01" w:rsidRDefault="00C25A01" w:rsidP="00C25A01">
      <w:pPr>
        <w:tabs>
          <w:tab w:val="left" w:pos="450"/>
        </w:tabs>
        <w:rPr>
          <w:rStyle w:val="Strong"/>
          <w:rFonts w:ascii="Times New Roman" w:eastAsia="Times New Roman" w:hAnsi="Times New Roman" w:cs="Times New Roman"/>
          <w:b w:val="0"/>
          <w:bCs w:val="0"/>
          <w:kern w:val="0"/>
          <w:sz w:val="24"/>
          <w:szCs w:val="24"/>
          <w14:ligatures w14:val="none"/>
        </w:rPr>
      </w:pPr>
    </w:p>
    <w:p w14:paraId="0DFEF6C3" w14:textId="787C8102" w:rsidR="006F7A11" w:rsidRPr="00C25A01" w:rsidRDefault="00C25A01" w:rsidP="00C25A01">
      <w:pPr>
        <w:pStyle w:val="ListParagraph"/>
        <w:numPr>
          <w:ilvl w:val="0"/>
          <w:numId w:val="5"/>
        </w:numPr>
        <w:ind w:left="360"/>
        <w:rPr>
          <w:rStyle w:val="Strong"/>
          <w:rFonts w:ascii="Times New Roman" w:eastAsia="Times New Roman" w:hAnsi="Times New Roman" w:cs="Times New Roman"/>
          <w:kern w:val="0"/>
          <w:sz w:val="24"/>
          <w:szCs w:val="24"/>
          <w14:ligatures w14:val="none"/>
        </w:rPr>
      </w:pPr>
      <w:r w:rsidRPr="00C25A01">
        <w:rPr>
          <w:rStyle w:val="Strong"/>
          <w:rFonts w:ascii="Times New Roman" w:eastAsia="Times New Roman" w:hAnsi="Times New Roman" w:cs="Times New Roman"/>
          <w:kern w:val="0"/>
          <w:sz w:val="24"/>
          <w:szCs w:val="24"/>
          <w14:ligatures w14:val="none"/>
        </w:rPr>
        <w:lastRenderedPageBreak/>
        <w:t>Definition of Toxicity Endpoints and Compound-Level Preprocessing Procedures</w:t>
      </w:r>
    </w:p>
    <w:p w14:paraId="16085111" w14:textId="1D1D199D" w:rsidR="00205FAF" w:rsidRPr="006F7A11" w:rsidRDefault="00C25A01" w:rsidP="006F7A11">
      <w:pPr>
        <w:rPr>
          <w:rStyle w:val="Strong"/>
          <w:rFonts w:eastAsia="Times New Roman"/>
          <w:b w:val="0"/>
          <w:bCs w:val="0"/>
          <w:kern w:val="0"/>
          <w14:ligatures w14:val="none"/>
        </w:rPr>
      </w:pPr>
      <w:r w:rsidRPr="00C25A01">
        <w:rPr>
          <w:rStyle w:val="Strong"/>
          <w:rFonts w:ascii="Times New Roman" w:eastAsia="Times New Roman" w:hAnsi="Times New Roman" w:cs="Times New Roman"/>
          <w:b w:val="0"/>
          <w:bCs w:val="0"/>
          <w:kern w:val="0"/>
          <w:sz w:val="24"/>
          <w:szCs w:val="24"/>
          <w14:ligatures w14:val="none"/>
        </w:rPr>
        <w:t>This section summarizes the definitions of each toxicity endpoint to ensure reliable, consistent, and high-quality data suitable for QSAR development and predictive modeling.</w:t>
      </w:r>
    </w:p>
    <w:p w14:paraId="4F7E58EA" w14:textId="6EED24D3" w:rsidR="00436120" w:rsidRPr="00436120" w:rsidRDefault="00E21FE0" w:rsidP="00436120">
      <w:pPr>
        <w:pStyle w:val="NormalWeb"/>
        <w:numPr>
          <w:ilvl w:val="0"/>
          <w:numId w:val="1"/>
        </w:numPr>
        <w:spacing w:line="276" w:lineRule="auto"/>
        <w:ind w:left="360"/>
        <w:rPr>
          <w:rStyle w:val="Strong"/>
          <w:b w:val="0"/>
          <w:bCs w:val="0"/>
        </w:rPr>
      </w:pPr>
      <w:r w:rsidRPr="006F7A11">
        <w:rPr>
          <w:rStyle w:val="Strong"/>
        </w:rPr>
        <w:t>Skin Sensitization:</w:t>
      </w:r>
      <w:r w:rsidRPr="006F7A11">
        <w:t xml:space="preserve"> </w:t>
      </w:r>
      <w:r w:rsidR="005D19CF">
        <w:t xml:space="preserve">Refers to the potential of a chemical to induce an allergic response after skin contact. </w:t>
      </w:r>
      <w:r w:rsidRPr="006F7A11">
        <w:t>The dataset was collected from the Skin Doctor CP</w:t>
      </w:r>
      <w:r w:rsidRPr="006F7A11">
        <w:fldChar w:fldCharType="begin"/>
      </w:r>
      <w:r w:rsidR="006F7A11">
        <w:instrText xml:space="preserve"> ADDIN ZOTERO_ITEM CSL_CITATION {"citationID":"ht9sJCjL","properties":{"formattedCitation":"\\super 1\\nosupersub{}","plainCitation":"1","noteIndex":0},"citationItems":[{"id":403,"uris":["http://zotero.org/users/local/qXDpIFFJ/items/K3X38W7U"],"itemData":{"id":403,"type":"article-journal","abstract":"Skin sensitization potential or potency is an important end point in the safety assessment of new chemicals and new chemical mixtures. Formerly, animal experiments such as the local lymph node assay (LLNA) were the main form of assessment. Today, however, the focus lies on the development of nonanimal testing approaches (i.e., in vitro and in chemico assays) and computational models. In this work, we investigate, based on publicly available LLNA data, the ability of aggregated, Mondrian conformal prediction classifiers to differentiate between non- sensitizing and sensitizing compounds as well as between two levels of skin sensitization potential (weak to moderate sensitizers, and strong to extreme sensitizers). The advantage of the conformal prediction framework over other modeling approaches is that it assigns compounds to activity classes only if a defined minimum level of confidence is reached for the individual predictions. This eliminates the need for applicability domain criteria that often are arbitrary in their nature and less flexible. Our new binary classifier, named Skin Doctor CP, differentiates nonsensitizers from sensitizers with a higher reliability-to-efficiency ratio than the corresponding nonconformal prediction workflow that we presented earlier. When tested on a set of 257 compounds at the significance levels of 0.10 and 0.30, the model reached an efficiency of 0.49 and 0.92, and an accuracy of 0.83 and 0.75, respectively. In addition, we developed a ternary classification workflow to differentiate nonsensitizers, weak to moderate sensitizers, and strong to extreme sensitizers. Although this model achieved satisfactory overall performance (accuracies of 0.90 and 0.73, and efficiencies of 0.42 and 0.90, at significance levels 0.10 and 0.30, respectively), it did not obtain satisfying class-wise results (at a significance level of 0.30, the validities obtained for nonsensitizers, weak to moderate sensitizers, and strong to extreme sensitizers were 0.70, 0.58, and 0.63, respectively). We argue that the model is, in consequence, unable to reliably identify strong to extreme sensitizers and suggest that other ternary models derived from the currently accessible LLNA data might suffer from the same problem. Skin Doctor CP is available via a public web service at https://nerdd.zbh.uni-hamburg.de/skinDoctorII/.","container-title":"Chemical Research in Toxicology","DOI":"10.1021/acs.chemrestox.0c00253","ISSN":"0893-228X","issue":"2","journalAbbreviation":"Chem. Res. Toxicol.","note":"publisher: American Chemical Society","page":"330-344","source":"ACS Publications","title":"Skin Doctor CP: Conformal Prediction of the Skin Sensitization Potential of Small Organic Molecules","title-short":"Skin Doctor CP","volume":"34","author":[{"family":"Wilm","given":"Anke"},{"family":"Norinder","given":"Ulf"},{"family":"Agea","given":"M. Isabel"},{"family":"Bruyn Kops","given":"Christina","non-dropping-particle":"de"},{"family":"Stork","given":"Conrad"},{"family":"Kühnl","given":"Jochen"},{"family":"Kirchmair","given":"Johannes"}],"issued":{"date-parts":[["2021",2,15]]}}}],"schema":"https://github.com/citation-style-language/schema/raw/master/csl-citation.json"} </w:instrText>
      </w:r>
      <w:r w:rsidRPr="006F7A11">
        <w:fldChar w:fldCharType="separate"/>
      </w:r>
      <w:r w:rsidR="00743BCC" w:rsidRPr="00743BCC">
        <w:rPr>
          <w:vertAlign w:val="superscript"/>
        </w:rPr>
        <w:t>1</w:t>
      </w:r>
      <w:r w:rsidRPr="006F7A11">
        <w:fldChar w:fldCharType="end"/>
      </w:r>
      <w:r w:rsidRPr="006F7A11">
        <w:t xml:space="preserve">, which compiled data from peer-reviewed publications, and comprised 1,285 compounds (525 toxic/sensitizers and 760 non-toxic/non-sensitizers) using the original split, as in the study. The data collection process was as follows: (1) compounds were curated by removing counterions, neutralizing </w:t>
      </w:r>
      <w:proofErr w:type="spellStart"/>
      <w:r w:rsidRPr="006F7A11">
        <w:t>tautomers</w:t>
      </w:r>
      <w:proofErr w:type="spellEnd"/>
      <w:r w:rsidRPr="006F7A11">
        <w:t>, removing stereochemical information, duplicates, and entries with conflicting or unconfirmable molecular structures; (2) multicomponent mixtures were split or re-labeled according to the contribution of known non-sensitizer components; (3) all compounds were assigned binary labels: “sensitizer” for toxic compounds and “non-sensitizer” for non-toxic compounds; and (4) compounds without confirmed skin sensitization data were excluded.</w:t>
      </w:r>
      <w:r w:rsidRPr="006F7A11">
        <w:rPr>
          <w:rStyle w:val="Strong"/>
        </w:rPr>
        <w:t xml:space="preserve"> </w:t>
      </w:r>
    </w:p>
    <w:p w14:paraId="67A1C63D" w14:textId="44E26C9C" w:rsidR="00E21FE0" w:rsidRPr="006F7A11" w:rsidRDefault="00E21FE0" w:rsidP="00436120">
      <w:pPr>
        <w:pStyle w:val="NormalWeb"/>
        <w:numPr>
          <w:ilvl w:val="0"/>
          <w:numId w:val="1"/>
        </w:numPr>
        <w:spacing w:line="276" w:lineRule="auto"/>
        <w:ind w:left="360"/>
      </w:pPr>
      <w:r w:rsidRPr="006F7A11">
        <w:rPr>
          <w:rStyle w:val="Strong"/>
        </w:rPr>
        <w:t>Respiratory Toxicity:</w:t>
      </w:r>
      <w:r w:rsidRPr="006F7A11">
        <w:t xml:space="preserve"> </w:t>
      </w:r>
      <w:r w:rsidR="005D19CF">
        <w:t xml:space="preserve">The potential of chemicals to cause adverse effects on the respiratory system, including irritation, sensitization, or organ damage. </w:t>
      </w:r>
      <w:r w:rsidRPr="006F7A11">
        <w:t xml:space="preserve">The dataset were collected from Wang </w:t>
      </w:r>
      <w:r w:rsidRPr="006F7A11">
        <w:rPr>
          <w:i/>
          <w:iCs/>
        </w:rPr>
        <w:t>et al.</w:t>
      </w:r>
      <w:r w:rsidRPr="006F7A11">
        <w:fldChar w:fldCharType="begin"/>
      </w:r>
      <w:r w:rsidR="006F7A11">
        <w:instrText xml:space="preserve"> ADDIN ZOTERO_ITEM CSL_CITATION {"citationID":"N3dhuXzb","properties":{"formattedCitation":"\\super 2\\nosupersub{}","plainCitation":"2","noteIndex":0},"citationItems":[{"id":463,"uris":["http://zotero.org/users/local/qXDpIFFJ/items/34CZRDIP"],"itemData":{"id":463,"type":"article-journal","container-title":"Computational Toxicology","DOI":"10.1016/j.comtox.2021.100155","ISSN":"24681113","journalAbbreviation":"Computational Toxicology","language":"en","page":"100155","source":"DOI.org (Crossref)","title":"In silico prediction of chemical respiratory toxicity via machine learning","volume":"18","author":[{"family":"Wang","given":"Zhiyuan"},{"family":"Zhao","given":"Piaopiao"},{"family":"Zhang","given":"Xiaoxiao"},{"family":"Xu","given":"Xuan"},{"family":"Li","given":"Weihua"},{"family":"Liu","given":"Guixia"},{"family":"Tang","given":"Yun"}],"issued":{"date-parts":[["2021",5]]}}}],"schema":"https://github.com/citation-style-language/schema/raw/master/csl-citation.json"} </w:instrText>
      </w:r>
      <w:r w:rsidRPr="006F7A11">
        <w:fldChar w:fldCharType="separate"/>
      </w:r>
      <w:r w:rsidR="00743BCC" w:rsidRPr="00743BCC">
        <w:rPr>
          <w:vertAlign w:val="superscript"/>
        </w:rPr>
        <w:t>2</w:t>
      </w:r>
      <w:r w:rsidRPr="006F7A11">
        <w:fldChar w:fldCharType="end"/>
      </w:r>
      <w:r w:rsidRPr="006F7A11">
        <w:t xml:space="preserve"> included 2,529 compounds (1,440 toxic, 1,089 non-toxic) using the original split. It was collected as follows: (1) positive compounds from PNEUMOTOX, </w:t>
      </w:r>
      <w:proofErr w:type="spellStart"/>
      <w:r w:rsidRPr="006F7A11">
        <w:t>ADReCS</w:t>
      </w:r>
      <w:proofErr w:type="spellEnd"/>
      <w:r w:rsidRPr="006F7A11">
        <w:t xml:space="preserve">, and the Hazardous Chemical Information System; (2) negative compounds from literature and non-sensitizers; (3) all compounds were standardized and filtered for duplicates, salts, inorganics, and metal-organics, then split into training and test sets; and (4) external validation compounds from SIDER, </w:t>
      </w:r>
      <w:proofErr w:type="spellStart"/>
      <w:r w:rsidRPr="006F7A11">
        <w:t>IntSide</w:t>
      </w:r>
      <w:proofErr w:type="spellEnd"/>
      <w:r w:rsidRPr="006F7A11">
        <w:t xml:space="preserve">, and literature with similar preprocessing. </w:t>
      </w:r>
    </w:p>
    <w:p w14:paraId="443EF165" w14:textId="30580877" w:rsidR="00E21FE0" w:rsidRPr="00436120" w:rsidRDefault="00E21FE0" w:rsidP="00436120">
      <w:pPr>
        <w:pStyle w:val="ListParagraph"/>
        <w:numPr>
          <w:ilvl w:val="0"/>
          <w:numId w:val="1"/>
        </w:numPr>
        <w:spacing w:before="100" w:beforeAutospacing="1" w:after="100" w:afterAutospacing="1" w:line="276" w:lineRule="auto"/>
        <w:ind w:left="360"/>
        <w:rPr>
          <w:rFonts w:ascii="Times New Roman" w:hAnsi="Times New Roman" w:cs="Times New Roman"/>
          <w:sz w:val="24"/>
          <w:szCs w:val="24"/>
        </w:rPr>
      </w:pPr>
      <w:r w:rsidRPr="00436120">
        <w:rPr>
          <w:rStyle w:val="Strong"/>
          <w:rFonts w:ascii="Times New Roman" w:hAnsi="Times New Roman" w:cs="Times New Roman"/>
          <w:sz w:val="24"/>
          <w:szCs w:val="24"/>
        </w:rPr>
        <w:t>AMES Mutagenicity:</w:t>
      </w:r>
      <w:r w:rsidR="005D19CF" w:rsidRPr="005D19CF">
        <w:t xml:space="preserve"> </w:t>
      </w:r>
      <w:r w:rsidR="005D19CF" w:rsidRPr="005D19CF">
        <w:rPr>
          <w:rFonts w:ascii="Times New Roman" w:hAnsi="Times New Roman" w:cs="Times New Roman"/>
          <w:sz w:val="24"/>
          <w:szCs w:val="24"/>
        </w:rPr>
        <w:t>Refers to the ability of a chemical to induce genetic mutations, usually tested via the Ames bacterial assay.</w:t>
      </w:r>
      <w:r w:rsidR="005D19CF" w:rsidRPr="005D19CF">
        <w:rPr>
          <w:rFonts w:ascii="Times New Roman" w:hAnsi="Times New Roman" w:cs="Times New Roman"/>
          <w:b/>
          <w:bCs/>
          <w:sz w:val="24"/>
          <w:szCs w:val="24"/>
        </w:rPr>
        <w:t xml:space="preserve"> </w:t>
      </w:r>
      <w:r w:rsidRPr="00436120">
        <w:rPr>
          <w:rFonts w:ascii="Times New Roman" w:hAnsi="Times New Roman" w:cs="Times New Roman"/>
          <w:sz w:val="24"/>
          <w:szCs w:val="24"/>
        </w:rPr>
        <w:t xml:space="preserve"> The dataset was obtained from Borah </w:t>
      </w:r>
      <w:r w:rsidRPr="00436120">
        <w:rPr>
          <w:rFonts w:ascii="Times New Roman" w:hAnsi="Times New Roman" w:cs="Times New Roman"/>
          <w:i/>
          <w:iCs/>
          <w:sz w:val="24"/>
          <w:szCs w:val="24"/>
        </w:rPr>
        <w:t>et al.</w:t>
      </w:r>
      <w:r w:rsidRPr="00436120">
        <w:rPr>
          <w:rFonts w:ascii="Times New Roman" w:hAnsi="Times New Roman" w:cs="Times New Roman"/>
          <w:sz w:val="24"/>
          <w:szCs w:val="24"/>
        </w:rPr>
        <w:fldChar w:fldCharType="begin"/>
      </w:r>
      <w:r w:rsidR="006F7A11" w:rsidRPr="00436120">
        <w:rPr>
          <w:rFonts w:ascii="Times New Roman" w:hAnsi="Times New Roman" w:cs="Times New Roman"/>
          <w:sz w:val="24"/>
          <w:szCs w:val="24"/>
        </w:rPr>
        <w:instrText xml:space="preserve"> ADDIN ZOTERO_ITEM CSL_CITATION {"citationID":"3nFre7nT","properties":{"formattedCitation":"\\super 3\\nosupersub{}","plainCitation":"3","noteIndex":0},"citationItems":[{"id":398,"uris":["http://zotero.org/users/local/qXDpIFFJ/items/Q3FC5PE7"],"itemData":{"id":398,"type":"article-journal","abstract":"The mutagenicity is an essential parameter for evaluating the safety of pharmaceuticals, chemicals, consumer products, environmentally related compounds and the Ames assay is a significant test for predicting the mutagenicity of chemical compounds. In the data-driven era, developing robust models for efficient mutagenicity prediction before synthesizing and testing in vitro has gained increasing attention. In this study, a machine learning model that could predict Ames mutagenicity based on 2D molecular descriptors was developed. A multistep filtering process that adequately helps in identifying significant descriptors was adopted in this study. Three different sets of descriptors, namely, RDKit, Mordred and CDK were used to train three machine learning algorithms, viz., random forest, xgboost and catboost. The datasets were collected from different resources to develop a robust machine learning model. The robustness of this model was further validated by comparing different available ML and DL models for Ames genotoxicity. Specifically, 12 models, including our xgboost model, were used to validate an external dataset, and our model exhibited excellent performance, with an impressive AUC of 0.97. The codes to predict the genotoxicity of a molecule is available at https://github.com/Naga270588/Genotoxicity.","container-title":"Chemical Physics Letters","DOI":"10.1016/j.cplett.2024.141663","ISSN":"0009-2614","journalAbbreviation":"Chemical Physics Letters","page":"141663","source":"ScienceDirect","title":"Development of a robust Machine learning model for Ames test outcome prediction","volume":"856","author":[{"family":"Sankar Borah","given":"Gori"},{"family":"Nagamani","given":"Selvaraman"}],"issued":{"date-parts":[["2024",12,1]]}}}],"schema":"https://github.com/citation-style-language/schema/raw/master/csl-citation.json"} </w:instrText>
      </w:r>
      <w:r w:rsidRPr="00436120">
        <w:rPr>
          <w:rFonts w:ascii="Times New Roman" w:hAnsi="Times New Roman" w:cs="Times New Roman"/>
          <w:sz w:val="24"/>
          <w:szCs w:val="24"/>
        </w:rPr>
        <w:fldChar w:fldCharType="separate"/>
      </w:r>
      <w:r w:rsidR="00743BCC" w:rsidRPr="00743BCC">
        <w:rPr>
          <w:rFonts w:ascii="Times New Roman" w:hAnsi="Times New Roman" w:cs="Times New Roman"/>
          <w:sz w:val="24"/>
          <w:szCs w:val="24"/>
          <w:vertAlign w:val="superscript"/>
        </w:rPr>
        <w:t>3</w:t>
      </w:r>
      <w:r w:rsidRPr="00436120">
        <w:rPr>
          <w:rFonts w:ascii="Times New Roman" w:hAnsi="Times New Roman" w:cs="Times New Roman"/>
          <w:sz w:val="24"/>
          <w:szCs w:val="24"/>
        </w:rPr>
        <w:fldChar w:fldCharType="end"/>
      </w:r>
      <w:r w:rsidRPr="00436120">
        <w:rPr>
          <w:rFonts w:ascii="Times New Roman" w:hAnsi="Times New Roman" w:cs="Times New Roman"/>
          <w:sz w:val="24"/>
          <w:szCs w:val="24"/>
        </w:rPr>
        <w:t xml:space="preserve"> and comprised 8,758 compounds (4,545 positive/toxic and 4,213 negative/non-toxic). The data collection process was as follows: (1) 29,736 compounds were initially collected from four literature sources; (2) compounds containing salts, redundant entries, molecules with molecular weight ≤ 100 Da, and inorganic compounds were sequentially removed to yield the final 8,758 compounds; (3) the final dataset was classified as positive or negative according to the original study and used for model development. </w:t>
      </w:r>
    </w:p>
    <w:p w14:paraId="7745A100" w14:textId="197D981C" w:rsidR="00E21FE0" w:rsidRPr="00436120" w:rsidRDefault="00E21FE0" w:rsidP="00436120">
      <w:pPr>
        <w:pStyle w:val="ListParagraph"/>
        <w:numPr>
          <w:ilvl w:val="0"/>
          <w:numId w:val="1"/>
        </w:numPr>
        <w:spacing w:before="100" w:beforeAutospacing="1" w:after="100" w:afterAutospacing="1" w:line="276" w:lineRule="auto"/>
        <w:ind w:left="360"/>
        <w:rPr>
          <w:rFonts w:ascii="Times New Roman" w:hAnsi="Times New Roman" w:cs="Times New Roman"/>
          <w:sz w:val="24"/>
          <w:szCs w:val="24"/>
        </w:rPr>
      </w:pPr>
      <w:r w:rsidRPr="00436120">
        <w:rPr>
          <w:rStyle w:val="Strong"/>
          <w:rFonts w:ascii="Times New Roman" w:hAnsi="Times New Roman" w:cs="Times New Roman"/>
          <w:sz w:val="24"/>
          <w:szCs w:val="24"/>
        </w:rPr>
        <w:t>Hepatotoxicity:</w:t>
      </w:r>
      <w:r w:rsidR="00EC37F4">
        <w:rPr>
          <w:rStyle w:val="Strong"/>
          <w:rFonts w:ascii="Times New Roman" w:hAnsi="Times New Roman" w:cs="Times New Roman"/>
          <w:sz w:val="24"/>
          <w:szCs w:val="24"/>
        </w:rPr>
        <w:t xml:space="preserve"> </w:t>
      </w:r>
      <w:r w:rsidRPr="00436120">
        <w:rPr>
          <w:rFonts w:ascii="Times New Roman" w:hAnsi="Times New Roman" w:cs="Times New Roman"/>
          <w:sz w:val="24"/>
          <w:szCs w:val="24"/>
        </w:rPr>
        <w:t xml:space="preserve"> </w:t>
      </w:r>
      <w:r w:rsidR="00EC37F4" w:rsidRPr="00EC37F4">
        <w:rPr>
          <w:rFonts w:ascii="Times New Roman" w:hAnsi="Times New Roman" w:cs="Times New Roman"/>
          <w:sz w:val="24"/>
          <w:szCs w:val="24"/>
        </w:rPr>
        <w:t>The potential to cause any liver damage or adverse hepatic effects</w:t>
      </w:r>
      <w:r w:rsidR="00EC37F4">
        <w:rPr>
          <w:rFonts w:ascii="Times New Roman" w:hAnsi="Times New Roman" w:cs="Times New Roman"/>
          <w:sz w:val="24"/>
          <w:szCs w:val="24"/>
        </w:rPr>
        <w:t xml:space="preserve">. </w:t>
      </w:r>
      <w:r w:rsidRPr="00436120">
        <w:rPr>
          <w:rFonts w:ascii="Times New Roman" w:hAnsi="Times New Roman" w:cs="Times New Roman"/>
          <w:sz w:val="24"/>
          <w:szCs w:val="24"/>
        </w:rPr>
        <w:t xml:space="preserve">The dataset was obtained from Liew </w:t>
      </w:r>
      <w:r w:rsidRPr="00436120">
        <w:rPr>
          <w:rFonts w:ascii="Times New Roman" w:hAnsi="Times New Roman" w:cs="Times New Roman"/>
          <w:i/>
          <w:iCs/>
          <w:sz w:val="24"/>
          <w:szCs w:val="24"/>
        </w:rPr>
        <w:t>et al.</w:t>
      </w:r>
      <w:r w:rsidRPr="00436120">
        <w:rPr>
          <w:rFonts w:ascii="Times New Roman" w:hAnsi="Times New Roman" w:cs="Times New Roman"/>
          <w:sz w:val="24"/>
          <w:szCs w:val="24"/>
        </w:rPr>
        <w:fldChar w:fldCharType="begin"/>
      </w:r>
      <w:r w:rsidR="009C2562">
        <w:rPr>
          <w:rFonts w:ascii="Times New Roman" w:hAnsi="Times New Roman" w:cs="Times New Roman"/>
          <w:sz w:val="24"/>
          <w:szCs w:val="24"/>
        </w:rPr>
        <w:instrText xml:space="preserve"> ADDIN ZOTERO_ITEM CSL_CITATION {"citationID":"J5Vv73GI","properties":{"formattedCitation":"\\super 4\\nosupersub{}","plainCitation":"4","noteIndex":0},"citationItems":[{"id":401,"uris":["http://zotero.org/users/local/qXDpIFFJ/items/Q2LK5B77"],"itemData":{"id":401,"type":"article-journal","abstract":"Drug-induced liver injury, although infrequent, is an important safety concern that can lead to fatality in patients and failure in drug developments. In this study, we have used an ensemble of mixed learning algorithms and mixed features for the development of a model to predict hepatic effects. This robust method is based on the premise that no single learning algorithm is optimum for all modelling problems. An ensemble model of 617 base classifiers was built from a diverse set of 1,087 compounds. The ensemble model was validated internally with five-fold cross-validation and 25 rounds of y-randomization. In the external validation of 120 compounds, the ensemble model had achieved an accuracy of 75.0%, sensitivity of 81.9% and specificity of 64.6%. The model was also able to identify 22 of 23 withdrawn drugs or drugs with black box warning against hepatotoxicity. Dronedarone which is associated with severe liver injuries, announced in a recent FDA drug safety communication, was predicted as hepatotoxic by the ensemble model. It was found that the ensemble model was capable of classifying positive compounds (with hepatic effects) well, but less so on negatives compounds when they were structurally similar. The ensemble model built in this study is made available for public use.","container-title":"Journal of Computer-Aided Molecular Design","DOI":"10.1007/s10822-011-9468-3","ISSN":"1573-4951","issue":"9","journalAbbreviation":"J Comput Aided Mol Des","language":"en","license":"2011 Springer Science+Business Media B.V.","note":"Company: Springer\nDistributor: Springer\nInstitution: Springer\nLabel: Springer\npublisher: Springer Netherlands","page":"855-871","source":"link.springer.com","title":"Mixed learning algorithms and features ensemble in hepatotoxicity prediction","volume":"25","author":[{"family":"Liew","given":"Chin Yee"},{"family":"Lim","given":"Yen Ching"},{"family":"Yap","given":"Chun Wei"}],"issued":{"date-parts":[["2011",9,1]]}}}],"schema":"https://github.com/citation-style-language/schema/raw/master/csl-citation.json"} </w:instrText>
      </w:r>
      <w:r w:rsidRPr="00436120">
        <w:rPr>
          <w:rFonts w:ascii="Times New Roman" w:hAnsi="Times New Roman" w:cs="Times New Roman"/>
          <w:sz w:val="24"/>
          <w:szCs w:val="24"/>
        </w:rPr>
        <w:fldChar w:fldCharType="separate"/>
      </w:r>
      <w:r w:rsidR="009C2562" w:rsidRPr="009C2562">
        <w:rPr>
          <w:rFonts w:ascii="Times New Roman" w:hAnsi="Times New Roman" w:cs="Times New Roman"/>
          <w:sz w:val="24"/>
          <w:szCs w:val="24"/>
          <w:vertAlign w:val="superscript"/>
        </w:rPr>
        <w:t>4</w:t>
      </w:r>
      <w:r w:rsidRPr="00436120">
        <w:rPr>
          <w:rFonts w:ascii="Times New Roman" w:hAnsi="Times New Roman" w:cs="Times New Roman"/>
          <w:sz w:val="24"/>
          <w:szCs w:val="24"/>
        </w:rPr>
        <w:fldChar w:fldCharType="end"/>
      </w:r>
      <w:r w:rsidRPr="00436120">
        <w:rPr>
          <w:rFonts w:ascii="Times New Roman" w:hAnsi="Times New Roman" w:cs="Times New Roman"/>
          <w:sz w:val="24"/>
          <w:szCs w:val="24"/>
        </w:rPr>
        <w:t xml:space="preserve"> and comprised 1,274 compounds (654 hepatotoxic and 433 non-hepatotoxic) for model development. The data collection process was as follows: (1) compounds were gathered from the FDA Orange Book, Micromedex, and Merck Index, labeling a compound as positive if it caused any adverse hepatic effects and negative otherwise; (2) compounds with unclear reports, duplicates, combination products, inorganic compounds, or molecular weight &gt;5,000 were removed, and 2D/3D structures were standardized; (3) three external validation sets were defined: </w:t>
      </w:r>
      <w:proofErr w:type="spellStart"/>
      <w:r w:rsidRPr="00436120">
        <w:rPr>
          <w:rFonts w:ascii="Times New Roman" w:hAnsi="Times New Roman" w:cs="Times New Roman"/>
          <w:sz w:val="24"/>
          <w:szCs w:val="24"/>
        </w:rPr>
        <w:t>valBLACK</w:t>
      </w:r>
      <w:proofErr w:type="spellEnd"/>
      <w:r w:rsidRPr="00436120">
        <w:rPr>
          <w:rFonts w:ascii="Times New Roman" w:hAnsi="Times New Roman" w:cs="Times New Roman"/>
          <w:sz w:val="24"/>
          <w:szCs w:val="24"/>
        </w:rPr>
        <w:t xml:space="preserve"> (47 compounds, balanced positives/negatives for severely toxic drugs), </w:t>
      </w:r>
      <w:proofErr w:type="spellStart"/>
      <w:r w:rsidRPr="00436120">
        <w:rPr>
          <w:rFonts w:ascii="Times New Roman" w:hAnsi="Times New Roman" w:cs="Times New Roman"/>
          <w:sz w:val="24"/>
          <w:szCs w:val="24"/>
        </w:rPr>
        <w:t>valPAIR</w:t>
      </w:r>
      <w:proofErr w:type="spellEnd"/>
      <w:r w:rsidRPr="00436120">
        <w:rPr>
          <w:rFonts w:ascii="Times New Roman" w:hAnsi="Times New Roman" w:cs="Times New Roman"/>
          <w:sz w:val="24"/>
          <w:szCs w:val="24"/>
        </w:rPr>
        <w:t xml:space="preserve"> (20 compounds from 10 structurally similar pairs with opposing toxicity), and </w:t>
      </w:r>
      <w:proofErr w:type="spellStart"/>
      <w:r w:rsidRPr="00436120">
        <w:rPr>
          <w:rFonts w:ascii="Times New Roman" w:hAnsi="Times New Roman" w:cs="Times New Roman"/>
          <w:sz w:val="24"/>
          <w:szCs w:val="24"/>
        </w:rPr>
        <w:t>valRANDOM</w:t>
      </w:r>
      <w:proofErr w:type="spellEnd"/>
      <w:r w:rsidRPr="00436120">
        <w:rPr>
          <w:rFonts w:ascii="Times New Roman" w:hAnsi="Times New Roman" w:cs="Times New Roman"/>
          <w:sz w:val="24"/>
          <w:szCs w:val="24"/>
        </w:rPr>
        <w:t xml:space="preserve"> (120 compounds sampled to preserve positive/negative ratio). The remaining 1,087 compounds were used for training and internal validation.</w:t>
      </w:r>
      <w:r w:rsidRPr="00436120">
        <w:rPr>
          <w:rFonts w:ascii="Times New Roman" w:hAnsi="Times New Roman" w:cs="Times New Roman"/>
          <w:sz w:val="24"/>
          <w:szCs w:val="24"/>
        </w:rPr>
        <w:fldChar w:fldCharType="begin"/>
      </w:r>
      <w:r w:rsidR="009C2562">
        <w:rPr>
          <w:rFonts w:ascii="Times New Roman" w:hAnsi="Times New Roman" w:cs="Times New Roman"/>
          <w:sz w:val="24"/>
          <w:szCs w:val="24"/>
        </w:rPr>
        <w:instrText xml:space="preserve"> ADDIN ZOTERO_ITEM CSL_CITATION {"citationID":"WhlE7ML8","properties":{"formattedCitation":"\\super 4\\nosupersub{}","plainCitation":"4","noteIndex":0},"citationItems":[{"id":401,"uris":["http://zotero.org/users/local/qXDpIFFJ/items/Q2LK5B77"],"itemData":{"id":401,"type":"article-journal","abstract":"Drug-induced liver injury, although infrequent, is an important safety concern that can lead to fatality in patients and failure in drug developments. In this study, we have used an ensemble of mixed learning algorithms and mixed features for the development of a model to predict hepatic effects. This robust method is based on the premise that no single learning algorithm is optimum for all modelling problems. An ensemble model of 617 base classifiers was built from a diverse set of 1,087 compounds. The ensemble model was validated internally with five-fold cross-validation and 25 rounds of y-randomization. In the external validation of 120 compounds, the ensemble model had achieved an accuracy of 75.0%, sensitivity of 81.9% and specificity of 64.6%. The model was also able to identify 22 of 23 withdrawn drugs or drugs with black box warning against hepatotoxicity. Dronedarone which is associated with severe liver injuries, announced in a recent FDA drug safety communication, was predicted as hepatotoxic by the ensemble model. It was found that the ensemble model was capable of classifying positive compounds (with hepatic effects) well, but less so on negatives compounds when they were structurally similar. The ensemble model built in this study is made available for public use.","container-title":"Journal of Computer-Aided Molecular Design","DOI":"10.1007/s10822-011-9468-3","ISSN":"1573-4951","issue":"9","journalAbbreviation":"J Comput Aided Mol Des","language":"en","license":"2011 Springer Science+Business Media B.V.","note":"Company: Springer\nDistributor: Springer\nInstitution: Springer\nLabel: Springer\npublisher: Springer Netherlands","page":"855-871","source":"link.springer.com","title":"Mixed learning algorithms and features ensemble in hepatotoxicity prediction","volume":"25","author":[{"family":"Liew","given":"Chin Yee"},{"family":"Lim","given":"Yen Ching"},{"family":"Yap","given":"Chun Wei"}],"issued":{"date-parts":[["2011",9,1]]}}}],"schema":"https://github.com/citation-style-language/schema/raw/master/csl-citation.json"} </w:instrText>
      </w:r>
      <w:r w:rsidRPr="00436120">
        <w:rPr>
          <w:rFonts w:ascii="Times New Roman" w:hAnsi="Times New Roman" w:cs="Times New Roman"/>
          <w:sz w:val="24"/>
          <w:szCs w:val="24"/>
        </w:rPr>
        <w:fldChar w:fldCharType="separate"/>
      </w:r>
      <w:r w:rsidR="009C2562" w:rsidRPr="009C2562">
        <w:rPr>
          <w:rFonts w:ascii="Times New Roman" w:hAnsi="Times New Roman" w:cs="Times New Roman"/>
          <w:sz w:val="24"/>
          <w:szCs w:val="24"/>
          <w:vertAlign w:val="superscript"/>
        </w:rPr>
        <w:t>4</w:t>
      </w:r>
      <w:r w:rsidRPr="00436120">
        <w:rPr>
          <w:rFonts w:ascii="Times New Roman" w:hAnsi="Times New Roman" w:cs="Times New Roman"/>
          <w:sz w:val="24"/>
          <w:szCs w:val="24"/>
        </w:rPr>
        <w:fldChar w:fldCharType="end"/>
      </w:r>
    </w:p>
    <w:p w14:paraId="453E6633" w14:textId="4DB1A2BA" w:rsidR="00E21FE0" w:rsidRPr="006F7A11" w:rsidRDefault="00E21FE0" w:rsidP="00436120">
      <w:pPr>
        <w:pStyle w:val="NormalWeb"/>
        <w:numPr>
          <w:ilvl w:val="0"/>
          <w:numId w:val="1"/>
        </w:numPr>
        <w:spacing w:line="276" w:lineRule="auto"/>
        <w:ind w:left="360"/>
      </w:pPr>
      <w:r w:rsidRPr="006F7A11">
        <w:rPr>
          <w:b/>
          <w:bCs/>
        </w:rPr>
        <w:t>Developmental Toxicity:</w:t>
      </w:r>
      <w:r w:rsidRPr="006F7A11">
        <w:t xml:space="preserve"> </w:t>
      </w:r>
      <w:r w:rsidR="00EC37F4">
        <w:t xml:space="preserve">Refers to any adverse effect on normal development before or after birth, including embryotoxicity, </w:t>
      </w:r>
      <w:proofErr w:type="spellStart"/>
      <w:r w:rsidR="00EC37F4">
        <w:t>foetotoxicity</w:t>
      </w:r>
      <w:proofErr w:type="spellEnd"/>
      <w:r w:rsidR="00EC37F4">
        <w:t xml:space="preserve">, teratogenic effects, organ toxicity, growth retardation, and impaired postnatal physical or mental development. </w:t>
      </w:r>
      <w:r w:rsidRPr="006F7A11">
        <w:t>Data were obtained from the CAESAR</w:t>
      </w:r>
      <w:r w:rsidRPr="006F7A11">
        <w:fldChar w:fldCharType="begin"/>
      </w:r>
      <w:r w:rsidR="009C2562">
        <w:instrText xml:space="preserve"> ADDIN ZOTERO_ITEM CSL_CITATION {"citationID":"2p0sxXkN","properties":{"formattedCitation":"\\super 5\\nosupersub{}","plainCitation":"5","noteIndex":0},"citationItems":[{"id":202,"uris":["http://zotero.org/users/local/qXDpIFFJ/items/EYPDXCEM"],"itemData":{"id":202,"type":"article-journal","abstract":"Background\nThe new REACH legislation requires assessment of a large number of chemicals in the European market for several endpoints. Developmental toxicity is one of the most difficult endpoints to assess, on account of the complexity, length and costs of experiments. Following the encouragement of QSAR (in silico) methods provided in the REACH itself, the CAESAR project has developed several models.\n\nResults\nTwo QSAR models for developmental toxicity have been developed, using different statistical/mathematical methods. Both models performed well. The first makes a classification based on a random forest algorithm, while the second is based on an adaptive fuzzy partition algorithm. The first model has been implemented and inserted into the CAESAR on-line application, which is java-based software that allows everyone to freely use the models.\n\nConclusions\nThe CAESAR QSAR models have been developed with the aim to minimize false negatives in order to make them more usable for REACH. The CAESAR on-line application ensures that both industry and regulators can easily access and use the developmental toxicity model (as well as the models for the other four endpoints).","container-title":"Chemistry Central Journal","DOI":"10.1186/1752-153X-4-S1-S4","ISSN":"1752-153X","issue":"Suppl 1","journalAbbreviation":"Chem Cent J","note":"PMID: 20678183\nPMCID: PMC2913331","page":"S4","source":"PubMed Central","title":"CAESAR models for developmental toxicity","volume":"4","author":[{"family":"Cassano","given":"Antonio"},{"family":"Manganaro","given":"Alberto"},{"family":"Martin","given":"Todd"},{"family":"Young","given":"Douglas"},{"family":"Piclin","given":"Nadège"},{"family":"Pintore","given":"Marco"},{"family":"Bigoni","given":"Davide"},{"family":"Benfenati","given":"Emilio"}],"issued":{"date-parts":[["2010",7,29]]}}}],"schema":"https://github.com/citation-style-language/schema/raw/master/csl-citation.json"} </w:instrText>
      </w:r>
      <w:r w:rsidRPr="006F7A11">
        <w:fldChar w:fldCharType="separate"/>
      </w:r>
      <w:r w:rsidR="009C2562" w:rsidRPr="009C2562">
        <w:rPr>
          <w:vertAlign w:val="superscript"/>
        </w:rPr>
        <w:t>5</w:t>
      </w:r>
      <w:r w:rsidRPr="006F7A11">
        <w:fldChar w:fldCharType="end"/>
      </w:r>
      <w:r w:rsidRPr="006F7A11">
        <w:t xml:space="preserve"> study dataset. The developmental toxicity dataset was compiled by integrating high-quality data from the Teratogen Information System (TERIS), which focuses on animal studies, and FDA guidelines emphasizing human case reports and related animal data. Chemical structures and toxicity information were validated by two independent laboratories, with incomplete or inorganic compounds excluded. Toxicity classifications were originally based on five FDA categories but were simplified into a binary scheme of toxic (categories C, D, and X) and non-toxic (categories A and B). The final dataset comprised 292 compounds, including 201 toxic and 91 non-toxic compounds.</w:t>
      </w:r>
      <w:r w:rsidRPr="006F7A11">
        <w:fldChar w:fldCharType="begin"/>
      </w:r>
      <w:r w:rsidR="009C2562">
        <w:instrText xml:space="preserve"> ADDIN ZOTERO_ITEM CSL_CITATION {"citationID":"MZM5jzuP","properties":{"formattedCitation":"\\super 5\\nosupersub{}","plainCitation":"5","noteIndex":0},"citationItems":[{"id":202,"uris":["http://zotero.org/users/local/qXDpIFFJ/items/EYPDXCEM"],"itemData":{"id":202,"type":"article-journal","abstract":"Background\nThe new REACH legislation requires assessment of a large number of chemicals in the European market for several endpoints. Developmental toxicity is one of the most difficult endpoints to assess, on account of the complexity, length and costs of experiments. Following the encouragement of QSAR (in silico) methods provided in the REACH itself, the CAESAR project has developed several models.\n\nResults\nTwo QSAR models for developmental toxicity have been developed, using different statistical/mathematical methods. Both models performed well. The first makes a classification based on a random forest algorithm, while the second is based on an adaptive fuzzy partition algorithm. The first model has been implemented and inserted into the CAESAR on-line application, which is java-based software that allows everyone to freely use the models.\n\nConclusions\nThe CAESAR QSAR models have been developed with the aim to minimize false negatives in order to make them more usable for REACH. The CAESAR on-line application ensures that both industry and regulators can easily access and use the developmental toxicity model (as well as the models for the other four endpoints).","container-title":"Chemistry Central Journal","DOI":"10.1186/1752-153X-4-S1-S4","ISSN":"1752-153X","issue":"Suppl 1","journalAbbreviation":"Chem Cent J","note":"PMID: 20678183\nPMCID: PMC2913331","page":"S4","source":"PubMed Central","title":"CAESAR models for developmental toxicity","volume":"4","author":[{"family":"Cassano","given":"Antonio"},{"family":"Manganaro","given":"Alberto"},{"family":"Martin","given":"Todd"},{"family":"Young","given":"Douglas"},{"family":"Piclin","given":"Nadège"},{"family":"Pintore","given":"Marco"},{"family":"Bigoni","given":"Davide"},{"family":"Benfenati","given":"Emilio"}],"issued":{"date-parts":[["2010",7,29]]}}}],"schema":"https://github.com/citation-style-language/schema/raw/master/csl-citation.json"} </w:instrText>
      </w:r>
      <w:r w:rsidRPr="006F7A11">
        <w:fldChar w:fldCharType="separate"/>
      </w:r>
      <w:r w:rsidR="009C2562" w:rsidRPr="009C2562">
        <w:rPr>
          <w:vertAlign w:val="superscript"/>
        </w:rPr>
        <w:t>5</w:t>
      </w:r>
      <w:r w:rsidRPr="006F7A11">
        <w:fldChar w:fldCharType="end"/>
      </w:r>
      <w:r w:rsidRPr="006F7A11">
        <w:t xml:space="preserve"> </w:t>
      </w:r>
    </w:p>
    <w:p w14:paraId="05AF4246" w14:textId="429A9A95" w:rsidR="00E21FE0" w:rsidRDefault="00E21FE0" w:rsidP="00436120">
      <w:pPr>
        <w:pStyle w:val="NormalWeb"/>
        <w:numPr>
          <w:ilvl w:val="0"/>
          <w:numId w:val="1"/>
        </w:numPr>
        <w:spacing w:line="276" w:lineRule="auto"/>
        <w:ind w:left="360"/>
      </w:pPr>
      <w:r w:rsidRPr="006F7A11">
        <w:rPr>
          <w:rStyle w:val="Strong"/>
        </w:rPr>
        <w:t>Cardiotoxicity:</w:t>
      </w:r>
      <w:r w:rsidRPr="006F7A11">
        <w:t xml:space="preserve"> </w:t>
      </w:r>
      <w:r w:rsidR="00781E26" w:rsidRPr="00781E26">
        <w:t xml:space="preserve">Refers to the potential to cause adverse effects on the heart, including arrhythmia and </w:t>
      </w:r>
      <w:proofErr w:type="spellStart"/>
      <w:r w:rsidR="00781E26" w:rsidRPr="00781E26">
        <w:t>hERG</w:t>
      </w:r>
      <w:proofErr w:type="spellEnd"/>
      <w:r w:rsidR="00781E26" w:rsidRPr="00781E26">
        <w:t xml:space="preserve"> channel blockade.</w:t>
      </w:r>
      <w:r w:rsidR="00781E26">
        <w:t xml:space="preserve"> </w:t>
      </w:r>
      <w:r w:rsidRPr="006F7A11">
        <w:t>The dataset was obtained from the CardioTox</w:t>
      </w:r>
      <w:r w:rsidRPr="006F7A11">
        <w:fldChar w:fldCharType="begin"/>
      </w:r>
      <w:r w:rsidR="009C2562">
        <w:instrText xml:space="preserve"> ADDIN ZOTERO_ITEM CSL_CITATION {"citationID":"HE303yhR","properties":{"formattedCitation":"\\super 6\\nosupersub{}","plainCitation":"6","noteIndex":0},"citationItems":[{"id":466,"uris":["http://zotero.org/users/local/qXDpIFFJ/items/JHRINJSN"],"itemData":{"id":466,"type":"article-journal","abstract":"Abstract\n            \n              Motivation\n              Ether-a-go-go-related gene (hERG) channel blockade by small molecules is a big concern during drug development in the pharmaceutical industry. Blockade of hERG channels may cause prolonged QT intervals that potentially could lead to cardiotoxicity. Various in-silico techniques including deep learning models are widely used to screen out small molecules with potential hERG related toxicity. Most of the published deep learning methods utilize a single type of features which might restrict their performance. Methods based on more than one type of features such as DeepHIT struggle with the aggregation of extracted information. DeepHIT shows better performance when evaluated against one or two accuracy metrics such as negative predictive value (NPV) and sensitivity (SEN) but struggle when evaluated against others such as Matthew correlation coefficient (MCC), accuracy (ACC), positive predictive value (PPV) and specificity (SPE). Therefore, there is a need for a method that can efficiently aggregate information gathered from models based on different chemical representations and boost hERG toxicity prediction over a range of performance metrics.\n            \n            \n              Results\n              \n                In this paper, we propose a deep learning framework based on step-wise training to predict hERG channel blocking activity of small molecules. Our approach utilizes five individual deep learning base models with their respective base features and a separate neural network to combine the outputs of the five base models. By using three external independent test sets with potency activity of IC\n                50\n                at a threshold of 10\n                \n                  \n                    $$\\upmu$$\n                    \n                      μ\n                    \n                  \n                \n                m, our method achieves better performance for a combination of classification metrics. We also investigate the effective aggregation of chemical information extracted for robust hERG activity prediction. In summary, CardioTox net can serve as a robust tool for screening small molecules for hERG channel blockade in drug discovery pipelines and performs better than previously reported methods on a range of classification metrics.","container-title":"Journal of Cheminformatics","DOI":"10.1186/s13321-021-00541-z","ISSN":"1758-2946","issue":"1","journalAbbreviation":"J Cheminform","language":"en","page":"60","source":"DOI.org (Crossref)","title":"CardioTox net: a robust predictor for hERG channel blockade based on deep learning meta-feature ensembles","title-short":"CardioTox net","volume":"13","author":[{"family":"Karim","given":"Abdul"},{"family":"Lee","given":"Matthew"},{"family":"Balle","given":"Thomas"},{"family":"Sattar","given":"Abdul"}],"issued":{"date-parts":[["2021",12]]}}}],"schema":"https://github.com/citation-style-language/schema/raw/master/csl-citation.json"} </w:instrText>
      </w:r>
      <w:r w:rsidRPr="006F7A11">
        <w:fldChar w:fldCharType="separate"/>
      </w:r>
      <w:r w:rsidR="009C2562" w:rsidRPr="009C2562">
        <w:rPr>
          <w:vertAlign w:val="superscript"/>
        </w:rPr>
        <w:t>6</w:t>
      </w:r>
      <w:r w:rsidRPr="006F7A11">
        <w:fldChar w:fldCharType="end"/>
      </w:r>
      <w:r w:rsidRPr="006F7A11">
        <w:t xml:space="preserve"> study and comprised 12,620 molecules (6,643 </w:t>
      </w:r>
      <w:proofErr w:type="spellStart"/>
      <w:r w:rsidRPr="006F7A11">
        <w:t>hERG</w:t>
      </w:r>
      <w:proofErr w:type="spellEnd"/>
      <w:r w:rsidRPr="006F7A11">
        <w:t xml:space="preserve"> blockers and 5,977 non-blockers). The data collection process was as follows: (1) compounds were gathered from five sources: </w:t>
      </w:r>
      <w:proofErr w:type="spellStart"/>
      <w:r w:rsidRPr="006F7A11">
        <w:t>BindingDB</w:t>
      </w:r>
      <w:proofErr w:type="spellEnd"/>
      <w:r w:rsidRPr="006F7A11">
        <w:t xml:space="preserve"> (3,056 blockers, 3,039 non-blockers), ChEMBL (4,859 blockers, 4,751 non-blockers), and three literature-derived datasets (4,355/3,534; 1,545/816; 2,849/1,202); (2) compounds were labeled as </w:t>
      </w:r>
      <w:proofErr w:type="spellStart"/>
      <w:r w:rsidRPr="006F7A11">
        <w:t>hERG</w:t>
      </w:r>
      <w:proofErr w:type="spellEnd"/>
      <w:r w:rsidRPr="006F7A11">
        <w:t xml:space="preserve"> blockers if IC₅₀ &lt; 10 μM and as non-blockers if IC₅₀ ≥ 10 μM, then standardized using RDKit and MolVS, and inconsistently labeled molecules were removed; (3) the resulting dataset was split into a training set (70%) and a validation set (30%), with external validation performed using three independent test sets. </w:t>
      </w:r>
    </w:p>
    <w:p w14:paraId="257EABB3" w14:textId="7C84511C" w:rsidR="009C2562" w:rsidRPr="00150C9E" w:rsidRDefault="009C2562" w:rsidP="009C2562">
      <w:pPr>
        <w:pStyle w:val="NormalWeb"/>
        <w:numPr>
          <w:ilvl w:val="0"/>
          <w:numId w:val="1"/>
        </w:numPr>
        <w:spacing w:line="276" w:lineRule="auto"/>
        <w:ind w:left="360"/>
        <w:rPr>
          <w:rFonts w:eastAsiaTheme="minorEastAsia"/>
          <w:kern w:val="2"/>
          <w14:ligatures w14:val="standardContextual"/>
        </w:rPr>
      </w:pPr>
      <w:r w:rsidRPr="00673FFD">
        <w:rPr>
          <w:b/>
          <w:bCs/>
        </w:rPr>
        <w:t>Drug</w:t>
      </w:r>
      <w:r w:rsidRPr="00673FFD">
        <w:rPr>
          <w:b/>
          <w:bCs/>
        </w:rPr>
        <w:noBreakHyphen/>
        <w:t>induced nephrotoxicity (DIN)</w:t>
      </w:r>
      <w:r w:rsidRPr="00673FFD">
        <w:t xml:space="preserve"> refers to kidney injury or impaired renal function caused by drug exposure, highlighting the susceptibility of renal structures such as glomeruli and tubular segments during filtration, secretion, and reabsorption. In the study by Gong et al.</w:t>
      </w:r>
      <w:r>
        <w:fldChar w:fldCharType="begin"/>
      </w:r>
      <w:r>
        <w:instrText xml:space="preserve"> ADDIN ZOTERO_ITEM CSL_CITATION {"citationID":"Sc9D2PSG","properties":{"formattedCitation":"\\super 7\\nosupersub{}","plainCitation":"7","noteIndex":0},"citationItems":[{"id":338,"uris":["http://zotero.org/users/local/qXDpIFFJ/items/A65VBXFM"],"itemData":{"id":338,"type":"article-journal","abstract":"In recent years, drug-induced nephrotoxicity has been one of the main reasons for the failure of drug development. Early prediction of the nephrotoxicity for drug candidates is critical to the success of clinical trials. Therefore, it is very important to construct an effective model that can predict the potential nephrotoxicity of compounds. Machine learning methods have been widely used to predict the physicochemical properties, biological activities, and safety assessment of compounds. In this study, we manually collected 777 valid drug data and constructed a total of 72 classification models using nine types of molecular fingerprints combined with different machine learning algorithms. From experimental literature and the US FDA Drugs Database, some marketed drugs were screened for external validation of the models. Finally, three models exhibited good performance in the prediction of nephrotoxicity of both chemical drugs and Chinese herbal medicines. The best model was the support vector machine algorithm combined with CDK graph only fingerprint. Furthermore, the applicability domain of the models was analyzed according to the OECD principles, and we also used the SARpy and information gain methods to find eight substructures that might cause nephrotoxicity, so as to attract attention in the future drug discovery.","container-title":"Journal of Applied Toxicology","DOI":"10.1002/jat.4331","ISSN":"1099-1263","issue":"10","language":"en","license":"© 2022 John Wiley &amp; Sons Ltd.","note":"_eprint: https://analyticalsciencejournals.onlinelibrary.wiley.com/doi/pdf/10.1002/jat.4331","page":"1639-1650","source":"Wiley Online Library","title":"In silico prediction of potential drug-induced nephrotoxicity with machine learning methods","volume":"42","author":[{"family":"Gong","given":"Yuning"},{"family":"Teng","given":"Dan"},{"family":"Wang","given":"Yimeng"},{"family":"Gu","given":"Yaxin"},{"family":"Wu","given":"Zengrui"},{"family":"Li","given":"Weihua"},{"family":"Tang","given":"Yun"},{"family":"Liu","given":"Guixia"}],"issued":{"date-parts":[["2022"]]}}}],"schema":"https://github.com/citation-style-language/schema/raw/master/csl-citation.json"} </w:instrText>
      </w:r>
      <w:r>
        <w:fldChar w:fldCharType="separate"/>
      </w:r>
      <w:r w:rsidRPr="009C2562">
        <w:rPr>
          <w:vertAlign w:val="superscript"/>
        </w:rPr>
        <w:t>7</w:t>
      </w:r>
      <w:r>
        <w:fldChar w:fldCharType="end"/>
      </w:r>
      <w:r w:rsidRPr="00673FFD">
        <w:t>, DIN</w:t>
      </w:r>
      <w:r w:rsidRPr="00673FFD">
        <w:noBreakHyphen/>
        <w:t>related compounds were compiled from SIDER, DrugBank, ChEMBL, TCM/Taiwan databases, and peer</w:t>
      </w:r>
      <w:r w:rsidRPr="00673FFD">
        <w:noBreakHyphen/>
        <w:t xml:space="preserve">reviewed literature. An initial set of more than 1,366 records was manually inspected to verify label reliability, with nephrotoxic drugs classified as positives and drugs without renal adverse effects or with </w:t>
      </w:r>
      <w:proofErr w:type="spellStart"/>
      <w:r w:rsidRPr="00673FFD">
        <w:t>renoprotective</w:t>
      </w:r>
      <w:proofErr w:type="spellEnd"/>
      <w:r w:rsidRPr="00673FFD">
        <w:t xml:space="preserve"> profiles classified as negatives; curation in Pipeline Pilot removed invalid structures, inorganic and organometallic compounds, and salts (converted to parent forms), as well as duplicate entries, after which PubChem CIDs were assigned and canonical SMILES generated. The final curated dataset comprised 777 drugs (341 positive, 436 negative), which were split into a training set of 699 compounds (303 positive, 396 negative), an internal validation set of 78 compounds (38 positive, 40 negative), and an external validation set of 70 compounds (34 positive, 36 negative).​</w:t>
      </w:r>
    </w:p>
    <w:p w14:paraId="499DC910" w14:textId="024134E1" w:rsidR="009C2562" w:rsidRPr="006F7A11" w:rsidRDefault="009C2562" w:rsidP="009C2562">
      <w:pPr>
        <w:pStyle w:val="NormalWeb"/>
        <w:numPr>
          <w:ilvl w:val="0"/>
          <w:numId w:val="1"/>
        </w:numPr>
        <w:spacing w:line="276" w:lineRule="auto"/>
        <w:ind w:left="360"/>
      </w:pPr>
      <w:r w:rsidRPr="008F2C04">
        <w:rPr>
          <w:b/>
          <w:bCs/>
        </w:rPr>
        <w:t>Neurotoxicity</w:t>
      </w:r>
      <w:r w:rsidRPr="008F2C04">
        <w:t xml:space="preserve"> refers to drug</w:t>
      </w:r>
      <w:r w:rsidRPr="008F2C04">
        <w:noBreakHyphen/>
        <w:t>induced adverse effects on the central and/or peripheral nervous system, including neuronal, axonal, myelin, or neurotransmission</w:t>
      </w:r>
      <w:r w:rsidRPr="008F2C04">
        <w:noBreakHyphen/>
        <w:t xml:space="preserve">related damage. In </w:t>
      </w:r>
      <w:r>
        <w:t>referenced study (</w:t>
      </w:r>
      <w:r w:rsidRPr="008F2C04">
        <w:t>Zhao et al.</w:t>
      </w:r>
      <w:r>
        <w:fldChar w:fldCharType="begin"/>
      </w:r>
      <w:r>
        <w:instrText xml:space="preserve"> ADDIN ZOTERO_ITEM CSL_CITATION {"citationID":"uiiJ7m4I","properties":{"formattedCitation":"\\super 8\\nosupersub{}","plainCitation":"8","noteIndex":0},"citationItems":[{"id":334,"uris":["http://zotero.org/users/local/qXDpIFFJ/items/2NR3CDA7"],"itemData":{"id":334,"type":"article-journal","abstract":"Neurotoxicity can be resulted from many diverse clinical drugs, which has been a cause of concern to human populations across the world. The detection of drug-induced neurotoxicity (DINeurot) potential with biological experimental methods always required a lot of budget and time. In addition, few studies have addressed the structural characteristics of neurotoxic chemicals. In this study, we focused on the computational modeling for drug-induced neurotoxicity with machine learning methods and the insights into the structural characteristics of neurotoxic chemicals. Based on the clinical drug data with neurotoxicity effects, we developed 35 different classifiers by combining five different machine learning methods and seven fingerprint packages. The best-performing model achieved good results on both 5-fold cross-validation (balanced accuracy of 76.51%, AUC value of 0.83, and MCC value of 0.52) and external validation (balanced accuracy of 83.63%, AUC value of 0.87, and MCC value of 0.67). The model can be freely accessed on the web server DINeuroTpredictor (http://dineurot.sapredictor.cn/). We also analyzed the distribution of several key molecular properties between neurotoxic and non-neurotoxic structures. The results indicated that several physicochemical properties were significantly different between the neurotoxic and non-neurotoxic compounds, including molecular polar surface area (MPSA), AlogP, the number of hydrogen bond acceptors (nHAcc) and donors (nHDon), the number of rotatable bonds (nRotB), and the number of aromatic rings (nAR). In addition, 18 structural alerts responsible for chemical neurotoxicity were identified. The structural alerts have been integrated with our web server SApredictor (http://www.sapredictor.cn). The results of this study could provide useful information for the understanding of the structural characteristics and computational prediction for chemical neurotoxicity.","container-title":"Journal of Chemical Information and Modeling","DOI":"10.1021/acs.jcim.2c01131","ISSN":"1549-9596","issue":"23","journalAbbreviation":"J. Chem. Inf. Model.","note":"publisher: American Chemical Society","page":"6035-6045","source":"ACS Publications","title":"Machine Learning Modeling and Insights into the Structural Characteristics of Drug-Induced Neurotoxicity","volume":"62","author":[{"family":"Zhao","given":"Xia"},{"family":"Sun","given":"Yuhao"},{"family":"Zhang","given":"Ruiqiu"},{"family":"Chen","given":"Zhaoyang"},{"family":"Hua","given":"Yuqing"},{"family":"Zhang","given":"Pei"},{"family":"Guo","given":"Huizhu"},{"family":"Cui","given":"Xueyan"},{"family":"Huang","given":"Xin"},{"family":"Li","given":"Xiao"}],"issued":{"date-parts":[["2022",12,12]]}}}],"schema":"https://github.com/citation-style-language/schema/raw/master/csl-citation.json"} </w:instrText>
      </w:r>
      <w:r>
        <w:fldChar w:fldCharType="separate"/>
      </w:r>
      <w:r w:rsidRPr="009C2562">
        <w:rPr>
          <w:vertAlign w:val="superscript"/>
        </w:rPr>
        <w:t>8</w:t>
      </w:r>
      <w:r>
        <w:fldChar w:fldCharType="end"/>
      </w:r>
      <w:r>
        <w:t>)</w:t>
      </w:r>
      <w:r w:rsidRPr="008F2C04">
        <w:t>, neurotoxicity data were extracted from the SIDER database, where positive drugs were defined as those associated with neurotoxicity</w:t>
      </w:r>
      <w:r w:rsidRPr="008F2C04">
        <w:noBreakHyphen/>
        <w:t>related adverse events reported at a frequency ≥0.1%, and negative drugs were SIDER</w:t>
      </w:r>
      <w:r w:rsidRPr="008F2C04">
        <w:noBreakHyphen/>
        <w:t>listed compounds without reported neurotoxic effects. Chemical structures were obtained from PubChem as standard SMILES, and curation removed duplicates, mixtures, inorganic and organometallic compounds (retaining only the major components), converted salts to their parent forms, excluded compounds with molecular weight &gt;1,000, and kept a single stereoisomer per compound. The final curated dataset comprised 684 drugs (329 neurotoxic and 355 non</w:t>
      </w:r>
      <w:r w:rsidRPr="008F2C04">
        <w:noBreakHyphen/>
        <w:t>neurotoxic), which were split into a training set of 549 compounds (264 positive, 285 negative) and an external validation set of 135 compounds (65 positive, 70 negative).​</w:t>
      </w:r>
    </w:p>
    <w:p w14:paraId="051223FA" w14:textId="3B9D61AE" w:rsidR="00CC56E2" w:rsidRDefault="00CC56E2" w:rsidP="00371BE3">
      <w:pPr>
        <w:pStyle w:val="NormalWeb"/>
        <w:spacing w:after="0" w:afterAutospacing="0" w:line="276" w:lineRule="auto"/>
        <w:jc w:val="both"/>
      </w:pPr>
      <w:r w:rsidRPr="00CC56E2">
        <w:rPr>
          <w:b/>
          <w:bCs/>
        </w:rPr>
        <w:t>Table S1.</w:t>
      </w:r>
      <w:r>
        <w:t xml:space="preserve"> Physicochemical Molecular Descriptors </w:t>
      </w:r>
      <w:r w:rsidR="00371BE3">
        <w:t>(</w:t>
      </w:r>
      <w:r>
        <w:t xml:space="preserve">Generated </w:t>
      </w:r>
      <w:r w:rsidR="00371BE3">
        <w:t>from</w:t>
      </w:r>
      <w:r>
        <w:t xml:space="preserve"> RDKit and CDK</w:t>
      </w:r>
      <w:r w:rsidR="00371BE3">
        <w:t>)</w:t>
      </w:r>
      <w:r>
        <w:t xml:space="preserve"> for QSAR Modeling</w:t>
      </w:r>
      <w:r w:rsidR="00E556CC">
        <w:t>.</w:t>
      </w:r>
      <w:r w:rsidR="00743BCC">
        <w:fldChar w:fldCharType="begin"/>
      </w:r>
      <w:r w:rsidR="009C2562">
        <w:instrText xml:space="preserve"> ADDIN ZOTERO_ITEM CSL_CITATION {"citationID":"MoEXDoRy","properties":{"formattedCitation":"\\super 9\\uc0\\u8211{}13\\nosupersub{}","plainCitation":"9–13","noteIndex":0},"citationItems":[{"id":473,"uris":["http://zotero.org/users/local/qXDpIFFJ/items/SDJ5TPPV"],"itemData":{"id":473,"type":"article-journal","abstract":"The ChEMBL database is one of a number of public databases that contain bioactivity data on small molecule compounds curated from diverse sources. Incoming compounds are typically not standardised according to consistent rules. In order to maintain the quality of the final database and to easily compare and integrate data on the same compound from different sources it is necessary for the chemical structures in the database to be appropriately standardised.","container-title":"Journal of Cheminformatics","DOI":"10.1186/s13321-020-00456-1","ISSN":"1758-2946","issue":"1","journalAbbreviation":"J Cheminform","language":"en","page":"51","source":"Springer Link","title":"An open source chemical structure curation pipeline using RDKit","volume":"12","author":[{"family":"Bento","given":"A. Patrícia"},{"family":"Hersey","given":"Anne"},{"family":"Félix","given":"Eloy"},{"family":"Landrum","given":"Greg"},{"family":"Gaulton","given":"Anna"},{"family":"Atkinson","given":"Francis"},{"family":"Bellis","given":"Louisa J."},{"family":"De Veij","given":"Marleen"},{"family":"Leach","given":"Andrew R."}],"issued":{"date-parts":[["2020",9,1]]}}},{"id":475,"uris":["http://zotero.org/users/local/qXDpIFFJ/items/YDJN7WM8"],"itemData":{"id":475,"type":"article-journal","abstract":"The open-source package scikit-learn provides various machine learning algorithms and data processing tools, including the Pipeline class, which allows users to prepend custom data transformation steps to the machine learning model. We introduce the MolPipeline package, which extends this concept to cheminformatics by wrapping standard RDKit functionality, such as reading and writing SMILES strings or calculating molecular descriptors from a molecule object. We aimed to build an easy-to-use Python package to create completely automated end-to-end pipelines that scale to large data sets. Particular emphasis was put on handling erroneous instances, where resolution would require manual intervention in default pipelines. MolPipeline provides the building blocks to enable seamless integration of common cheminformatics tasks within scikit-learn’s pipeline framework, such as scaffold splits and molecular standardization, making pipeline building easily adaptable to diverse project requirements.","container-title":"Journal of Chemical Information and Modeling","DOI":"10.1021/acs.jcim.4c00863","ISSN":"1549-9596","issue":"24","journalAbbreviation":"J. Chem. Inf. Model.","note":"publisher: American Chemical Society","page":"9027-9033","source":"ACS Publications","title":"MolPipeline: A Python Package for Processing Molecules with RDKit in Scikit-learn","title-short":"MolPipeline","volume":"64","author":[{"family":"Sieg","given":"Jochen"},{"family":"Feldmann","given":"Christian W."},{"family":"Hemmerich","given":"Jennifer"},{"family":"Stork","given":"Conrad"},{"family":"Sandfort","given":"Frederik"},{"family":"Eiden","given":"Philipp"},{"family":"Mathea","given":"Miriam"}],"issued":{"date-parts":[["2024",12,23]]}}},{"id":477,"uris":["http://zotero.org/users/local/qXDpIFFJ/items/GWI98HGE"],"itemData":{"id":477,"type":"article-journal","abstract":"The authors present an implementation of the cheminformatics toolkit RDKit in a distributed computing environment, Apache Hadoop. Together with the Apache Spark analytics engine, wrapped by PySpark, resources from commodity scalable hardware can be employed for cheminformatic calculations and query operations with basic knowledge in Python programming and understanding of the resilient distributed datasets (RDD). Three use cases of cheminfomatical computing in Spark on the Hadoop cluster are presented; querying substructures, calculating fingerprint similarity and calculating molecular descriptors. The source code for the PySpark-RDKit implementation is provided. The use cases showed that Spark provides a reasonable scalability depending on the use case and can be a suitable choice for datasets too big to be processed with current low-end workstations.","container-title":"Molecular Informatics","DOI":"10.1002/minf.201800082","ISSN":"1868-1751","issue":"6","language":"en","license":"© 2019 Wiley-VCH Verlag GmbH &amp; Co. KGaA, Weinheim","note":"_eprint: https://onlinelibrary.wiley.com/doi/pdf/10.1002/minf.201800082","page":"1800082","source":"Wiley Online Library","title":"PySpark and RDKit: Moving towards Big Data in Cheminformatics","title-short":"PySpark and RDKit","volume":"38","author":[{"family":"Lovrić","given":"Mario"},{"family":"Molero","given":"José Manuel"},{"family":"Kern","given":"Roman"}],"issued":{"date-parts":[["2019"]]}}},{"id":480,"uris":["http://zotero.org/users/local/qXDpIFFJ/items/PAYZTVVE"],"itemData":{"id":480,"type":"article-journal","abstract":"The Chemistry Development Kit (CDK) provides methods for common tasks in molecular informatics, including 2D and 3D rendering of chemical structures, I/O routines, SMILES parsing and generation, ring searches, isomorphism checking, structure diagram generation, etc. Implemented in Java, it is used both for server-side computational services, possibly equipped with a web interface, as well as for applications and client-side applets. This article introduces the CDK&amp;apos;s new QSAR capabilities and the recently introduced interface to statistical software.","container-title":"Current Pharmaceutical Design","DOI":"10.2174/138161206777585274","ISSN":"1381-6128, 1873-4286","issue":"17","language":"en","note":"publisher: Bentham Science Publishers","page":"2111-2120","source":"www.benthamdirect.com","title":"Recent Developments of the Chemistry Development Kit (CDK) - An Open-Source Java Library for Chemo- and Bioinformatics","volume":"12","author":[{"family":"Steinbeck","given":"Christoph"},{"family":"Hoppe","given":"Christian"},{"family":"Kuhn","given":"Stefan"},{"family":"Floris","given":"Matteo"},{"family":"Guha","given":"Rajarshi"},{"family":"Willighagen","given":"Egon L."}],"issued":{"date-parts":[["2006",6,1]]}}},{"id":483,"uris":["http://zotero.org/users/local/qXDpIFFJ/items/P55MSE6D"],"itemData":{"id":483,"type":"article-journal","abstract":"The Chemistry Development Kit (CDK) is a widely used open source cheminformatics toolkit, providing data structures to represent chemical concepts along with methods to manipulate such structures and perform computations on them. The library implements a wide variety of cheminformatics algorithms ranging from chemical structure canonicalization to molecular descriptor calculations and pharmacophore perception. It is used in drug discovery, metabolomics, and toxicology. Over the last 10 years, the code base has grown significantly, however, resulting in many complex interdependencies among components and poor performance of many algorithms.","container-title":"Journal of Cheminformatics","DOI":"10.1186/s13321-017-0220-4","ISSN":"1758-2946","issue":"1","journalAbbreviation":"J Cheminform","language":"en","page":"33","source":"Springer Link","title":"The Chemistry Development Kit (CDK) v2.0: atom typing, depiction, molecular formulas, and substructure searching","title-short":"The Chemistry Development Kit (CDK) v2.0","volume":"9","author":[{"family":"Willighagen","given":"Egon L."},{"family":"Mayfield","given":"John W."},{"family":"Alvarsson","given":"Jonathan"},{"family":"Berg","given":"Arvid"},{"family":"Carlsson","given":"Lars"},{"family":"Jeliazkova","given":"Nina"},{"family":"Kuhn","given":"Stefan"},{"family":"Pluskal","given":"Tomáš"},{"family":"Rojas-Chertó","given":"Miquel"},{"family":"Spjuth","given":"Ola"},{"family":"Torrance","given":"Gilleain"},{"family":"Evelo","given":"Chris T."},{"family":"Guha","given":"Rajarshi"},{"family":"Steinbeck","given":"Christoph"}],"issued":{"date-parts":[["2017",6,6]]}}}],"schema":"https://github.com/citation-style-language/schema/raw/master/csl-citation.json"} </w:instrText>
      </w:r>
      <w:r w:rsidR="00743BCC">
        <w:fldChar w:fldCharType="separate"/>
      </w:r>
      <w:r w:rsidR="009C2562" w:rsidRPr="009C2562">
        <w:rPr>
          <w:vertAlign w:val="superscript"/>
        </w:rPr>
        <w:t>9–13</w:t>
      </w:r>
      <w:r w:rsidR="00743BCC">
        <w:fldChar w:fldCharType="end"/>
      </w:r>
      <w:r>
        <w:t xml:space="preserve"> </w:t>
      </w:r>
    </w:p>
    <w:tbl>
      <w:tblPr>
        <w:tblStyle w:val="PlainTable2"/>
        <w:tblW w:w="0" w:type="auto"/>
        <w:tblLook w:val="04A0" w:firstRow="1" w:lastRow="0" w:firstColumn="1" w:lastColumn="0" w:noHBand="0" w:noVBand="1"/>
      </w:tblPr>
      <w:tblGrid>
        <w:gridCol w:w="2855"/>
        <w:gridCol w:w="6171"/>
      </w:tblGrid>
      <w:tr w:rsidR="00CC56E2" w:rsidRPr="00CC56E2" w14:paraId="0DE8FBFE" w14:textId="77777777" w:rsidTr="00B02EA8">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33F6C7" w14:textId="77777777" w:rsidR="00CC56E2" w:rsidRPr="00CC56E2" w:rsidRDefault="00CC56E2" w:rsidP="002F5C88">
            <w:pPr>
              <w:widowControl/>
              <w:wordWrap/>
              <w:autoSpaceDE/>
              <w:autoSpaceDN/>
              <w:spacing w:line="276" w:lineRule="auto"/>
              <w:jc w:val="center"/>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Feature</w:t>
            </w:r>
          </w:p>
        </w:tc>
        <w:tc>
          <w:tcPr>
            <w:tcW w:w="0" w:type="auto"/>
            <w:vAlign w:val="center"/>
            <w:hideMark/>
          </w:tcPr>
          <w:p w14:paraId="6A8F136C" w14:textId="77777777" w:rsidR="00CC56E2" w:rsidRPr="00CC56E2" w:rsidRDefault="00CC56E2" w:rsidP="002F5C88">
            <w:pPr>
              <w:widowControl/>
              <w:wordWrap/>
              <w:autoSpaceDE/>
              <w:autoSpaceDN/>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Description</w:t>
            </w:r>
          </w:p>
        </w:tc>
      </w:tr>
      <w:tr w:rsidR="00CC56E2" w:rsidRPr="00CC56E2" w14:paraId="67579436"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7E603"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MolWt</w:t>
            </w:r>
            <w:proofErr w:type="spellEnd"/>
          </w:p>
        </w:tc>
        <w:tc>
          <w:tcPr>
            <w:tcW w:w="0" w:type="auto"/>
            <w:hideMark/>
          </w:tcPr>
          <w:p w14:paraId="35DFD768"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Molecular weight of the compound (Daltons)</w:t>
            </w:r>
          </w:p>
        </w:tc>
      </w:tr>
      <w:tr w:rsidR="00CC56E2" w:rsidRPr="00CC56E2" w14:paraId="1A6442AA"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25DDB6E2"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logP</w:t>
            </w:r>
          </w:p>
        </w:tc>
        <w:tc>
          <w:tcPr>
            <w:tcW w:w="0" w:type="auto"/>
            <w:hideMark/>
          </w:tcPr>
          <w:p w14:paraId="45BDB8B8"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Octanol–water partition coefficient, indicating lipophilicity</w:t>
            </w:r>
          </w:p>
        </w:tc>
      </w:tr>
      <w:tr w:rsidR="00CC56E2" w:rsidRPr="00CC56E2" w14:paraId="26FBD58C"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E22BE"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LabuteASA</w:t>
            </w:r>
          </w:p>
        </w:tc>
        <w:tc>
          <w:tcPr>
            <w:tcW w:w="0" w:type="auto"/>
            <w:hideMark/>
          </w:tcPr>
          <w:p w14:paraId="1D67823B"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CC56E2">
              <w:rPr>
                <w:rFonts w:ascii="Times New Roman" w:eastAsia="Times New Roman" w:hAnsi="Times New Roman" w:cs="Times New Roman"/>
                <w:kern w:val="0"/>
                <w:sz w:val="24"/>
                <w:szCs w:val="24"/>
                <w14:ligatures w14:val="none"/>
              </w:rPr>
              <w:t>Labute’s</w:t>
            </w:r>
            <w:proofErr w:type="spellEnd"/>
            <w:r w:rsidRPr="00CC56E2">
              <w:rPr>
                <w:rFonts w:ascii="Times New Roman" w:eastAsia="Times New Roman" w:hAnsi="Times New Roman" w:cs="Times New Roman"/>
                <w:kern w:val="0"/>
                <w:sz w:val="24"/>
                <w:szCs w:val="24"/>
                <w14:ligatures w14:val="none"/>
              </w:rPr>
              <w:t xml:space="preserve"> Approximate Surface Area, estimated molecular surface area</w:t>
            </w:r>
          </w:p>
        </w:tc>
      </w:tr>
      <w:tr w:rsidR="00CC56E2" w:rsidRPr="00CC56E2" w14:paraId="5F26A92A"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263C139C"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TPSA</w:t>
            </w:r>
          </w:p>
        </w:tc>
        <w:tc>
          <w:tcPr>
            <w:tcW w:w="0" w:type="auto"/>
            <w:hideMark/>
          </w:tcPr>
          <w:p w14:paraId="69C9008A"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Topological Polar Surface Area, measure of polar surface area</w:t>
            </w:r>
          </w:p>
        </w:tc>
      </w:tr>
      <w:tr w:rsidR="00CC56E2" w:rsidRPr="00CC56E2" w14:paraId="3F72354A"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493D6"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NumRotatableBonds</w:t>
            </w:r>
            <w:proofErr w:type="spellEnd"/>
          </w:p>
        </w:tc>
        <w:tc>
          <w:tcPr>
            <w:tcW w:w="0" w:type="auto"/>
            <w:hideMark/>
          </w:tcPr>
          <w:p w14:paraId="211861F2"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rotatable bonds (molecular flexibility)</w:t>
            </w:r>
          </w:p>
        </w:tc>
      </w:tr>
      <w:tr w:rsidR="00CC56E2" w:rsidRPr="00CC56E2" w14:paraId="525623FC"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1B733073"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NumAromaticRings</w:t>
            </w:r>
            <w:proofErr w:type="spellEnd"/>
          </w:p>
        </w:tc>
        <w:tc>
          <w:tcPr>
            <w:tcW w:w="0" w:type="auto"/>
            <w:hideMark/>
          </w:tcPr>
          <w:p w14:paraId="2D167A14"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aromatic rings</w:t>
            </w:r>
          </w:p>
        </w:tc>
      </w:tr>
      <w:tr w:rsidR="00CC56E2" w:rsidRPr="00CC56E2" w14:paraId="557867DD"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F68C4"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NumSaturatedRings</w:t>
            </w:r>
            <w:proofErr w:type="spellEnd"/>
          </w:p>
        </w:tc>
        <w:tc>
          <w:tcPr>
            <w:tcW w:w="0" w:type="auto"/>
            <w:hideMark/>
          </w:tcPr>
          <w:p w14:paraId="5D530875"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saturated rings</w:t>
            </w:r>
          </w:p>
        </w:tc>
      </w:tr>
      <w:tr w:rsidR="00CC56E2" w:rsidRPr="00CC56E2" w14:paraId="7596DF35"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073570B1"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NumAliphaticRings</w:t>
            </w:r>
            <w:proofErr w:type="spellEnd"/>
          </w:p>
        </w:tc>
        <w:tc>
          <w:tcPr>
            <w:tcW w:w="0" w:type="auto"/>
            <w:hideMark/>
          </w:tcPr>
          <w:p w14:paraId="2830DCE4"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aliphatic (non-aromatic) rings</w:t>
            </w:r>
          </w:p>
        </w:tc>
      </w:tr>
      <w:tr w:rsidR="00CC56E2" w:rsidRPr="00CC56E2" w14:paraId="6EA46790"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DDFED"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NumAromaticHeterocycles</w:t>
            </w:r>
            <w:proofErr w:type="spellEnd"/>
          </w:p>
        </w:tc>
        <w:tc>
          <w:tcPr>
            <w:tcW w:w="0" w:type="auto"/>
            <w:hideMark/>
          </w:tcPr>
          <w:p w14:paraId="218461B0"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aromatic heterocyclic rings</w:t>
            </w:r>
          </w:p>
        </w:tc>
      </w:tr>
      <w:tr w:rsidR="00CC56E2" w:rsidRPr="00CC56E2" w14:paraId="18B34C33"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3425FC38"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NumSaturatedHeterocycles</w:t>
            </w:r>
            <w:proofErr w:type="spellEnd"/>
          </w:p>
        </w:tc>
        <w:tc>
          <w:tcPr>
            <w:tcW w:w="0" w:type="auto"/>
            <w:hideMark/>
          </w:tcPr>
          <w:p w14:paraId="3049C264"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saturated heterocyclic rings</w:t>
            </w:r>
          </w:p>
        </w:tc>
      </w:tr>
      <w:tr w:rsidR="00CC56E2" w:rsidRPr="00CC56E2" w14:paraId="50F3C9B1"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EFA26"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NumAliphaticHeterocycles</w:t>
            </w:r>
            <w:proofErr w:type="spellEnd"/>
          </w:p>
        </w:tc>
        <w:tc>
          <w:tcPr>
            <w:tcW w:w="0" w:type="auto"/>
            <w:hideMark/>
          </w:tcPr>
          <w:p w14:paraId="6F4F516E"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aliphatic heterocyclic rings</w:t>
            </w:r>
          </w:p>
        </w:tc>
      </w:tr>
      <w:tr w:rsidR="00CC56E2" w:rsidRPr="00CC56E2" w14:paraId="23CA6E27"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338D7853"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NumAromaticCarbocycles</w:t>
            </w:r>
            <w:proofErr w:type="spellEnd"/>
          </w:p>
        </w:tc>
        <w:tc>
          <w:tcPr>
            <w:tcW w:w="0" w:type="auto"/>
            <w:hideMark/>
          </w:tcPr>
          <w:p w14:paraId="554DC6A4"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aromatic carbocyclic rings</w:t>
            </w:r>
          </w:p>
        </w:tc>
      </w:tr>
      <w:tr w:rsidR="00CC56E2" w:rsidRPr="00CC56E2" w14:paraId="3643EF62"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08937"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NumSaturatedCarbocycles</w:t>
            </w:r>
            <w:proofErr w:type="spellEnd"/>
          </w:p>
        </w:tc>
        <w:tc>
          <w:tcPr>
            <w:tcW w:w="0" w:type="auto"/>
            <w:hideMark/>
          </w:tcPr>
          <w:p w14:paraId="51CCBB8D"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saturated carbocyclic rings</w:t>
            </w:r>
          </w:p>
        </w:tc>
      </w:tr>
      <w:tr w:rsidR="00CC56E2" w:rsidRPr="00CC56E2" w14:paraId="09B78C50"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6743504D"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NumAliphaticCarbocycles</w:t>
            </w:r>
            <w:proofErr w:type="spellEnd"/>
          </w:p>
        </w:tc>
        <w:tc>
          <w:tcPr>
            <w:tcW w:w="0" w:type="auto"/>
            <w:hideMark/>
          </w:tcPr>
          <w:p w14:paraId="1C6C81AD"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aliphatic carbocyclic rings</w:t>
            </w:r>
          </w:p>
        </w:tc>
      </w:tr>
      <w:tr w:rsidR="00CC56E2" w:rsidRPr="00CC56E2" w14:paraId="23B32EC7"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E90F5"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FractionCSP3</w:t>
            </w:r>
          </w:p>
        </w:tc>
        <w:tc>
          <w:tcPr>
            <w:tcW w:w="0" w:type="auto"/>
            <w:hideMark/>
          </w:tcPr>
          <w:p w14:paraId="355BF42D"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Fraction of sp³ hybridized carbons among total carbons</w:t>
            </w:r>
          </w:p>
        </w:tc>
      </w:tr>
      <w:tr w:rsidR="00CC56E2" w:rsidRPr="00CC56E2" w14:paraId="1CE6D43F"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2C164643"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Chi0v</w:t>
            </w:r>
          </w:p>
        </w:tc>
        <w:tc>
          <w:tcPr>
            <w:tcW w:w="0" w:type="auto"/>
            <w:hideMark/>
          </w:tcPr>
          <w:p w14:paraId="6D923421"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Chi-0 valence molecular connectivity index</w:t>
            </w:r>
          </w:p>
        </w:tc>
      </w:tr>
      <w:tr w:rsidR="00CC56E2" w:rsidRPr="00CC56E2" w14:paraId="2CEEF72D"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92AE9"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Chi1v</w:t>
            </w:r>
          </w:p>
        </w:tc>
        <w:tc>
          <w:tcPr>
            <w:tcW w:w="0" w:type="auto"/>
            <w:hideMark/>
          </w:tcPr>
          <w:p w14:paraId="03A00510"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Chi-1 valence molecular connectivity index</w:t>
            </w:r>
          </w:p>
        </w:tc>
      </w:tr>
      <w:tr w:rsidR="00CC56E2" w:rsidRPr="00CC56E2" w14:paraId="282581EC"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668D544F"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Chi2v</w:t>
            </w:r>
          </w:p>
        </w:tc>
        <w:tc>
          <w:tcPr>
            <w:tcW w:w="0" w:type="auto"/>
            <w:hideMark/>
          </w:tcPr>
          <w:p w14:paraId="56E8482B"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Chi-2 valence molecular connectivity index</w:t>
            </w:r>
          </w:p>
        </w:tc>
      </w:tr>
      <w:tr w:rsidR="00CC56E2" w:rsidRPr="00CC56E2" w14:paraId="0FE7240B"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60E94"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Chi3v</w:t>
            </w:r>
          </w:p>
        </w:tc>
        <w:tc>
          <w:tcPr>
            <w:tcW w:w="0" w:type="auto"/>
            <w:hideMark/>
          </w:tcPr>
          <w:p w14:paraId="179A276C"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Chi-3 valence molecular connectivity index</w:t>
            </w:r>
          </w:p>
        </w:tc>
      </w:tr>
      <w:tr w:rsidR="00CC56E2" w:rsidRPr="00CC56E2" w14:paraId="543E0C94"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315E6A40"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Chi4v</w:t>
            </w:r>
          </w:p>
        </w:tc>
        <w:tc>
          <w:tcPr>
            <w:tcW w:w="0" w:type="auto"/>
            <w:hideMark/>
          </w:tcPr>
          <w:p w14:paraId="0E1EF231"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Chi-4 valence molecular connectivity index</w:t>
            </w:r>
          </w:p>
        </w:tc>
      </w:tr>
      <w:tr w:rsidR="00CC56E2" w:rsidRPr="00CC56E2" w14:paraId="623CED0C"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56E3E"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Chi1n</w:t>
            </w:r>
          </w:p>
        </w:tc>
        <w:tc>
          <w:tcPr>
            <w:tcW w:w="0" w:type="auto"/>
            <w:hideMark/>
          </w:tcPr>
          <w:p w14:paraId="1313309F"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Chi-1 molecular connectivity index (non-valence)</w:t>
            </w:r>
          </w:p>
        </w:tc>
      </w:tr>
      <w:tr w:rsidR="00CC56E2" w:rsidRPr="00CC56E2" w14:paraId="45421C37"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565EC26B"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Chi2n</w:t>
            </w:r>
          </w:p>
        </w:tc>
        <w:tc>
          <w:tcPr>
            <w:tcW w:w="0" w:type="auto"/>
            <w:hideMark/>
          </w:tcPr>
          <w:p w14:paraId="0C5573A4"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Chi-2 molecular connectivity index (non-valence)</w:t>
            </w:r>
          </w:p>
        </w:tc>
      </w:tr>
      <w:tr w:rsidR="00CC56E2" w:rsidRPr="00CC56E2" w14:paraId="7853A831"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14851"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Chi3n</w:t>
            </w:r>
          </w:p>
        </w:tc>
        <w:tc>
          <w:tcPr>
            <w:tcW w:w="0" w:type="auto"/>
            <w:hideMark/>
          </w:tcPr>
          <w:p w14:paraId="27801934"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Chi-3 molecular connectivity index (non-valence)</w:t>
            </w:r>
          </w:p>
        </w:tc>
      </w:tr>
      <w:tr w:rsidR="00CC56E2" w:rsidRPr="00CC56E2" w14:paraId="6E49A4CD"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3C686ADE"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Chi4n</w:t>
            </w:r>
          </w:p>
        </w:tc>
        <w:tc>
          <w:tcPr>
            <w:tcW w:w="0" w:type="auto"/>
            <w:hideMark/>
          </w:tcPr>
          <w:p w14:paraId="0CD8A549"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Kier &amp; Hall Chi-4 molecular connectivity index (non-valence)</w:t>
            </w:r>
          </w:p>
        </w:tc>
      </w:tr>
      <w:tr w:rsidR="00CC56E2" w:rsidRPr="00CC56E2" w14:paraId="741A573B"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45106"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HallKierAlpha</w:t>
            </w:r>
            <w:proofErr w:type="spellEnd"/>
          </w:p>
        </w:tc>
        <w:tc>
          <w:tcPr>
            <w:tcW w:w="0" w:type="auto"/>
            <w:hideMark/>
          </w:tcPr>
          <w:p w14:paraId="49E51318"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Hall–Kier alpha shape index, molecular branching descriptor</w:t>
            </w:r>
          </w:p>
        </w:tc>
      </w:tr>
      <w:tr w:rsidR="00CC56E2" w:rsidRPr="00CC56E2" w14:paraId="4F4ADCFA"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319178A2"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HeavyAtomCount</w:t>
            </w:r>
            <w:proofErr w:type="spellEnd"/>
          </w:p>
        </w:tc>
        <w:tc>
          <w:tcPr>
            <w:tcW w:w="0" w:type="auto"/>
            <w:hideMark/>
          </w:tcPr>
          <w:p w14:paraId="34CD9E9E"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non-hydrogen atoms</w:t>
            </w:r>
          </w:p>
        </w:tc>
      </w:tr>
      <w:tr w:rsidR="00CC56E2" w:rsidRPr="00CC56E2" w14:paraId="059289CC"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C4AE6"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RingCount</w:t>
            </w:r>
            <w:proofErr w:type="spellEnd"/>
          </w:p>
        </w:tc>
        <w:tc>
          <w:tcPr>
            <w:tcW w:w="0" w:type="auto"/>
            <w:hideMark/>
          </w:tcPr>
          <w:p w14:paraId="20A2187F"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Total number of rings</w:t>
            </w:r>
          </w:p>
        </w:tc>
      </w:tr>
      <w:tr w:rsidR="00CC56E2" w:rsidRPr="00CC56E2" w14:paraId="52FFE1AF"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61BCF96D"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NumHDonors</w:t>
            </w:r>
            <w:proofErr w:type="spellEnd"/>
          </w:p>
        </w:tc>
        <w:tc>
          <w:tcPr>
            <w:tcW w:w="0" w:type="auto"/>
            <w:hideMark/>
          </w:tcPr>
          <w:p w14:paraId="29B9ABC8"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hydrogen bond donors</w:t>
            </w:r>
          </w:p>
        </w:tc>
      </w:tr>
      <w:tr w:rsidR="00CC56E2" w:rsidRPr="00CC56E2" w14:paraId="319F104C"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1E219"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NumHAcceptors</w:t>
            </w:r>
            <w:proofErr w:type="spellEnd"/>
          </w:p>
        </w:tc>
        <w:tc>
          <w:tcPr>
            <w:tcW w:w="0" w:type="auto"/>
            <w:hideMark/>
          </w:tcPr>
          <w:p w14:paraId="3ACBA5A9"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hydrogen bond acceptors</w:t>
            </w:r>
          </w:p>
        </w:tc>
      </w:tr>
      <w:tr w:rsidR="00CC56E2" w:rsidRPr="00CC56E2" w14:paraId="73E96D0E"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3E410D86"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ALogP</w:t>
            </w:r>
          </w:p>
        </w:tc>
        <w:tc>
          <w:tcPr>
            <w:tcW w:w="0" w:type="auto"/>
            <w:hideMark/>
          </w:tcPr>
          <w:p w14:paraId="60B0A651"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Ghose–Crippen logP, alternative lipophilicity descriptor</w:t>
            </w:r>
          </w:p>
        </w:tc>
      </w:tr>
      <w:tr w:rsidR="00CC56E2" w:rsidRPr="00CC56E2" w14:paraId="6508FF3F"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9A70C"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ALogp2</w:t>
            </w:r>
          </w:p>
        </w:tc>
        <w:tc>
          <w:tcPr>
            <w:tcW w:w="0" w:type="auto"/>
            <w:hideMark/>
          </w:tcPr>
          <w:p w14:paraId="565A6607"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Square of ALogP, sometimes used in modeling</w:t>
            </w:r>
          </w:p>
        </w:tc>
      </w:tr>
      <w:tr w:rsidR="00CC56E2" w:rsidRPr="00CC56E2" w14:paraId="3145FEEB"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2534F286"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AMR</w:t>
            </w:r>
          </w:p>
        </w:tc>
        <w:tc>
          <w:tcPr>
            <w:tcW w:w="0" w:type="auto"/>
            <w:hideMark/>
          </w:tcPr>
          <w:p w14:paraId="7B48C1F6"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Molar refractivity, related to polarizability</w:t>
            </w:r>
          </w:p>
        </w:tc>
      </w:tr>
      <w:tr w:rsidR="00CC56E2" w:rsidRPr="00CC56E2" w14:paraId="0433C61B"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13D48"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MLogP</w:t>
            </w:r>
          </w:p>
        </w:tc>
        <w:tc>
          <w:tcPr>
            <w:tcW w:w="0" w:type="auto"/>
            <w:hideMark/>
          </w:tcPr>
          <w:p w14:paraId="78A8F108"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CC56E2">
              <w:rPr>
                <w:rFonts w:ascii="Times New Roman" w:eastAsia="Times New Roman" w:hAnsi="Times New Roman" w:cs="Times New Roman"/>
                <w:kern w:val="0"/>
                <w:sz w:val="24"/>
                <w:szCs w:val="24"/>
                <w14:ligatures w14:val="none"/>
              </w:rPr>
              <w:t>Moriguchi</w:t>
            </w:r>
            <w:proofErr w:type="spellEnd"/>
            <w:r w:rsidRPr="00CC56E2">
              <w:rPr>
                <w:rFonts w:ascii="Times New Roman" w:eastAsia="Times New Roman" w:hAnsi="Times New Roman" w:cs="Times New Roman"/>
                <w:kern w:val="0"/>
                <w:sz w:val="24"/>
                <w:szCs w:val="24"/>
                <w14:ligatures w14:val="none"/>
              </w:rPr>
              <w:t xml:space="preserve"> logP, another logP estimate</w:t>
            </w:r>
          </w:p>
        </w:tc>
      </w:tr>
      <w:tr w:rsidR="00CC56E2" w:rsidRPr="00CC56E2" w14:paraId="76795642"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5143B992"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nAtomP</w:t>
            </w:r>
            <w:proofErr w:type="spellEnd"/>
          </w:p>
        </w:tc>
        <w:tc>
          <w:tcPr>
            <w:tcW w:w="0" w:type="auto"/>
            <w:hideMark/>
          </w:tcPr>
          <w:p w14:paraId="2E3305FC"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phosphorus atoms</w:t>
            </w:r>
          </w:p>
        </w:tc>
      </w:tr>
      <w:tr w:rsidR="00CC56E2" w:rsidRPr="00CC56E2" w14:paraId="7E65DA3D"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F0748"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naAromAtom</w:t>
            </w:r>
            <w:proofErr w:type="spellEnd"/>
          </w:p>
        </w:tc>
        <w:tc>
          <w:tcPr>
            <w:tcW w:w="0" w:type="auto"/>
            <w:hideMark/>
          </w:tcPr>
          <w:p w14:paraId="17F71ED0"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aromatic atoms</w:t>
            </w:r>
          </w:p>
        </w:tc>
      </w:tr>
      <w:tr w:rsidR="00CC56E2" w:rsidRPr="00CC56E2" w14:paraId="54B76E0C"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24725DB5"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bpol</w:t>
            </w:r>
            <w:proofErr w:type="spellEnd"/>
          </w:p>
        </w:tc>
        <w:tc>
          <w:tcPr>
            <w:tcW w:w="0" w:type="auto"/>
            <w:hideMark/>
          </w:tcPr>
          <w:p w14:paraId="5281B2DB"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Polarizability (bond-based)</w:t>
            </w:r>
          </w:p>
        </w:tc>
      </w:tr>
      <w:tr w:rsidR="00CC56E2" w:rsidRPr="00CC56E2" w14:paraId="209EA94E"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5B12E"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nB</w:t>
            </w:r>
            <w:proofErr w:type="spellEnd"/>
          </w:p>
        </w:tc>
        <w:tc>
          <w:tcPr>
            <w:tcW w:w="0" w:type="auto"/>
            <w:hideMark/>
          </w:tcPr>
          <w:p w14:paraId="216AFDFD"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bonds</w:t>
            </w:r>
          </w:p>
        </w:tc>
      </w:tr>
      <w:tr w:rsidR="00CC56E2" w:rsidRPr="00CC56E2" w14:paraId="3AC63207"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01D1D960"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ECCEN</w:t>
            </w:r>
          </w:p>
        </w:tc>
        <w:tc>
          <w:tcPr>
            <w:tcW w:w="0" w:type="auto"/>
            <w:hideMark/>
          </w:tcPr>
          <w:p w14:paraId="6A8CE8A7"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Eccentric connectivity index, molecular topological descriptor</w:t>
            </w:r>
          </w:p>
        </w:tc>
      </w:tr>
      <w:tr w:rsidR="00CC56E2" w:rsidRPr="00CC56E2" w14:paraId="28245C53"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9FB7A"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fragC</w:t>
            </w:r>
            <w:proofErr w:type="spellEnd"/>
          </w:p>
        </w:tc>
        <w:tc>
          <w:tcPr>
            <w:tcW w:w="0" w:type="auto"/>
            <w:hideMark/>
          </w:tcPr>
          <w:p w14:paraId="42B1555B"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carbon fragments</w:t>
            </w:r>
          </w:p>
        </w:tc>
      </w:tr>
      <w:tr w:rsidR="00CC56E2" w:rsidRPr="00CC56E2" w14:paraId="6F8E2CD5"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15F6B4F2"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nHBAcc</w:t>
            </w:r>
            <w:proofErr w:type="spellEnd"/>
          </w:p>
        </w:tc>
        <w:tc>
          <w:tcPr>
            <w:tcW w:w="0" w:type="auto"/>
            <w:hideMark/>
          </w:tcPr>
          <w:p w14:paraId="348864C2"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hydrogen bond acceptors</w:t>
            </w:r>
          </w:p>
        </w:tc>
      </w:tr>
      <w:tr w:rsidR="00CC56E2" w:rsidRPr="00CC56E2" w14:paraId="1B7B1035"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AD6B9"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nHBDon</w:t>
            </w:r>
            <w:proofErr w:type="spellEnd"/>
          </w:p>
        </w:tc>
        <w:tc>
          <w:tcPr>
            <w:tcW w:w="0" w:type="auto"/>
            <w:hideMark/>
          </w:tcPr>
          <w:p w14:paraId="03EC4E0E"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hydrogen bond donors</w:t>
            </w:r>
          </w:p>
        </w:tc>
      </w:tr>
      <w:tr w:rsidR="00CC56E2" w:rsidRPr="00CC56E2" w14:paraId="273CA6BD"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5B297FAB"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nAtomLAC</w:t>
            </w:r>
            <w:proofErr w:type="spellEnd"/>
          </w:p>
        </w:tc>
        <w:tc>
          <w:tcPr>
            <w:tcW w:w="0" w:type="auto"/>
            <w:hideMark/>
          </w:tcPr>
          <w:p w14:paraId="6213A8B9"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atoms in largest aliphatic chain</w:t>
            </w:r>
          </w:p>
        </w:tc>
      </w:tr>
      <w:tr w:rsidR="00CC56E2" w:rsidRPr="00CC56E2" w14:paraId="50E28277"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558DB"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nAtomLC</w:t>
            </w:r>
            <w:proofErr w:type="spellEnd"/>
          </w:p>
        </w:tc>
        <w:tc>
          <w:tcPr>
            <w:tcW w:w="0" w:type="auto"/>
            <w:hideMark/>
          </w:tcPr>
          <w:p w14:paraId="7FBEAC3C"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atoms in the largest chain</w:t>
            </w:r>
          </w:p>
        </w:tc>
      </w:tr>
      <w:tr w:rsidR="00CC56E2" w:rsidRPr="00CC56E2" w14:paraId="5C990483"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1CB3F50F"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PetitjeanNumber</w:t>
            </w:r>
            <w:proofErr w:type="spellEnd"/>
          </w:p>
        </w:tc>
        <w:tc>
          <w:tcPr>
            <w:tcW w:w="0" w:type="auto"/>
            <w:hideMark/>
          </w:tcPr>
          <w:p w14:paraId="3ECD1485"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CC56E2">
              <w:rPr>
                <w:rFonts w:ascii="Times New Roman" w:eastAsia="Times New Roman" w:hAnsi="Times New Roman" w:cs="Times New Roman"/>
                <w:kern w:val="0"/>
                <w:sz w:val="24"/>
                <w:szCs w:val="24"/>
                <w14:ligatures w14:val="none"/>
              </w:rPr>
              <w:t>Petitjean</w:t>
            </w:r>
            <w:proofErr w:type="spellEnd"/>
            <w:r w:rsidRPr="00CC56E2">
              <w:rPr>
                <w:rFonts w:ascii="Times New Roman" w:eastAsia="Times New Roman" w:hAnsi="Times New Roman" w:cs="Times New Roman"/>
                <w:kern w:val="0"/>
                <w:sz w:val="24"/>
                <w:szCs w:val="24"/>
                <w14:ligatures w14:val="none"/>
              </w:rPr>
              <w:t xml:space="preserve"> shape index (molecular branching)</w:t>
            </w:r>
          </w:p>
        </w:tc>
      </w:tr>
      <w:tr w:rsidR="00CC56E2" w:rsidRPr="00CC56E2" w14:paraId="4B39C3C6"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EF964"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nRotB</w:t>
            </w:r>
            <w:proofErr w:type="spellEnd"/>
          </w:p>
        </w:tc>
        <w:tc>
          <w:tcPr>
            <w:tcW w:w="0" w:type="auto"/>
            <w:hideMark/>
          </w:tcPr>
          <w:p w14:paraId="71C26F6E"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rotatable bonds (alternative notation)</w:t>
            </w:r>
          </w:p>
        </w:tc>
      </w:tr>
      <w:tr w:rsidR="00CC56E2" w:rsidRPr="00CC56E2" w14:paraId="28BBE27F"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021863AB"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LipinskiFailures</w:t>
            </w:r>
            <w:proofErr w:type="spellEnd"/>
          </w:p>
        </w:tc>
        <w:tc>
          <w:tcPr>
            <w:tcW w:w="0" w:type="auto"/>
            <w:hideMark/>
          </w:tcPr>
          <w:p w14:paraId="7CB43756"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Number of Lipinski’s Rule of Five violations</w:t>
            </w:r>
          </w:p>
        </w:tc>
      </w:tr>
      <w:tr w:rsidR="00CC56E2" w:rsidRPr="00CC56E2" w14:paraId="08218B37"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CDD1B"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VAdjMat</w:t>
            </w:r>
            <w:proofErr w:type="spellEnd"/>
          </w:p>
        </w:tc>
        <w:tc>
          <w:tcPr>
            <w:tcW w:w="0" w:type="auto"/>
            <w:hideMark/>
          </w:tcPr>
          <w:p w14:paraId="7BEB2CC5"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Vertex adjacency matrix descriptor</w:t>
            </w:r>
          </w:p>
        </w:tc>
      </w:tr>
      <w:tr w:rsidR="00CC56E2" w:rsidRPr="00CC56E2" w14:paraId="6B6B8FE2" w14:textId="77777777" w:rsidTr="00CC56E2">
        <w:tc>
          <w:tcPr>
            <w:cnfStyle w:val="001000000000" w:firstRow="0" w:lastRow="0" w:firstColumn="1" w:lastColumn="0" w:oddVBand="0" w:evenVBand="0" w:oddHBand="0" w:evenHBand="0" w:firstRowFirstColumn="0" w:firstRowLastColumn="0" w:lastRowFirstColumn="0" w:lastRowLastColumn="0"/>
            <w:tcW w:w="0" w:type="auto"/>
            <w:hideMark/>
          </w:tcPr>
          <w:p w14:paraId="09E66406"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proofErr w:type="spellStart"/>
            <w:r w:rsidRPr="00CC56E2">
              <w:rPr>
                <w:rFonts w:ascii="Times New Roman" w:eastAsia="Times New Roman" w:hAnsi="Times New Roman" w:cs="Times New Roman"/>
                <w:b w:val="0"/>
                <w:bCs w:val="0"/>
                <w:kern w:val="0"/>
                <w:sz w:val="24"/>
                <w:szCs w:val="24"/>
                <w14:ligatures w14:val="none"/>
              </w:rPr>
              <w:t>XLogP</w:t>
            </w:r>
            <w:proofErr w:type="spellEnd"/>
          </w:p>
        </w:tc>
        <w:tc>
          <w:tcPr>
            <w:tcW w:w="0" w:type="auto"/>
            <w:hideMark/>
          </w:tcPr>
          <w:p w14:paraId="6697DFA4" w14:textId="77777777" w:rsidR="00CC56E2" w:rsidRPr="00CC56E2" w:rsidRDefault="00CC56E2" w:rsidP="002F5C88">
            <w:pPr>
              <w:widowControl/>
              <w:wordWrap/>
              <w:autoSpaceDE/>
              <w:autoSpaceDN/>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CC56E2">
              <w:rPr>
                <w:rFonts w:ascii="Times New Roman" w:eastAsia="Times New Roman" w:hAnsi="Times New Roman" w:cs="Times New Roman"/>
                <w:kern w:val="0"/>
                <w:sz w:val="24"/>
                <w:szCs w:val="24"/>
                <w14:ligatures w14:val="none"/>
              </w:rPr>
              <w:t>XLogP</w:t>
            </w:r>
            <w:proofErr w:type="spellEnd"/>
            <w:r w:rsidRPr="00CC56E2">
              <w:rPr>
                <w:rFonts w:ascii="Times New Roman" w:eastAsia="Times New Roman" w:hAnsi="Times New Roman" w:cs="Times New Roman"/>
                <w:kern w:val="0"/>
                <w:sz w:val="24"/>
                <w:szCs w:val="24"/>
                <w14:ligatures w14:val="none"/>
              </w:rPr>
              <w:t>, another estimate of lipophilicity</w:t>
            </w:r>
          </w:p>
        </w:tc>
      </w:tr>
      <w:tr w:rsidR="00CC56E2" w:rsidRPr="00CC56E2" w14:paraId="74845A97" w14:textId="77777777" w:rsidTr="00CC5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BD43B" w14:textId="77777777" w:rsidR="00CC56E2" w:rsidRPr="00CC56E2" w:rsidRDefault="00CC56E2" w:rsidP="002F5C88">
            <w:pPr>
              <w:widowControl/>
              <w:wordWrap/>
              <w:autoSpaceDE/>
              <w:autoSpaceDN/>
              <w:spacing w:line="276" w:lineRule="auto"/>
              <w:rPr>
                <w:rFonts w:ascii="Times New Roman" w:eastAsia="Times New Roman" w:hAnsi="Times New Roman" w:cs="Times New Roman"/>
                <w:b w:val="0"/>
                <w:bCs w:val="0"/>
                <w:kern w:val="0"/>
                <w:sz w:val="24"/>
                <w:szCs w:val="24"/>
                <w14:ligatures w14:val="none"/>
              </w:rPr>
            </w:pPr>
            <w:r w:rsidRPr="00CC56E2">
              <w:rPr>
                <w:rFonts w:ascii="Times New Roman" w:eastAsia="Times New Roman" w:hAnsi="Times New Roman" w:cs="Times New Roman"/>
                <w:b w:val="0"/>
                <w:bCs w:val="0"/>
                <w:kern w:val="0"/>
                <w:sz w:val="24"/>
                <w:szCs w:val="24"/>
                <w14:ligatures w14:val="none"/>
              </w:rPr>
              <w:t>Fsp3</w:t>
            </w:r>
          </w:p>
        </w:tc>
        <w:tc>
          <w:tcPr>
            <w:tcW w:w="0" w:type="auto"/>
            <w:hideMark/>
          </w:tcPr>
          <w:p w14:paraId="61898A1D" w14:textId="77777777" w:rsidR="00CC56E2" w:rsidRPr="00CC56E2" w:rsidRDefault="00CC56E2" w:rsidP="002F5C88">
            <w:pPr>
              <w:widowControl/>
              <w:wordWrap/>
              <w:autoSpaceDE/>
              <w:autoSpaceDN/>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CC56E2">
              <w:rPr>
                <w:rFonts w:ascii="Times New Roman" w:eastAsia="Times New Roman" w:hAnsi="Times New Roman" w:cs="Times New Roman"/>
                <w:kern w:val="0"/>
                <w:sz w:val="24"/>
                <w:szCs w:val="24"/>
                <w14:ligatures w14:val="none"/>
              </w:rPr>
              <w:t>Fraction of sp³ hybridized carbons (similar to FractionCSP3)</w:t>
            </w:r>
          </w:p>
        </w:tc>
      </w:tr>
    </w:tbl>
    <w:p w14:paraId="6085B35A" w14:textId="182F7AF7" w:rsidR="00F55CC5" w:rsidRDefault="00F55CC5" w:rsidP="00F55CC5">
      <w:pPr>
        <w:pStyle w:val="NormalWeb"/>
        <w:spacing w:after="0" w:afterAutospacing="0" w:line="276" w:lineRule="auto"/>
        <w:jc w:val="both"/>
      </w:pPr>
      <w:r w:rsidRPr="00CC56E2">
        <w:rPr>
          <w:b/>
          <w:bCs/>
        </w:rPr>
        <w:t>Table S</w:t>
      </w:r>
      <w:r>
        <w:rPr>
          <w:b/>
          <w:bCs/>
        </w:rPr>
        <w:t>2</w:t>
      </w:r>
      <w:r w:rsidRPr="00CC56E2">
        <w:rPr>
          <w:b/>
          <w:bCs/>
        </w:rPr>
        <w:t>.</w:t>
      </w:r>
      <w:r>
        <w:t xml:space="preserve"> </w:t>
      </w:r>
      <w:r w:rsidRPr="009E7418">
        <w:rPr>
          <w:rStyle w:val="Strong"/>
          <w:b w:val="0"/>
          <w:bCs w:val="0"/>
        </w:rPr>
        <w:t>Hyperparameter settings for machine learning and deep learning models</w:t>
      </w:r>
    </w:p>
    <w:tbl>
      <w:tblPr>
        <w:tblStyle w:val="PlainTable2"/>
        <w:tblW w:w="9090" w:type="dxa"/>
        <w:tblLook w:val="04A0" w:firstRow="1" w:lastRow="0" w:firstColumn="1" w:lastColumn="0" w:noHBand="0" w:noVBand="1"/>
      </w:tblPr>
      <w:tblGrid>
        <w:gridCol w:w="3420"/>
        <w:gridCol w:w="2610"/>
        <w:gridCol w:w="3060"/>
      </w:tblGrid>
      <w:tr w:rsidR="00F55CC5" w:rsidRPr="00F55CC5" w14:paraId="78F233A5" w14:textId="77777777" w:rsidTr="00F55CC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420" w:type="dxa"/>
            <w:vAlign w:val="center"/>
            <w:hideMark/>
          </w:tcPr>
          <w:p w14:paraId="3D4510E3" w14:textId="77777777" w:rsidR="00F55CC5" w:rsidRPr="00F55CC5" w:rsidRDefault="00F55CC5" w:rsidP="00F55CC5">
            <w:pPr>
              <w:widowControl/>
              <w:wordWrap/>
              <w:autoSpaceDE/>
              <w:autoSpaceDN/>
              <w:jc w:val="center"/>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Algorithm</w:t>
            </w:r>
          </w:p>
        </w:tc>
        <w:tc>
          <w:tcPr>
            <w:tcW w:w="2610" w:type="dxa"/>
            <w:vAlign w:val="center"/>
            <w:hideMark/>
          </w:tcPr>
          <w:p w14:paraId="1DA5AD42" w14:textId="77777777" w:rsidR="00F55CC5" w:rsidRPr="00F55CC5" w:rsidRDefault="00F55CC5" w:rsidP="00F55CC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Hyperparameter</w:t>
            </w:r>
          </w:p>
        </w:tc>
        <w:tc>
          <w:tcPr>
            <w:tcW w:w="3060" w:type="dxa"/>
            <w:vAlign w:val="center"/>
            <w:hideMark/>
          </w:tcPr>
          <w:p w14:paraId="77F479D1" w14:textId="77777777" w:rsidR="00F55CC5" w:rsidRPr="00F55CC5" w:rsidRDefault="00F55CC5" w:rsidP="00F55CC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Value / Setting</w:t>
            </w:r>
          </w:p>
        </w:tc>
      </w:tr>
      <w:tr w:rsidR="00F55CC5" w:rsidRPr="00F55CC5" w14:paraId="633C7A55" w14:textId="77777777" w:rsidTr="00F55CC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90" w:type="dxa"/>
            <w:gridSpan w:val="3"/>
            <w:vAlign w:val="center"/>
          </w:tcPr>
          <w:p w14:paraId="11BEE3F9" w14:textId="7083BD49" w:rsidR="00F55CC5" w:rsidRPr="00F55CC5" w:rsidRDefault="00F55CC5" w:rsidP="00F55CC5">
            <w:pPr>
              <w:widowControl/>
              <w:wordWrap/>
              <w:autoSpaceDE/>
              <w:autoSpaceDN/>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Machine Learning</w:t>
            </w:r>
          </w:p>
        </w:tc>
      </w:tr>
      <w:tr w:rsidR="00D14EAC" w:rsidRPr="00F55CC5" w14:paraId="1B9985AB" w14:textId="77777777" w:rsidTr="00D14EAC">
        <w:tc>
          <w:tcPr>
            <w:cnfStyle w:val="001000000000" w:firstRow="0" w:lastRow="0" w:firstColumn="1" w:lastColumn="0" w:oddVBand="0" w:evenVBand="0" w:oddHBand="0" w:evenHBand="0" w:firstRowFirstColumn="0" w:firstRowLastColumn="0" w:lastRowFirstColumn="0" w:lastRowLastColumn="0"/>
            <w:tcW w:w="3420" w:type="dxa"/>
            <w:vMerge w:val="restart"/>
            <w:vAlign w:val="center"/>
            <w:hideMark/>
          </w:tcPr>
          <w:p w14:paraId="7EB4305B" w14:textId="77777777" w:rsidR="00D14EAC" w:rsidRPr="00F55CC5" w:rsidRDefault="00D14EAC" w:rsidP="00D14EAC">
            <w:pPr>
              <w:widowControl/>
              <w:wordWrap/>
              <w:autoSpaceDE/>
              <w:autoSpaceDN/>
              <w:rPr>
                <w:rFonts w:ascii="Times New Roman" w:eastAsia="Times New Roman" w:hAnsi="Times New Roman" w:cs="Times New Roman"/>
                <w:b w:val="0"/>
                <w:bCs w:val="0"/>
                <w:kern w:val="0"/>
                <w:sz w:val="24"/>
                <w:szCs w:val="24"/>
                <w14:ligatures w14:val="none"/>
              </w:rPr>
            </w:pPr>
            <w:r w:rsidRPr="00F55CC5">
              <w:rPr>
                <w:rFonts w:ascii="Times New Roman" w:eastAsia="Times New Roman" w:hAnsi="Times New Roman" w:cs="Times New Roman"/>
                <w:b w:val="0"/>
                <w:bCs w:val="0"/>
                <w:kern w:val="0"/>
                <w:sz w:val="24"/>
                <w:szCs w:val="24"/>
                <w14:ligatures w14:val="none"/>
              </w:rPr>
              <w:t>Random Forest (RF)</w:t>
            </w:r>
          </w:p>
        </w:tc>
        <w:tc>
          <w:tcPr>
            <w:tcW w:w="2610" w:type="dxa"/>
            <w:hideMark/>
          </w:tcPr>
          <w:p w14:paraId="61B01728"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F55CC5">
              <w:rPr>
                <w:rFonts w:ascii="Times New Roman" w:eastAsia="Times New Roman" w:hAnsi="Times New Roman" w:cs="Times New Roman"/>
                <w:kern w:val="0"/>
                <w:sz w:val="24"/>
                <w:szCs w:val="24"/>
                <w14:ligatures w14:val="none"/>
              </w:rPr>
              <w:t>n_estimators</w:t>
            </w:r>
            <w:proofErr w:type="spellEnd"/>
          </w:p>
        </w:tc>
        <w:tc>
          <w:tcPr>
            <w:tcW w:w="3060" w:type="dxa"/>
            <w:hideMark/>
          </w:tcPr>
          <w:p w14:paraId="3B753C5D"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300</w:t>
            </w:r>
          </w:p>
        </w:tc>
      </w:tr>
      <w:tr w:rsidR="00D14EAC" w:rsidRPr="00F55CC5" w14:paraId="7417A4B9" w14:textId="77777777" w:rsidTr="00F55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hideMark/>
          </w:tcPr>
          <w:p w14:paraId="6BA9A857"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hideMark/>
          </w:tcPr>
          <w:p w14:paraId="66AC0CC9"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F55CC5">
              <w:rPr>
                <w:rFonts w:ascii="Times New Roman" w:eastAsia="Times New Roman" w:hAnsi="Times New Roman" w:cs="Times New Roman"/>
                <w:kern w:val="0"/>
                <w:sz w:val="24"/>
                <w:szCs w:val="24"/>
                <w14:ligatures w14:val="none"/>
              </w:rPr>
              <w:t>max_features</w:t>
            </w:r>
            <w:proofErr w:type="spellEnd"/>
          </w:p>
        </w:tc>
        <w:tc>
          <w:tcPr>
            <w:tcW w:w="3060" w:type="dxa"/>
            <w:hideMark/>
          </w:tcPr>
          <w:p w14:paraId="71736C88"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Optimized via grid search</w:t>
            </w:r>
          </w:p>
        </w:tc>
      </w:tr>
      <w:tr w:rsidR="00D14EAC" w:rsidRPr="00F55CC5" w14:paraId="7414B58E" w14:textId="77777777" w:rsidTr="00F55CC5">
        <w:tc>
          <w:tcPr>
            <w:cnfStyle w:val="001000000000" w:firstRow="0" w:lastRow="0" w:firstColumn="1" w:lastColumn="0" w:oddVBand="0" w:evenVBand="0" w:oddHBand="0" w:evenHBand="0" w:firstRowFirstColumn="0" w:firstRowLastColumn="0" w:lastRowFirstColumn="0" w:lastRowLastColumn="0"/>
            <w:tcW w:w="3420" w:type="dxa"/>
            <w:vMerge/>
            <w:hideMark/>
          </w:tcPr>
          <w:p w14:paraId="4A174F35"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hideMark/>
          </w:tcPr>
          <w:p w14:paraId="7B4683C9"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F55CC5">
              <w:rPr>
                <w:rFonts w:ascii="Times New Roman" w:eastAsia="Times New Roman" w:hAnsi="Times New Roman" w:cs="Times New Roman"/>
                <w:kern w:val="0"/>
                <w:sz w:val="24"/>
                <w:szCs w:val="24"/>
                <w14:ligatures w14:val="none"/>
              </w:rPr>
              <w:t>class_weight</w:t>
            </w:r>
            <w:proofErr w:type="spellEnd"/>
          </w:p>
        </w:tc>
        <w:tc>
          <w:tcPr>
            <w:tcW w:w="3060" w:type="dxa"/>
            <w:hideMark/>
          </w:tcPr>
          <w:p w14:paraId="5B3AA68F"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balanced</w:t>
            </w:r>
          </w:p>
        </w:tc>
      </w:tr>
      <w:tr w:rsidR="00D14EAC" w:rsidRPr="00F55CC5" w14:paraId="129866DA" w14:textId="77777777" w:rsidTr="00D1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val="restart"/>
            <w:vAlign w:val="center"/>
            <w:hideMark/>
          </w:tcPr>
          <w:p w14:paraId="59860138" w14:textId="77777777" w:rsidR="00D14EAC" w:rsidRPr="00F55CC5" w:rsidRDefault="00D14EAC" w:rsidP="00D14EAC">
            <w:pPr>
              <w:widowControl/>
              <w:wordWrap/>
              <w:autoSpaceDE/>
              <w:autoSpaceDN/>
              <w:rPr>
                <w:rFonts w:ascii="Times New Roman" w:eastAsia="Times New Roman" w:hAnsi="Times New Roman" w:cs="Times New Roman"/>
                <w:b w:val="0"/>
                <w:bCs w:val="0"/>
                <w:kern w:val="0"/>
                <w:sz w:val="24"/>
                <w:szCs w:val="24"/>
                <w14:ligatures w14:val="none"/>
              </w:rPr>
            </w:pPr>
            <w:r w:rsidRPr="00F55CC5">
              <w:rPr>
                <w:rFonts w:ascii="Times New Roman" w:eastAsia="Times New Roman" w:hAnsi="Times New Roman" w:cs="Times New Roman"/>
                <w:b w:val="0"/>
                <w:bCs w:val="0"/>
                <w:kern w:val="0"/>
                <w:sz w:val="24"/>
                <w:szCs w:val="24"/>
                <w14:ligatures w14:val="none"/>
              </w:rPr>
              <w:t>XGBoost (XGB)</w:t>
            </w:r>
          </w:p>
        </w:tc>
        <w:tc>
          <w:tcPr>
            <w:tcW w:w="2610" w:type="dxa"/>
            <w:hideMark/>
          </w:tcPr>
          <w:p w14:paraId="04E9AC45"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F55CC5">
              <w:rPr>
                <w:rFonts w:ascii="Times New Roman" w:eastAsia="Times New Roman" w:hAnsi="Times New Roman" w:cs="Times New Roman"/>
                <w:kern w:val="0"/>
                <w:sz w:val="24"/>
                <w:szCs w:val="24"/>
                <w14:ligatures w14:val="none"/>
              </w:rPr>
              <w:t>learning_rate</w:t>
            </w:r>
            <w:proofErr w:type="spellEnd"/>
          </w:p>
        </w:tc>
        <w:tc>
          <w:tcPr>
            <w:tcW w:w="3060" w:type="dxa"/>
            <w:hideMark/>
          </w:tcPr>
          <w:p w14:paraId="13828E43"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0.1</w:t>
            </w:r>
          </w:p>
        </w:tc>
      </w:tr>
      <w:tr w:rsidR="00D14EAC" w:rsidRPr="00F55CC5" w14:paraId="26A26300" w14:textId="77777777" w:rsidTr="00F55CC5">
        <w:tc>
          <w:tcPr>
            <w:cnfStyle w:val="001000000000" w:firstRow="0" w:lastRow="0" w:firstColumn="1" w:lastColumn="0" w:oddVBand="0" w:evenVBand="0" w:oddHBand="0" w:evenHBand="0" w:firstRowFirstColumn="0" w:firstRowLastColumn="0" w:lastRowFirstColumn="0" w:lastRowLastColumn="0"/>
            <w:tcW w:w="3420" w:type="dxa"/>
            <w:vMerge/>
            <w:hideMark/>
          </w:tcPr>
          <w:p w14:paraId="7BAE69BF"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hideMark/>
          </w:tcPr>
          <w:p w14:paraId="6D1BB933"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F55CC5">
              <w:rPr>
                <w:rFonts w:ascii="Times New Roman" w:eastAsia="Times New Roman" w:hAnsi="Times New Roman" w:cs="Times New Roman"/>
                <w:kern w:val="0"/>
                <w:sz w:val="24"/>
                <w:szCs w:val="24"/>
                <w14:ligatures w14:val="none"/>
              </w:rPr>
              <w:t>max_depth</w:t>
            </w:r>
            <w:proofErr w:type="spellEnd"/>
          </w:p>
        </w:tc>
        <w:tc>
          <w:tcPr>
            <w:tcW w:w="3060" w:type="dxa"/>
            <w:hideMark/>
          </w:tcPr>
          <w:p w14:paraId="5B9CBA42"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5</w:t>
            </w:r>
          </w:p>
        </w:tc>
      </w:tr>
      <w:tr w:rsidR="00D14EAC" w:rsidRPr="00F55CC5" w14:paraId="146BEDCB" w14:textId="77777777" w:rsidTr="00F55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hideMark/>
          </w:tcPr>
          <w:p w14:paraId="3EBCB57E"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hideMark/>
          </w:tcPr>
          <w:p w14:paraId="688B68FB"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F55CC5">
              <w:rPr>
                <w:rFonts w:ascii="Times New Roman" w:eastAsia="Times New Roman" w:hAnsi="Times New Roman" w:cs="Times New Roman"/>
                <w:kern w:val="0"/>
                <w:sz w:val="24"/>
                <w:szCs w:val="24"/>
                <w14:ligatures w14:val="none"/>
              </w:rPr>
              <w:t>n_estimators</w:t>
            </w:r>
            <w:proofErr w:type="spellEnd"/>
          </w:p>
        </w:tc>
        <w:tc>
          <w:tcPr>
            <w:tcW w:w="3060" w:type="dxa"/>
            <w:hideMark/>
          </w:tcPr>
          <w:p w14:paraId="47474697"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200</w:t>
            </w:r>
          </w:p>
        </w:tc>
      </w:tr>
      <w:tr w:rsidR="00D14EAC" w:rsidRPr="00F55CC5" w14:paraId="19061B1D" w14:textId="77777777" w:rsidTr="00D14EAC">
        <w:tc>
          <w:tcPr>
            <w:cnfStyle w:val="001000000000" w:firstRow="0" w:lastRow="0" w:firstColumn="1" w:lastColumn="0" w:oddVBand="0" w:evenVBand="0" w:oddHBand="0" w:evenHBand="0" w:firstRowFirstColumn="0" w:firstRowLastColumn="0" w:lastRowFirstColumn="0" w:lastRowLastColumn="0"/>
            <w:tcW w:w="3420" w:type="dxa"/>
            <w:vMerge w:val="restart"/>
            <w:vAlign w:val="center"/>
            <w:hideMark/>
          </w:tcPr>
          <w:p w14:paraId="0B8E3D8C" w14:textId="77777777" w:rsidR="00D14EAC" w:rsidRPr="00F55CC5" w:rsidRDefault="00D14EAC" w:rsidP="00D14EAC">
            <w:pPr>
              <w:widowControl/>
              <w:wordWrap/>
              <w:autoSpaceDE/>
              <w:autoSpaceDN/>
              <w:rPr>
                <w:rFonts w:ascii="Times New Roman" w:eastAsia="Times New Roman" w:hAnsi="Times New Roman" w:cs="Times New Roman"/>
                <w:b w:val="0"/>
                <w:bCs w:val="0"/>
                <w:kern w:val="0"/>
                <w:sz w:val="24"/>
                <w:szCs w:val="24"/>
                <w14:ligatures w14:val="none"/>
              </w:rPr>
            </w:pPr>
            <w:r w:rsidRPr="00F55CC5">
              <w:rPr>
                <w:rFonts w:ascii="Times New Roman" w:eastAsia="Times New Roman" w:hAnsi="Times New Roman" w:cs="Times New Roman"/>
                <w:b w:val="0"/>
                <w:bCs w:val="0"/>
                <w:kern w:val="0"/>
                <w:sz w:val="24"/>
                <w:szCs w:val="24"/>
                <w14:ligatures w14:val="none"/>
              </w:rPr>
              <w:t>Support Vector Machine (SVM)</w:t>
            </w:r>
          </w:p>
        </w:tc>
        <w:tc>
          <w:tcPr>
            <w:tcW w:w="2610" w:type="dxa"/>
            <w:hideMark/>
          </w:tcPr>
          <w:p w14:paraId="6ADBCB32"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kernel</w:t>
            </w:r>
          </w:p>
        </w:tc>
        <w:tc>
          <w:tcPr>
            <w:tcW w:w="3060" w:type="dxa"/>
            <w:hideMark/>
          </w:tcPr>
          <w:p w14:paraId="0D0F24DE"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RBF</w:t>
            </w:r>
          </w:p>
        </w:tc>
      </w:tr>
      <w:tr w:rsidR="00D14EAC" w:rsidRPr="00F55CC5" w14:paraId="3ECD569F" w14:textId="77777777" w:rsidTr="00F55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hideMark/>
          </w:tcPr>
          <w:p w14:paraId="1A4ADF6F"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hideMark/>
          </w:tcPr>
          <w:p w14:paraId="456A6C22"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C</w:t>
            </w:r>
          </w:p>
        </w:tc>
        <w:tc>
          <w:tcPr>
            <w:tcW w:w="3060" w:type="dxa"/>
            <w:hideMark/>
          </w:tcPr>
          <w:p w14:paraId="1EC320C8" w14:textId="7777777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10</w:t>
            </w:r>
          </w:p>
        </w:tc>
      </w:tr>
      <w:tr w:rsidR="00D14EAC" w:rsidRPr="00F55CC5" w14:paraId="64C6EC1D" w14:textId="77777777" w:rsidTr="00F55CC5">
        <w:tc>
          <w:tcPr>
            <w:cnfStyle w:val="001000000000" w:firstRow="0" w:lastRow="0" w:firstColumn="1" w:lastColumn="0" w:oddVBand="0" w:evenVBand="0" w:oddHBand="0" w:evenHBand="0" w:firstRowFirstColumn="0" w:firstRowLastColumn="0" w:lastRowFirstColumn="0" w:lastRowLastColumn="0"/>
            <w:tcW w:w="3420" w:type="dxa"/>
            <w:vMerge/>
            <w:hideMark/>
          </w:tcPr>
          <w:p w14:paraId="6680F3EA"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hideMark/>
          </w:tcPr>
          <w:p w14:paraId="7C1A5642"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gamma</w:t>
            </w:r>
          </w:p>
        </w:tc>
        <w:tc>
          <w:tcPr>
            <w:tcW w:w="3060" w:type="dxa"/>
            <w:hideMark/>
          </w:tcPr>
          <w:p w14:paraId="196C24A7" w14:textId="77777777"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scale</w:t>
            </w:r>
          </w:p>
        </w:tc>
      </w:tr>
      <w:tr w:rsidR="00F55CC5" w:rsidRPr="00F55CC5" w14:paraId="4D2C7156" w14:textId="77777777" w:rsidTr="00F55CC5">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090" w:type="dxa"/>
            <w:gridSpan w:val="3"/>
            <w:vAlign w:val="center"/>
          </w:tcPr>
          <w:p w14:paraId="2AF32703" w14:textId="5E8ECF9B" w:rsidR="00F55CC5" w:rsidRPr="00F55CC5" w:rsidRDefault="00F55CC5" w:rsidP="00F55CC5">
            <w:pPr>
              <w:widowControl/>
              <w:wordWrap/>
              <w:autoSpaceDE/>
              <w:autoSpaceDN/>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Deep Learning</w:t>
            </w:r>
          </w:p>
        </w:tc>
      </w:tr>
      <w:tr w:rsidR="00D14EAC" w:rsidRPr="00F55CC5" w14:paraId="101CC515" w14:textId="77777777" w:rsidTr="00D14EAC">
        <w:tc>
          <w:tcPr>
            <w:cnfStyle w:val="001000000000" w:firstRow="0" w:lastRow="0" w:firstColumn="1" w:lastColumn="0" w:oddVBand="0" w:evenVBand="0" w:oddHBand="0" w:evenHBand="0" w:firstRowFirstColumn="0" w:firstRowLastColumn="0" w:lastRowFirstColumn="0" w:lastRowLastColumn="0"/>
            <w:tcW w:w="3420" w:type="dxa"/>
            <w:vMerge w:val="restart"/>
            <w:vAlign w:val="center"/>
          </w:tcPr>
          <w:p w14:paraId="38FF7804" w14:textId="477CA246" w:rsidR="00D14EAC" w:rsidRPr="00F55CC5" w:rsidRDefault="00D14EAC" w:rsidP="00D14EAC">
            <w:pPr>
              <w:widowControl/>
              <w:wordWrap/>
              <w:autoSpaceDE/>
              <w:autoSpaceDN/>
              <w:rPr>
                <w:rFonts w:ascii="Times New Roman" w:eastAsia="Times New Roman" w:hAnsi="Times New Roman" w:cs="Times New Roman"/>
                <w:b w:val="0"/>
                <w:bCs w:val="0"/>
                <w:kern w:val="0"/>
                <w:sz w:val="24"/>
                <w:szCs w:val="24"/>
                <w14:ligatures w14:val="none"/>
              </w:rPr>
            </w:pPr>
            <w:r w:rsidRPr="00F55CC5">
              <w:rPr>
                <w:rFonts w:ascii="Times New Roman" w:eastAsia="Times New Roman" w:hAnsi="Times New Roman" w:cs="Times New Roman"/>
                <w:b w:val="0"/>
                <w:bCs w:val="0"/>
                <w:kern w:val="0"/>
                <w:sz w:val="24"/>
                <w:szCs w:val="24"/>
                <w14:ligatures w14:val="none"/>
              </w:rPr>
              <w:t>DNN (MACCS / Morgan / APF)</w:t>
            </w:r>
          </w:p>
        </w:tc>
        <w:tc>
          <w:tcPr>
            <w:tcW w:w="2610" w:type="dxa"/>
            <w:vAlign w:val="center"/>
          </w:tcPr>
          <w:p w14:paraId="3BAC13FC" w14:textId="136A25CF"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Hidden layers</w:t>
            </w:r>
          </w:p>
        </w:tc>
        <w:tc>
          <w:tcPr>
            <w:tcW w:w="3060" w:type="dxa"/>
            <w:vAlign w:val="center"/>
          </w:tcPr>
          <w:p w14:paraId="53877EEA" w14:textId="6A392986"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Up to 3</w:t>
            </w:r>
          </w:p>
        </w:tc>
      </w:tr>
      <w:tr w:rsidR="00D14EAC" w:rsidRPr="00F55CC5" w14:paraId="5275F533" w14:textId="77777777" w:rsidTr="004E2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0186EF60"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vAlign w:val="center"/>
          </w:tcPr>
          <w:p w14:paraId="3099F4E4" w14:textId="2DFAE3C8"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Neurons per layer</w:t>
            </w:r>
          </w:p>
        </w:tc>
        <w:tc>
          <w:tcPr>
            <w:tcW w:w="3060" w:type="dxa"/>
            <w:vAlign w:val="center"/>
          </w:tcPr>
          <w:p w14:paraId="1D549F74" w14:textId="0D012AEE"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256–1024</w:t>
            </w:r>
          </w:p>
        </w:tc>
      </w:tr>
      <w:tr w:rsidR="00D14EAC" w:rsidRPr="00F55CC5" w14:paraId="2A243A46" w14:textId="77777777" w:rsidTr="004E225B">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0C7BCA96"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vAlign w:val="center"/>
          </w:tcPr>
          <w:p w14:paraId="0417827C" w14:textId="00D89394"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Activation</w:t>
            </w:r>
          </w:p>
        </w:tc>
        <w:tc>
          <w:tcPr>
            <w:tcW w:w="3060" w:type="dxa"/>
            <w:vAlign w:val="center"/>
          </w:tcPr>
          <w:p w14:paraId="14F5860C" w14:textId="0FA24134"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F55CC5">
              <w:rPr>
                <w:rFonts w:ascii="Times New Roman" w:eastAsia="Times New Roman" w:hAnsi="Times New Roman" w:cs="Times New Roman"/>
                <w:kern w:val="0"/>
                <w:sz w:val="24"/>
                <w:szCs w:val="24"/>
                <w14:ligatures w14:val="none"/>
              </w:rPr>
              <w:t>ReLU</w:t>
            </w:r>
            <w:proofErr w:type="spellEnd"/>
          </w:p>
        </w:tc>
      </w:tr>
      <w:tr w:rsidR="00D14EAC" w:rsidRPr="00F55CC5" w14:paraId="0D863317" w14:textId="77777777" w:rsidTr="004E2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202A143A"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vAlign w:val="center"/>
          </w:tcPr>
          <w:p w14:paraId="0956BE47" w14:textId="5EAC105A"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Dropout rate</w:t>
            </w:r>
          </w:p>
        </w:tc>
        <w:tc>
          <w:tcPr>
            <w:tcW w:w="3060" w:type="dxa"/>
            <w:vAlign w:val="center"/>
          </w:tcPr>
          <w:p w14:paraId="5FCE6F06" w14:textId="09FC3556"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0.3–0.5</w:t>
            </w:r>
          </w:p>
        </w:tc>
      </w:tr>
      <w:tr w:rsidR="00D14EAC" w:rsidRPr="00F55CC5" w14:paraId="2C093B03" w14:textId="77777777" w:rsidTr="004E225B">
        <w:tc>
          <w:tcPr>
            <w:cnfStyle w:val="001000000000" w:firstRow="0" w:lastRow="0" w:firstColumn="1" w:lastColumn="0" w:oddVBand="0" w:evenVBand="0" w:oddHBand="0" w:evenHBand="0" w:firstRowFirstColumn="0" w:firstRowLastColumn="0" w:lastRowFirstColumn="0" w:lastRowLastColumn="0"/>
            <w:tcW w:w="3420" w:type="dxa"/>
            <w:vMerge w:val="restart"/>
            <w:vAlign w:val="center"/>
          </w:tcPr>
          <w:p w14:paraId="48C6D35E" w14:textId="2B96DDF0"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r w:rsidRPr="00F55CC5">
              <w:rPr>
                <w:rFonts w:ascii="Times New Roman" w:eastAsia="Times New Roman" w:hAnsi="Times New Roman" w:cs="Times New Roman"/>
                <w:b w:val="0"/>
                <w:bCs w:val="0"/>
                <w:kern w:val="0"/>
                <w:sz w:val="24"/>
                <w:szCs w:val="24"/>
                <w14:ligatures w14:val="none"/>
              </w:rPr>
              <w:t>DNN (Physicochemical)</w:t>
            </w:r>
          </w:p>
        </w:tc>
        <w:tc>
          <w:tcPr>
            <w:tcW w:w="2610" w:type="dxa"/>
            <w:vAlign w:val="center"/>
          </w:tcPr>
          <w:p w14:paraId="0EA78635" w14:textId="55CD14C8"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Hidden layers</w:t>
            </w:r>
          </w:p>
        </w:tc>
        <w:tc>
          <w:tcPr>
            <w:tcW w:w="3060" w:type="dxa"/>
            <w:vAlign w:val="center"/>
          </w:tcPr>
          <w:p w14:paraId="4BD4568D" w14:textId="37A31945"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2</w:t>
            </w:r>
          </w:p>
        </w:tc>
      </w:tr>
      <w:tr w:rsidR="00D14EAC" w:rsidRPr="00F55CC5" w14:paraId="2B52BF0C" w14:textId="77777777" w:rsidTr="004E2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73643435"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vAlign w:val="center"/>
          </w:tcPr>
          <w:p w14:paraId="6633D528" w14:textId="070D330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Neurons per layer</w:t>
            </w:r>
          </w:p>
        </w:tc>
        <w:tc>
          <w:tcPr>
            <w:tcW w:w="3060" w:type="dxa"/>
            <w:vAlign w:val="center"/>
          </w:tcPr>
          <w:p w14:paraId="6D853BC4" w14:textId="206B478C"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64–128</w:t>
            </w:r>
          </w:p>
        </w:tc>
      </w:tr>
      <w:tr w:rsidR="00D14EAC" w:rsidRPr="00F55CC5" w14:paraId="580E0D46" w14:textId="77777777" w:rsidTr="004E225B">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2353D0ED" w14:textId="77777777"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p>
        </w:tc>
        <w:tc>
          <w:tcPr>
            <w:tcW w:w="2610" w:type="dxa"/>
            <w:vAlign w:val="center"/>
          </w:tcPr>
          <w:p w14:paraId="6182C6E6" w14:textId="4EA47B95"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Dropout rate</w:t>
            </w:r>
          </w:p>
        </w:tc>
        <w:tc>
          <w:tcPr>
            <w:tcW w:w="3060" w:type="dxa"/>
            <w:vAlign w:val="center"/>
          </w:tcPr>
          <w:p w14:paraId="7115453C" w14:textId="1725E609"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~0.3</w:t>
            </w:r>
          </w:p>
        </w:tc>
      </w:tr>
      <w:tr w:rsidR="00D14EAC" w:rsidRPr="00F55CC5" w14:paraId="3E8EAA51" w14:textId="77777777" w:rsidTr="004E2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val="restart"/>
            <w:vAlign w:val="center"/>
          </w:tcPr>
          <w:p w14:paraId="3C75E7EB" w14:textId="23F6B81F" w:rsidR="00D14EAC" w:rsidRPr="00F55CC5" w:rsidRDefault="00D14EAC" w:rsidP="00F55CC5">
            <w:pPr>
              <w:widowControl/>
              <w:wordWrap/>
              <w:autoSpaceDE/>
              <w:autoSpaceDN/>
              <w:rPr>
                <w:rFonts w:ascii="Times New Roman" w:eastAsia="Times New Roman" w:hAnsi="Times New Roman" w:cs="Times New Roman"/>
                <w:b w:val="0"/>
                <w:bCs w:val="0"/>
                <w:kern w:val="0"/>
                <w:sz w:val="24"/>
                <w:szCs w:val="24"/>
                <w14:ligatures w14:val="none"/>
              </w:rPr>
            </w:pPr>
            <w:r w:rsidRPr="00F55CC5">
              <w:rPr>
                <w:rFonts w:ascii="Times New Roman" w:eastAsia="Times New Roman" w:hAnsi="Times New Roman" w:cs="Times New Roman"/>
                <w:b w:val="0"/>
                <w:bCs w:val="0"/>
                <w:kern w:val="0"/>
                <w:sz w:val="24"/>
                <w:szCs w:val="24"/>
                <w14:ligatures w14:val="none"/>
              </w:rPr>
              <w:t>All DNNs</w:t>
            </w:r>
          </w:p>
        </w:tc>
        <w:tc>
          <w:tcPr>
            <w:tcW w:w="2610" w:type="dxa"/>
            <w:vAlign w:val="center"/>
          </w:tcPr>
          <w:p w14:paraId="124EF4A5" w14:textId="4B02305D"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Optimizer</w:t>
            </w:r>
          </w:p>
        </w:tc>
        <w:tc>
          <w:tcPr>
            <w:tcW w:w="3060" w:type="dxa"/>
            <w:vAlign w:val="center"/>
          </w:tcPr>
          <w:p w14:paraId="7A0C2259" w14:textId="2E0634FB"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Adam</w:t>
            </w:r>
          </w:p>
        </w:tc>
      </w:tr>
      <w:tr w:rsidR="00D14EAC" w:rsidRPr="00F55CC5" w14:paraId="7E91A61A" w14:textId="77777777" w:rsidTr="004E225B">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3D072E95" w14:textId="77777777" w:rsidR="00D14EAC" w:rsidRPr="00F55CC5" w:rsidRDefault="00D14EAC" w:rsidP="00F55CC5">
            <w:pPr>
              <w:widowControl/>
              <w:wordWrap/>
              <w:autoSpaceDE/>
              <w:autoSpaceDN/>
              <w:rPr>
                <w:rFonts w:ascii="Times New Roman" w:eastAsia="Times New Roman" w:hAnsi="Times New Roman" w:cs="Times New Roman"/>
                <w:kern w:val="0"/>
                <w:sz w:val="24"/>
                <w:szCs w:val="24"/>
                <w14:ligatures w14:val="none"/>
              </w:rPr>
            </w:pPr>
          </w:p>
        </w:tc>
        <w:tc>
          <w:tcPr>
            <w:tcW w:w="2610" w:type="dxa"/>
            <w:vAlign w:val="center"/>
          </w:tcPr>
          <w:p w14:paraId="5792DD73" w14:textId="3F2B48D1"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Learning rate</w:t>
            </w:r>
          </w:p>
        </w:tc>
        <w:tc>
          <w:tcPr>
            <w:tcW w:w="3060" w:type="dxa"/>
            <w:vAlign w:val="center"/>
          </w:tcPr>
          <w:p w14:paraId="38465E05" w14:textId="7A954646"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1 × 10⁻³</w:t>
            </w:r>
          </w:p>
        </w:tc>
      </w:tr>
      <w:tr w:rsidR="00D14EAC" w:rsidRPr="00F55CC5" w14:paraId="21EAFECD" w14:textId="77777777" w:rsidTr="004E2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430AA879" w14:textId="77777777" w:rsidR="00D14EAC" w:rsidRPr="00F55CC5" w:rsidRDefault="00D14EAC" w:rsidP="00F55CC5">
            <w:pPr>
              <w:widowControl/>
              <w:wordWrap/>
              <w:autoSpaceDE/>
              <w:autoSpaceDN/>
              <w:rPr>
                <w:rFonts w:ascii="Times New Roman" w:eastAsia="Times New Roman" w:hAnsi="Times New Roman" w:cs="Times New Roman"/>
                <w:kern w:val="0"/>
                <w:sz w:val="24"/>
                <w:szCs w:val="24"/>
                <w14:ligatures w14:val="none"/>
              </w:rPr>
            </w:pPr>
          </w:p>
        </w:tc>
        <w:tc>
          <w:tcPr>
            <w:tcW w:w="2610" w:type="dxa"/>
            <w:vAlign w:val="center"/>
          </w:tcPr>
          <w:p w14:paraId="0AEE0765" w14:textId="4BB5EF27"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Loss function</w:t>
            </w:r>
          </w:p>
        </w:tc>
        <w:tc>
          <w:tcPr>
            <w:tcW w:w="3060" w:type="dxa"/>
            <w:vAlign w:val="center"/>
          </w:tcPr>
          <w:p w14:paraId="689E7492" w14:textId="1DA49199"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Binary cross-entropy</w:t>
            </w:r>
          </w:p>
        </w:tc>
      </w:tr>
      <w:tr w:rsidR="00D14EAC" w:rsidRPr="00F55CC5" w14:paraId="533349E2" w14:textId="77777777" w:rsidTr="004E225B">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4971B439" w14:textId="77777777" w:rsidR="00D14EAC" w:rsidRPr="00F55CC5" w:rsidRDefault="00D14EAC" w:rsidP="00F55CC5">
            <w:pPr>
              <w:widowControl/>
              <w:wordWrap/>
              <w:autoSpaceDE/>
              <w:autoSpaceDN/>
              <w:rPr>
                <w:rFonts w:ascii="Times New Roman" w:eastAsia="Times New Roman" w:hAnsi="Times New Roman" w:cs="Times New Roman"/>
                <w:kern w:val="0"/>
                <w:sz w:val="24"/>
                <w:szCs w:val="24"/>
                <w14:ligatures w14:val="none"/>
              </w:rPr>
            </w:pPr>
          </w:p>
        </w:tc>
        <w:tc>
          <w:tcPr>
            <w:tcW w:w="2610" w:type="dxa"/>
            <w:vAlign w:val="center"/>
          </w:tcPr>
          <w:p w14:paraId="2A1BBE35" w14:textId="4D7259AC"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Output activation</w:t>
            </w:r>
          </w:p>
        </w:tc>
        <w:tc>
          <w:tcPr>
            <w:tcW w:w="3060" w:type="dxa"/>
            <w:vAlign w:val="center"/>
          </w:tcPr>
          <w:p w14:paraId="055CC662" w14:textId="36E6F314" w:rsidR="00D14EAC" w:rsidRPr="00F55CC5" w:rsidRDefault="00D14EAC" w:rsidP="00F55CC5">
            <w:pPr>
              <w:widowControl/>
              <w:wordWrap/>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Sigmoid</w:t>
            </w:r>
          </w:p>
        </w:tc>
      </w:tr>
      <w:tr w:rsidR="00D14EAC" w:rsidRPr="00F55CC5" w14:paraId="35861524" w14:textId="77777777" w:rsidTr="004E2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Merge/>
            <w:vAlign w:val="center"/>
          </w:tcPr>
          <w:p w14:paraId="0DBE557B" w14:textId="77777777" w:rsidR="00D14EAC" w:rsidRPr="00F55CC5" w:rsidRDefault="00D14EAC" w:rsidP="00F55CC5">
            <w:pPr>
              <w:widowControl/>
              <w:wordWrap/>
              <w:autoSpaceDE/>
              <w:autoSpaceDN/>
              <w:rPr>
                <w:rFonts w:ascii="Times New Roman" w:eastAsia="Times New Roman" w:hAnsi="Times New Roman" w:cs="Times New Roman"/>
                <w:kern w:val="0"/>
                <w:sz w:val="24"/>
                <w:szCs w:val="24"/>
                <w14:ligatures w14:val="none"/>
              </w:rPr>
            </w:pPr>
          </w:p>
        </w:tc>
        <w:tc>
          <w:tcPr>
            <w:tcW w:w="2610" w:type="dxa"/>
            <w:vAlign w:val="center"/>
          </w:tcPr>
          <w:p w14:paraId="59E2190A" w14:textId="550806B4"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Class weighting</w:t>
            </w:r>
          </w:p>
        </w:tc>
        <w:tc>
          <w:tcPr>
            <w:tcW w:w="3060" w:type="dxa"/>
            <w:vAlign w:val="center"/>
          </w:tcPr>
          <w:p w14:paraId="51E767CD" w14:textId="2FF60953" w:rsidR="00D14EAC" w:rsidRPr="00F55CC5" w:rsidRDefault="00D14EAC" w:rsidP="00F55CC5">
            <w:pPr>
              <w:widowControl/>
              <w:wordWrap/>
              <w:autoSpaceDE/>
              <w:autoSpaceDN/>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F55CC5">
              <w:rPr>
                <w:rFonts w:ascii="Times New Roman" w:eastAsia="Times New Roman" w:hAnsi="Times New Roman" w:cs="Times New Roman"/>
                <w:kern w:val="0"/>
                <w:sz w:val="24"/>
                <w:szCs w:val="24"/>
                <w14:ligatures w14:val="none"/>
              </w:rPr>
              <w:t>Applied</w:t>
            </w:r>
          </w:p>
        </w:tc>
      </w:tr>
    </w:tbl>
    <w:p w14:paraId="617F023C" w14:textId="77777777" w:rsidR="00F55CC5" w:rsidRDefault="00F55CC5" w:rsidP="00205FAF">
      <w:pPr>
        <w:rPr>
          <w:rStyle w:val="Strong"/>
          <w:rFonts w:ascii="Times New Roman" w:eastAsia="Times New Roman" w:hAnsi="Times New Roman" w:cs="Times New Roman"/>
          <w:kern w:val="0"/>
          <w:sz w:val="24"/>
          <w:szCs w:val="24"/>
          <w14:ligatures w14:val="none"/>
        </w:rPr>
      </w:pPr>
    </w:p>
    <w:p w14:paraId="2E5330B1" w14:textId="0D49348A" w:rsidR="00866518" w:rsidRDefault="00866518" w:rsidP="00205FAF">
      <w:pPr>
        <w:rPr>
          <w:rStyle w:val="Strong"/>
          <w:rFonts w:ascii="Times New Roman" w:eastAsia="Times New Roman" w:hAnsi="Times New Roman" w:cs="Times New Roman"/>
          <w:kern w:val="0"/>
          <w:sz w:val="24"/>
          <w:szCs w:val="24"/>
          <w14:ligatures w14:val="none"/>
        </w:rPr>
      </w:pPr>
      <w:r>
        <w:rPr>
          <w:rStyle w:val="Strong"/>
          <w:rFonts w:ascii="Times New Roman" w:eastAsia="Times New Roman" w:hAnsi="Times New Roman" w:cs="Times New Roman"/>
          <w:kern w:val="0"/>
          <w:sz w:val="24"/>
          <w:szCs w:val="24"/>
          <w14:ligatures w14:val="none"/>
        </w:rPr>
        <w:t xml:space="preserve">References </w:t>
      </w:r>
    </w:p>
    <w:p w14:paraId="10B57116" w14:textId="77777777" w:rsidR="00CB16FE" w:rsidRPr="00CB16FE" w:rsidRDefault="00866518" w:rsidP="00CB16FE">
      <w:pPr>
        <w:pStyle w:val="Bibliography"/>
        <w:rPr>
          <w:rFonts w:ascii="Times New Roman" w:hAnsi="Times New Roman" w:cs="Times New Roman"/>
          <w:sz w:val="24"/>
        </w:rPr>
      </w:pPr>
      <w:r>
        <w:rPr>
          <w:b/>
          <w:bCs/>
        </w:rPr>
        <w:fldChar w:fldCharType="begin"/>
      </w:r>
      <w:r w:rsidR="00CB16FE">
        <w:rPr>
          <w:b/>
          <w:bCs/>
        </w:rPr>
        <w:instrText xml:space="preserve"> ADDIN ZOTERO_BIBL {"uncited":[],"omitted":[],"custom":[]} CSL_BIBLIOGRAPHY </w:instrText>
      </w:r>
      <w:r>
        <w:rPr>
          <w:b/>
          <w:bCs/>
        </w:rPr>
        <w:fldChar w:fldCharType="separate"/>
      </w:r>
      <w:r w:rsidR="00CB16FE" w:rsidRPr="00CB16FE">
        <w:rPr>
          <w:rFonts w:ascii="Times New Roman" w:hAnsi="Times New Roman" w:cs="Times New Roman"/>
          <w:sz w:val="24"/>
        </w:rPr>
        <w:t>(1)</w:t>
      </w:r>
      <w:r w:rsidR="00CB16FE" w:rsidRPr="00CB16FE">
        <w:rPr>
          <w:rFonts w:ascii="Times New Roman" w:hAnsi="Times New Roman" w:cs="Times New Roman"/>
          <w:sz w:val="24"/>
        </w:rPr>
        <w:tab/>
        <w:t xml:space="preserve">Wilm, A.; Norinder, U.; Agea, M. I.; de Bruyn Kops, C.; Stork, C.; Kühnl, J.; Kirchmair, J. Skin Doctor CP: Conformal Prediction of the Skin Sensitization Potential of Small Organic Molecules. </w:t>
      </w:r>
      <w:r w:rsidR="00CB16FE" w:rsidRPr="00CB16FE">
        <w:rPr>
          <w:rFonts w:ascii="Times New Roman" w:hAnsi="Times New Roman" w:cs="Times New Roman"/>
          <w:i/>
          <w:iCs/>
          <w:sz w:val="24"/>
        </w:rPr>
        <w:t>Chem. Res. Toxicol.</w:t>
      </w:r>
      <w:r w:rsidR="00CB16FE" w:rsidRPr="00CB16FE">
        <w:rPr>
          <w:rFonts w:ascii="Times New Roman" w:hAnsi="Times New Roman" w:cs="Times New Roman"/>
          <w:sz w:val="24"/>
        </w:rPr>
        <w:t xml:space="preserve"> </w:t>
      </w:r>
      <w:r w:rsidR="00CB16FE" w:rsidRPr="00CB16FE">
        <w:rPr>
          <w:rFonts w:ascii="Times New Roman" w:hAnsi="Times New Roman" w:cs="Times New Roman"/>
          <w:b/>
          <w:bCs/>
          <w:sz w:val="24"/>
        </w:rPr>
        <w:t>2021</w:t>
      </w:r>
      <w:r w:rsidR="00CB16FE" w:rsidRPr="00CB16FE">
        <w:rPr>
          <w:rFonts w:ascii="Times New Roman" w:hAnsi="Times New Roman" w:cs="Times New Roman"/>
          <w:sz w:val="24"/>
        </w:rPr>
        <w:t xml:space="preserve">, </w:t>
      </w:r>
      <w:r w:rsidR="00CB16FE" w:rsidRPr="00CB16FE">
        <w:rPr>
          <w:rFonts w:ascii="Times New Roman" w:hAnsi="Times New Roman" w:cs="Times New Roman"/>
          <w:i/>
          <w:iCs/>
          <w:sz w:val="24"/>
        </w:rPr>
        <w:t>34</w:t>
      </w:r>
      <w:r w:rsidR="00CB16FE" w:rsidRPr="00CB16FE">
        <w:rPr>
          <w:rFonts w:ascii="Times New Roman" w:hAnsi="Times New Roman" w:cs="Times New Roman"/>
          <w:sz w:val="24"/>
        </w:rPr>
        <w:t xml:space="preserve"> (2), 330–344. https://doi.org/10.1021/acs.chemrestox.0c00253.</w:t>
      </w:r>
    </w:p>
    <w:p w14:paraId="1BC00D98"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(2)</w:t>
      </w:r>
      <w:r w:rsidRPr="00CB16FE">
        <w:rPr>
          <w:rFonts w:ascii="Times New Roman" w:hAnsi="Times New Roman" w:cs="Times New Roman"/>
          <w:sz w:val="24"/>
        </w:rPr>
        <w:tab/>
        <w:t xml:space="preserve">Wang, Z.; Zhao, P.; Zhang, X.; Xu, X.; Li, W.; Liu, G.; Tang, Y. In Silico Prediction of Chemical Respiratory Toxicity via Machine Learning. </w:t>
      </w:r>
      <w:r w:rsidRPr="00CB16FE">
        <w:rPr>
          <w:rFonts w:ascii="Times New Roman" w:hAnsi="Times New Roman" w:cs="Times New Roman"/>
          <w:i/>
          <w:iCs/>
          <w:sz w:val="24"/>
        </w:rPr>
        <w:t>Computational Toxicology</w:t>
      </w:r>
      <w:r w:rsidRPr="00CB16FE">
        <w:rPr>
          <w:rFonts w:ascii="Times New Roman" w:hAnsi="Times New Roman" w:cs="Times New Roman"/>
          <w:sz w:val="24"/>
        </w:rPr>
        <w:t xml:space="preserve"> </w:t>
      </w:r>
      <w:r w:rsidRPr="00CB16FE">
        <w:rPr>
          <w:rFonts w:ascii="Times New Roman" w:hAnsi="Times New Roman" w:cs="Times New Roman"/>
          <w:b/>
          <w:bCs/>
          <w:sz w:val="24"/>
        </w:rPr>
        <w:t>2021</w:t>
      </w:r>
      <w:r w:rsidRPr="00CB16FE">
        <w:rPr>
          <w:rFonts w:ascii="Times New Roman" w:hAnsi="Times New Roman" w:cs="Times New Roman"/>
          <w:sz w:val="24"/>
        </w:rPr>
        <w:t xml:space="preserve">, </w:t>
      </w:r>
      <w:r w:rsidRPr="00CB16FE">
        <w:rPr>
          <w:rFonts w:ascii="Times New Roman" w:hAnsi="Times New Roman" w:cs="Times New Roman"/>
          <w:i/>
          <w:iCs/>
          <w:sz w:val="24"/>
        </w:rPr>
        <w:t>18</w:t>
      </w:r>
      <w:r w:rsidRPr="00CB16FE">
        <w:rPr>
          <w:rFonts w:ascii="Times New Roman" w:hAnsi="Times New Roman" w:cs="Times New Roman"/>
          <w:sz w:val="24"/>
        </w:rPr>
        <w:t>, 100155. https://doi.org/10.1016/j.comtox.2021.100155.</w:t>
      </w:r>
    </w:p>
    <w:p w14:paraId="31D64754"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(3)</w:t>
      </w:r>
      <w:r w:rsidRPr="00CB16FE">
        <w:rPr>
          <w:rFonts w:ascii="Times New Roman" w:hAnsi="Times New Roman" w:cs="Times New Roman"/>
          <w:sz w:val="24"/>
        </w:rPr>
        <w:tab/>
        <w:t xml:space="preserve">Sankar Borah, G.; Nagamani, S. Development of a Robust Machine Learning Model for Ames Test Outcome Prediction. </w:t>
      </w:r>
      <w:r w:rsidRPr="00CB16FE">
        <w:rPr>
          <w:rFonts w:ascii="Times New Roman" w:hAnsi="Times New Roman" w:cs="Times New Roman"/>
          <w:i/>
          <w:iCs/>
          <w:sz w:val="24"/>
        </w:rPr>
        <w:t>Chemical Physics Letters</w:t>
      </w:r>
      <w:r w:rsidRPr="00CB16FE">
        <w:rPr>
          <w:rFonts w:ascii="Times New Roman" w:hAnsi="Times New Roman" w:cs="Times New Roman"/>
          <w:sz w:val="24"/>
        </w:rPr>
        <w:t xml:space="preserve"> </w:t>
      </w:r>
      <w:r w:rsidRPr="00CB16FE">
        <w:rPr>
          <w:rFonts w:ascii="Times New Roman" w:hAnsi="Times New Roman" w:cs="Times New Roman"/>
          <w:b/>
          <w:bCs/>
          <w:sz w:val="24"/>
        </w:rPr>
        <w:t>2024</w:t>
      </w:r>
      <w:r w:rsidRPr="00CB16FE">
        <w:rPr>
          <w:rFonts w:ascii="Times New Roman" w:hAnsi="Times New Roman" w:cs="Times New Roman"/>
          <w:sz w:val="24"/>
        </w:rPr>
        <w:t xml:space="preserve">, </w:t>
      </w:r>
      <w:r w:rsidRPr="00CB16FE">
        <w:rPr>
          <w:rFonts w:ascii="Times New Roman" w:hAnsi="Times New Roman" w:cs="Times New Roman"/>
          <w:i/>
          <w:iCs/>
          <w:sz w:val="24"/>
        </w:rPr>
        <w:t>856</w:t>
      </w:r>
      <w:r w:rsidRPr="00CB16FE">
        <w:rPr>
          <w:rFonts w:ascii="Times New Roman" w:hAnsi="Times New Roman" w:cs="Times New Roman"/>
          <w:sz w:val="24"/>
        </w:rPr>
        <w:t>, 141663. https://doi.org/10.1016/j.cplett.2024.141663.</w:t>
      </w:r>
    </w:p>
    <w:p w14:paraId="047B2375"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(4)</w:t>
      </w:r>
      <w:r w:rsidRPr="00CB16FE">
        <w:rPr>
          <w:rFonts w:ascii="Times New Roman" w:hAnsi="Times New Roman" w:cs="Times New Roman"/>
          <w:sz w:val="24"/>
        </w:rPr>
        <w:tab/>
        <w:t xml:space="preserve">Liew, C. Y.; Lim, Y. C.; Yap, C. W. Mixed Learning Algorithms and Features Ensemble in Hepatotoxicity Prediction. </w:t>
      </w:r>
      <w:r w:rsidRPr="00CB16FE">
        <w:rPr>
          <w:rFonts w:ascii="Times New Roman" w:hAnsi="Times New Roman" w:cs="Times New Roman"/>
          <w:i/>
          <w:iCs/>
          <w:sz w:val="24"/>
        </w:rPr>
        <w:t>J Comput Aided Mol Des</w:t>
      </w:r>
      <w:r w:rsidRPr="00CB16FE">
        <w:rPr>
          <w:rFonts w:ascii="Times New Roman" w:hAnsi="Times New Roman" w:cs="Times New Roman"/>
          <w:sz w:val="24"/>
        </w:rPr>
        <w:t xml:space="preserve"> </w:t>
      </w:r>
      <w:r w:rsidRPr="00CB16FE">
        <w:rPr>
          <w:rFonts w:ascii="Times New Roman" w:hAnsi="Times New Roman" w:cs="Times New Roman"/>
          <w:b/>
          <w:bCs/>
          <w:sz w:val="24"/>
        </w:rPr>
        <w:t>2011</w:t>
      </w:r>
      <w:r w:rsidRPr="00CB16FE">
        <w:rPr>
          <w:rFonts w:ascii="Times New Roman" w:hAnsi="Times New Roman" w:cs="Times New Roman"/>
          <w:sz w:val="24"/>
        </w:rPr>
        <w:t xml:space="preserve">, </w:t>
      </w:r>
      <w:r w:rsidRPr="00CB16FE">
        <w:rPr>
          <w:rFonts w:ascii="Times New Roman" w:hAnsi="Times New Roman" w:cs="Times New Roman"/>
          <w:i/>
          <w:iCs/>
          <w:sz w:val="24"/>
        </w:rPr>
        <w:t>25</w:t>
      </w:r>
      <w:r w:rsidRPr="00CB16FE">
        <w:rPr>
          <w:rFonts w:ascii="Times New Roman" w:hAnsi="Times New Roman" w:cs="Times New Roman"/>
          <w:sz w:val="24"/>
        </w:rPr>
        <w:t xml:space="preserve"> (9), 855–871. https://doi.org/10.1007/s10822-011-9468-3.</w:t>
      </w:r>
    </w:p>
    <w:p w14:paraId="030BECFD"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(5)</w:t>
      </w:r>
      <w:r w:rsidRPr="00CB16FE">
        <w:rPr>
          <w:rFonts w:ascii="Times New Roman" w:hAnsi="Times New Roman" w:cs="Times New Roman"/>
          <w:sz w:val="24"/>
        </w:rPr>
        <w:tab/>
        <w:t xml:space="preserve">Cassano, A.; Manganaro, A.; Martin, T.; Young, D.; Piclin, N.; Pintore, M.; Bigoni, D.; Benfenati, E. CAESAR Models for Developmental Toxicity. </w:t>
      </w:r>
      <w:r w:rsidRPr="00CB16FE">
        <w:rPr>
          <w:rFonts w:ascii="Times New Roman" w:hAnsi="Times New Roman" w:cs="Times New Roman"/>
          <w:i/>
          <w:iCs/>
          <w:sz w:val="24"/>
        </w:rPr>
        <w:t>Chem Cent J</w:t>
      </w:r>
      <w:r w:rsidRPr="00CB16FE">
        <w:rPr>
          <w:rFonts w:ascii="Times New Roman" w:hAnsi="Times New Roman" w:cs="Times New Roman"/>
          <w:sz w:val="24"/>
        </w:rPr>
        <w:t xml:space="preserve"> </w:t>
      </w:r>
      <w:r w:rsidRPr="00CB16FE">
        <w:rPr>
          <w:rFonts w:ascii="Times New Roman" w:hAnsi="Times New Roman" w:cs="Times New Roman"/>
          <w:b/>
          <w:bCs/>
          <w:sz w:val="24"/>
        </w:rPr>
        <w:t>2010</w:t>
      </w:r>
      <w:r w:rsidRPr="00CB16FE">
        <w:rPr>
          <w:rFonts w:ascii="Times New Roman" w:hAnsi="Times New Roman" w:cs="Times New Roman"/>
          <w:sz w:val="24"/>
        </w:rPr>
        <w:t xml:space="preserve">, </w:t>
      </w:r>
      <w:r w:rsidRPr="00CB16FE">
        <w:rPr>
          <w:rFonts w:ascii="Times New Roman" w:hAnsi="Times New Roman" w:cs="Times New Roman"/>
          <w:i/>
          <w:iCs/>
          <w:sz w:val="24"/>
        </w:rPr>
        <w:t>4</w:t>
      </w:r>
      <w:r w:rsidRPr="00CB16FE">
        <w:rPr>
          <w:rFonts w:ascii="Times New Roman" w:hAnsi="Times New Roman" w:cs="Times New Roman"/>
          <w:sz w:val="24"/>
        </w:rPr>
        <w:t xml:space="preserve"> (Suppl 1), S4. https://doi.org/10.1186/1752-153X-4-S1-S4.</w:t>
      </w:r>
    </w:p>
    <w:p w14:paraId="7B8F6333"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(6)</w:t>
      </w:r>
      <w:r w:rsidRPr="00CB16FE">
        <w:rPr>
          <w:rFonts w:ascii="Times New Roman" w:hAnsi="Times New Roman" w:cs="Times New Roman"/>
          <w:sz w:val="24"/>
        </w:rPr>
        <w:tab/>
        <w:t xml:space="preserve">Karim, A.; Lee, M.; Balle, T.; Sattar, A. CardioTox Net: A Robust Predictor for hERG Channel Blockade Based on Deep Learning Meta-Feature Ensembles. </w:t>
      </w:r>
      <w:r w:rsidRPr="00CB16FE">
        <w:rPr>
          <w:rFonts w:ascii="Times New Roman" w:hAnsi="Times New Roman" w:cs="Times New Roman"/>
          <w:i/>
          <w:iCs/>
          <w:sz w:val="24"/>
        </w:rPr>
        <w:t>J Cheminform</w:t>
      </w:r>
      <w:r w:rsidRPr="00CB16FE">
        <w:rPr>
          <w:rFonts w:ascii="Times New Roman" w:hAnsi="Times New Roman" w:cs="Times New Roman"/>
          <w:sz w:val="24"/>
        </w:rPr>
        <w:t xml:space="preserve"> </w:t>
      </w:r>
      <w:r w:rsidRPr="00CB16FE">
        <w:rPr>
          <w:rFonts w:ascii="Times New Roman" w:hAnsi="Times New Roman" w:cs="Times New Roman"/>
          <w:b/>
          <w:bCs/>
          <w:sz w:val="24"/>
        </w:rPr>
        <w:t>2021</w:t>
      </w:r>
      <w:r w:rsidRPr="00CB16FE">
        <w:rPr>
          <w:rFonts w:ascii="Times New Roman" w:hAnsi="Times New Roman" w:cs="Times New Roman"/>
          <w:sz w:val="24"/>
        </w:rPr>
        <w:t xml:space="preserve">, </w:t>
      </w:r>
      <w:r w:rsidRPr="00CB16FE">
        <w:rPr>
          <w:rFonts w:ascii="Times New Roman" w:hAnsi="Times New Roman" w:cs="Times New Roman"/>
          <w:i/>
          <w:iCs/>
          <w:sz w:val="24"/>
        </w:rPr>
        <w:t>13</w:t>
      </w:r>
      <w:r w:rsidRPr="00CB16FE">
        <w:rPr>
          <w:rFonts w:ascii="Times New Roman" w:hAnsi="Times New Roman" w:cs="Times New Roman"/>
          <w:sz w:val="24"/>
        </w:rPr>
        <w:t xml:space="preserve"> (1), 60. https://doi.org/10.1186/s13321-021-00541-z.</w:t>
      </w:r>
    </w:p>
    <w:p w14:paraId="46DD8BB2"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(7)</w:t>
      </w:r>
      <w:r w:rsidRPr="00CB16FE">
        <w:rPr>
          <w:rFonts w:ascii="Times New Roman" w:hAnsi="Times New Roman" w:cs="Times New Roman"/>
          <w:sz w:val="24"/>
        </w:rPr>
        <w:tab/>
        <w:t xml:space="preserve">Gong, Y.; Teng, D.; Wang, Y.; Gu, Y.; Wu, Z.; Li, W.; Tang, Y.; Liu, G. In Silico Prediction of Potential Drug-Induced Nephrotoxicity with Machine Learning Methods. </w:t>
      </w:r>
      <w:r w:rsidRPr="00CB16FE">
        <w:rPr>
          <w:rFonts w:ascii="Times New Roman" w:hAnsi="Times New Roman" w:cs="Times New Roman"/>
          <w:i/>
          <w:iCs/>
          <w:sz w:val="24"/>
        </w:rPr>
        <w:t>Journal of Applied Toxicology</w:t>
      </w:r>
      <w:r w:rsidRPr="00CB16FE">
        <w:rPr>
          <w:rFonts w:ascii="Times New Roman" w:hAnsi="Times New Roman" w:cs="Times New Roman"/>
          <w:sz w:val="24"/>
        </w:rPr>
        <w:t xml:space="preserve"> </w:t>
      </w:r>
      <w:r w:rsidRPr="00CB16FE">
        <w:rPr>
          <w:rFonts w:ascii="Times New Roman" w:hAnsi="Times New Roman" w:cs="Times New Roman"/>
          <w:b/>
          <w:bCs/>
          <w:sz w:val="24"/>
        </w:rPr>
        <w:t>2022</w:t>
      </w:r>
      <w:r w:rsidRPr="00CB16FE">
        <w:rPr>
          <w:rFonts w:ascii="Times New Roman" w:hAnsi="Times New Roman" w:cs="Times New Roman"/>
          <w:sz w:val="24"/>
        </w:rPr>
        <w:t xml:space="preserve">, </w:t>
      </w:r>
      <w:r w:rsidRPr="00CB16FE">
        <w:rPr>
          <w:rFonts w:ascii="Times New Roman" w:hAnsi="Times New Roman" w:cs="Times New Roman"/>
          <w:i/>
          <w:iCs/>
          <w:sz w:val="24"/>
        </w:rPr>
        <w:t>42</w:t>
      </w:r>
      <w:r w:rsidRPr="00CB16FE">
        <w:rPr>
          <w:rFonts w:ascii="Times New Roman" w:hAnsi="Times New Roman" w:cs="Times New Roman"/>
          <w:sz w:val="24"/>
        </w:rPr>
        <w:t xml:space="preserve"> (10), 1639–1650. https://doi.org/10.1002/jat.4331.</w:t>
      </w:r>
    </w:p>
    <w:p w14:paraId="3C451949"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(8)</w:t>
      </w:r>
      <w:r w:rsidRPr="00CB16FE">
        <w:rPr>
          <w:rFonts w:ascii="Times New Roman" w:hAnsi="Times New Roman" w:cs="Times New Roman"/>
          <w:sz w:val="24"/>
        </w:rPr>
        <w:tab/>
        <w:t xml:space="preserve">Zhao, X.; Sun, Y.; Zhang, R.; Chen, Z.; Hua, Y.; Zhang, P.; Guo, H.; Cui, X.; Huang, X.; Li, X. Machine Learning Modeling and Insights into the Structural Characteristics of Drug-Induced Neurotoxicity. </w:t>
      </w:r>
      <w:r w:rsidRPr="00CB16FE">
        <w:rPr>
          <w:rFonts w:ascii="Times New Roman" w:hAnsi="Times New Roman" w:cs="Times New Roman"/>
          <w:i/>
          <w:iCs/>
          <w:sz w:val="24"/>
        </w:rPr>
        <w:t>J. Chem. Inf. Model.</w:t>
      </w:r>
      <w:r w:rsidRPr="00CB16FE">
        <w:rPr>
          <w:rFonts w:ascii="Times New Roman" w:hAnsi="Times New Roman" w:cs="Times New Roman"/>
          <w:sz w:val="24"/>
        </w:rPr>
        <w:t xml:space="preserve"> </w:t>
      </w:r>
      <w:r w:rsidRPr="00CB16FE">
        <w:rPr>
          <w:rFonts w:ascii="Times New Roman" w:hAnsi="Times New Roman" w:cs="Times New Roman"/>
          <w:b/>
          <w:bCs/>
          <w:sz w:val="24"/>
        </w:rPr>
        <w:t>2022</w:t>
      </w:r>
      <w:r w:rsidRPr="00CB16FE">
        <w:rPr>
          <w:rFonts w:ascii="Times New Roman" w:hAnsi="Times New Roman" w:cs="Times New Roman"/>
          <w:sz w:val="24"/>
        </w:rPr>
        <w:t xml:space="preserve">, </w:t>
      </w:r>
      <w:r w:rsidRPr="00CB16FE">
        <w:rPr>
          <w:rFonts w:ascii="Times New Roman" w:hAnsi="Times New Roman" w:cs="Times New Roman"/>
          <w:i/>
          <w:iCs/>
          <w:sz w:val="24"/>
        </w:rPr>
        <w:t>62</w:t>
      </w:r>
      <w:r w:rsidRPr="00CB16FE">
        <w:rPr>
          <w:rFonts w:ascii="Times New Roman" w:hAnsi="Times New Roman" w:cs="Times New Roman"/>
          <w:sz w:val="24"/>
        </w:rPr>
        <w:t xml:space="preserve"> (23), 6035–6045. https://doi.org/10.1021/acs.jcim.2c01131.</w:t>
      </w:r>
    </w:p>
    <w:p w14:paraId="41E7D565"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(9)</w:t>
      </w:r>
      <w:r w:rsidRPr="00CB16FE">
        <w:rPr>
          <w:rFonts w:ascii="Times New Roman" w:hAnsi="Times New Roman" w:cs="Times New Roman"/>
          <w:sz w:val="24"/>
        </w:rPr>
        <w:tab/>
        <w:t xml:space="preserve">Bento, A. P.; Hersey, A.; Félix, E.; Landrum, G.; Gaulton, A.; Atkinson, F.; Bellis, L. J.; De Veij, M.; Leach, A. R. An Open Source Chemical Structure Curation Pipeline Using RDKit. </w:t>
      </w:r>
      <w:r w:rsidRPr="00CB16FE">
        <w:rPr>
          <w:rFonts w:ascii="Times New Roman" w:hAnsi="Times New Roman" w:cs="Times New Roman"/>
          <w:i/>
          <w:iCs/>
          <w:sz w:val="24"/>
        </w:rPr>
        <w:t>J Cheminform</w:t>
      </w:r>
      <w:r w:rsidRPr="00CB16FE">
        <w:rPr>
          <w:rFonts w:ascii="Times New Roman" w:hAnsi="Times New Roman" w:cs="Times New Roman"/>
          <w:sz w:val="24"/>
        </w:rPr>
        <w:t xml:space="preserve"> </w:t>
      </w:r>
      <w:r w:rsidRPr="00CB16FE">
        <w:rPr>
          <w:rFonts w:ascii="Times New Roman" w:hAnsi="Times New Roman" w:cs="Times New Roman"/>
          <w:b/>
          <w:bCs/>
          <w:sz w:val="24"/>
        </w:rPr>
        <w:t>2020</w:t>
      </w:r>
      <w:r w:rsidRPr="00CB16FE">
        <w:rPr>
          <w:rFonts w:ascii="Times New Roman" w:hAnsi="Times New Roman" w:cs="Times New Roman"/>
          <w:sz w:val="24"/>
        </w:rPr>
        <w:t xml:space="preserve">, </w:t>
      </w:r>
      <w:r w:rsidRPr="00CB16FE">
        <w:rPr>
          <w:rFonts w:ascii="Times New Roman" w:hAnsi="Times New Roman" w:cs="Times New Roman"/>
          <w:i/>
          <w:iCs/>
          <w:sz w:val="24"/>
        </w:rPr>
        <w:t>12</w:t>
      </w:r>
      <w:r w:rsidRPr="00CB16FE">
        <w:rPr>
          <w:rFonts w:ascii="Times New Roman" w:hAnsi="Times New Roman" w:cs="Times New Roman"/>
          <w:sz w:val="24"/>
        </w:rPr>
        <w:t xml:space="preserve"> (1), 51. https://doi.org/10.1186/s13321-020-00456-1.</w:t>
      </w:r>
    </w:p>
    <w:p w14:paraId="75F24F4B"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(10)</w:t>
      </w:r>
      <w:r w:rsidRPr="00CB16FE">
        <w:rPr>
          <w:rFonts w:ascii="Times New Roman" w:hAnsi="Times New Roman" w:cs="Times New Roman"/>
          <w:sz w:val="24"/>
        </w:rPr>
        <w:tab/>
        <w:t xml:space="preserve">Sieg, J.; Feldmann, C. W.; Hemmerich, J.; Stork, C.; Sandfort, F.; Eiden, P.; Mathea, M. MolPipeline: A Python Package for Processing Molecules with RDKit in Scikit-Learn. </w:t>
      </w:r>
      <w:r w:rsidRPr="00CB16FE">
        <w:rPr>
          <w:rFonts w:ascii="Times New Roman" w:hAnsi="Times New Roman" w:cs="Times New Roman"/>
          <w:i/>
          <w:iCs/>
          <w:sz w:val="24"/>
        </w:rPr>
        <w:t>J. Chem. Inf. Model.</w:t>
      </w:r>
      <w:r w:rsidRPr="00CB16FE">
        <w:rPr>
          <w:rFonts w:ascii="Times New Roman" w:hAnsi="Times New Roman" w:cs="Times New Roman"/>
          <w:sz w:val="24"/>
        </w:rPr>
        <w:t xml:space="preserve"> </w:t>
      </w:r>
      <w:r w:rsidRPr="00CB16FE">
        <w:rPr>
          <w:rFonts w:ascii="Times New Roman" w:hAnsi="Times New Roman" w:cs="Times New Roman"/>
          <w:b/>
          <w:bCs/>
          <w:sz w:val="24"/>
        </w:rPr>
        <w:t>2024</w:t>
      </w:r>
      <w:r w:rsidRPr="00CB16FE">
        <w:rPr>
          <w:rFonts w:ascii="Times New Roman" w:hAnsi="Times New Roman" w:cs="Times New Roman"/>
          <w:sz w:val="24"/>
        </w:rPr>
        <w:t xml:space="preserve">, </w:t>
      </w:r>
      <w:r w:rsidRPr="00CB16FE">
        <w:rPr>
          <w:rFonts w:ascii="Times New Roman" w:hAnsi="Times New Roman" w:cs="Times New Roman"/>
          <w:i/>
          <w:iCs/>
          <w:sz w:val="24"/>
        </w:rPr>
        <w:t>64</w:t>
      </w:r>
      <w:r w:rsidRPr="00CB16FE">
        <w:rPr>
          <w:rFonts w:ascii="Times New Roman" w:hAnsi="Times New Roman" w:cs="Times New Roman"/>
          <w:sz w:val="24"/>
        </w:rPr>
        <w:t xml:space="preserve"> (24), 9027–9033. https://doi.org/10.1021/acs.jcim.4c00863.</w:t>
      </w:r>
    </w:p>
    <w:p w14:paraId="6BD8D4A6"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(11)</w:t>
      </w:r>
      <w:r w:rsidRPr="00CB16FE">
        <w:rPr>
          <w:rFonts w:ascii="Times New Roman" w:hAnsi="Times New Roman" w:cs="Times New Roman"/>
          <w:sz w:val="24"/>
        </w:rPr>
        <w:tab/>
        <w:t xml:space="preserve">Lovrić, M.; Molero, J. M.; Kern, R. PySpark and RDKit: Moving towards Big Data in Cheminformatics. </w:t>
      </w:r>
      <w:r w:rsidRPr="00CB16FE">
        <w:rPr>
          <w:rFonts w:ascii="Times New Roman" w:hAnsi="Times New Roman" w:cs="Times New Roman"/>
          <w:i/>
          <w:iCs/>
          <w:sz w:val="24"/>
        </w:rPr>
        <w:t>Molecular Informatics</w:t>
      </w:r>
      <w:r w:rsidRPr="00CB16FE">
        <w:rPr>
          <w:rFonts w:ascii="Times New Roman" w:hAnsi="Times New Roman" w:cs="Times New Roman"/>
          <w:sz w:val="24"/>
        </w:rPr>
        <w:t xml:space="preserve"> </w:t>
      </w:r>
      <w:r w:rsidRPr="00CB16FE">
        <w:rPr>
          <w:rFonts w:ascii="Times New Roman" w:hAnsi="Times New Roman" w:cs="Times New Roman"/>
          <w:b/>
          <w:bCs/>
          <w:sz w:val="24"/>
        </w:rPr>
        <w:t>2019</w:t>
      </w:r>
      <w:r w:rsidRPr="00CB16FE">
        <w:rPr>
          <w:rFonts w:ascii="Times New Roman" w:hAnsi="Times New Roman" w:cs="Times New Roman"/>
          <w:sz w:val="24"/>
        </w:rPr>
        <w:t xml:space="preserve">, </w:t>
      </w:r>
      <w:r w:rsidRPr="00CB16FE">
        <w:rPr>
          <w:rFonts w:ascii="Times New Roman" w:hAnsi="Times New Roman" w:cs="Times New Roman"/>
          <w:i/>
          <w:iCs/>
          <w:sz w:val="24"/>
        </w:rPr>
        <w:t>38</w:t>
      </w:r>
      <w:r w:rsidRPr="00CB16FE">
        <w:rPr>
          <w:rFonts w:ascii="Times New Roman" w:hAnsi="Times New Roman" w:cs="Times New Roman"/>
          <w:sz w:val="24"/>
        </w:rPr>
        <w:t xml:space="preserve"> (6), 1800082. https://doi.org/10.1002/minf.201800082.</w:t>
      </w:r>
    </w:p>
    <w:p w14:paraId="7862CD6D"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(12)</w:t>
      </w:r>
      <w:r w:rsidRPr="00CB16FE">
        <w:rPr>
          <w:rFonts w:ascii="Times New Roman" w:hAnsi="Times New Roman" w:cs="Times New Roman"/>
          <w:sz w:val="24"/>
        </w:rPr>
        <w:tab/>
        <w:t xml:space="preserve">Steinbeck, C.; Hoppe, C.; Kuhn, S.; Floris, M.; Guha, R.; Willighagen, E. L. Recent Developments of the Chemistry Development Kit (CDK) - An Open-Source Java Library for Chemo- and Bioinformatics. </w:t>
      </w:r>
      <w:r w:rsidRPr="00CB16FE">
        <w:rPr>
          <w:rFonts w:ascii="Times New Roman" w:hAnsi="Times New Roman" w:cs="Times New Roman"/>
          <w:i/>
          <w:iCs/>
          <w:sz w:val="24"/>
        </w:rPr>
        <w:t>Current Pharmaceutical Design</w:t>
      </w:r>
      <w:r w:rsidRPr="00CB16FE">
        <w:rPr>
          <w:rFonts w:ascii="Times New Roman" w:hAnsi="Times New Roman" w:cs="Times New Roman"/>
          <w:sz w:val="24"/>
        </w:rPr>
        <w:t xml:space="preserve"> </w:t>
      </w:r>
      <w:r w:rsidRPr="00CB16FE">
        <w:rPr>
          <w:rFonts w:ascii="Times New Roman" w:hAnsi="Times New Roman" w:cs="Times New Roman"/>
          <w:b/>
          <w:bCs/>
          <w:sz w:val="24"/>
        </w:rPr>
        <w:t>2006</w:t>
      </w:r>
      <w:r w:rsidRPr="00CB16FE">
        <w:rPr>
          <w:rFonts w:ascii="Times New Roman" w:hAnsi="Times New Roman" w:cs="Times New Roman"/>
          <w:sz w:val="24"/>
        </w:rPr>
        <w:t xml:space="preserve">, </w:t>
      </w:r>
      <w:r w:rsidRPr="00CB16FE">
        <w:rPr>
          <w:rFonts w:ascii="Times New Roman" w:hAnsi="Times New Roman" w:cs="Times New Roman"/>
          <w:i/>
          <w:iCs/>
          <w:sz w:val="24"/>
        </w:rPr>
        <w:t>12</w:t>
      </w:r>
      <w:r w:rsidRPr="00CB16FE">
        <w:rPr>
          <w:rFonts w:ascii="Times New Roman" w:hAnsi="Times New Roman" w:cs="Times New Roman"/>
          <w:sz w:val="24"/>
        </w:rPr>
        <w:t xml:space="preserve"> (17), 2111–2120. https://doi.org/10.2174/138161206777585274.</w:t>
      </w:r>
    </w:p>
    <w:p w14:paraId="016FC8CF" w14:textId="77777777" w:rsidR="00CB16FE" w:rsidRPr="00CB16FE" w:rsidRDefault="00CB16FE" w:rsidP="00CB16FE">
      <w:pPr>
        <w:pStyle w:val="Bibliography"/>
        <w:rPr>
          <w:rFonts w:ascii="Times New Roman" w:hAnsi="Times New Roman" w:cs="Times New Roman"/>
          <w:sz w:val="24"/>
        </w:rPr>
      </w:pPr>
      <w:r w:rsidRPr="00CB16FE">
        <w:rPr>
          <w:rFonts w:ascii="Times New Roman" w:hAnsi="Times New Roman" w:cs="Times New Roman"/>
          <w:sz w:val="24"/>
        </w:rPr>
        <w:t>(13)</w:t>
      </w:r>
      <w:r w:rsidRPr="00CB16FE">
        <w:rPr>
          <w:rFonts w:ascii="Times New Roman" w:hAnsi="Times New Roman" w:cs="Times New Roman"/>
          <w:sz w:val="24"/>
        </w:rPr>
        <w:tab/>
        <w:t xml:space="preserve">Willighagen, E. L.; Mayfield, J. W.; Alvarsson, J.; Berg, A.; Carlsson, L.; Jeliazkova, N.; Kuhn, S.; Pluskal, T.; Rojas-Chertó, M.; Spjuth, O.; Torrance, G.; Evelo, C. T.; Guha, R.; Steinbeck, C. The Chemistry Development Kit (CDK) v2.0: Atom Typing, Depiction, Molecular Formulas, and Substructure Searching. </w:t>
      </w:r>
      <w:r w:rsidRPr="00CB16FE">
        <w:rPr>
          <w:rFonts w:ascii="Times New Roman" w:hAnsi="Times New Roman" w:cs="Times New Roman"/>
          <w:i/>
          <w:iCs/>
          <w:sz w:val="24"/>
        </w:rPr>
        <w:t>J Cheminform</w:t>
      </w:r>
      <w:r w:rsidRPr="00CB16FE">
        <w:rPr>
          <w:rFonts w:ascii="Times New Roman" w:hAnsi="Times New Roman" w:cs="Times New Roman"/>
          <w:sz w:val="24"/>
        </w:rPr>
        <w:t xml:space="preserve"> </w:t>
      </w:r>
      <w:r w:rsidRPr="00CB16FE">
        <w:rPr>
          <w:rFonts w:ascii="Times New Roman" w:hAnsi="Times New Roman" w:cs="Times New Roman"/>
          <w:b/>
          <w:bCs/>
          <w:sz w:val="24"/>
        </w:rPr>
        <w:t>2017</w:t>
      </w:r>
      <w:r w:rsidRPr="00CB16FE">
        <w:rPr>
          <w:rFonts w:ascii="Times New Roman" w:hAnsi="Times New Roman" w:cs="Times New Roman"/>
          <w:sz w:val="24"/>
        </w:rPr>
        <w:t xml:space="preserve">, </w:t>
      </w:r>
      <w:r w:rsidRPr="00CB16FE">
        <w:rPr>
          <w:rFonts w:ascii="Times New Roman" w:hAnsi="Times New Roman" w:cs="Times New Roman"/>
          <w:i/>
          <w:iCs/>
          <w:sz w:val="24"/>
        </w:rPr>
        <w:t>9</w:t>
      </w:r>
      <w:r w:rsidRPr="00CB16FE">
        <w:rPr>
          <w:rFonts w:ascii="Times New Roman" w:hAnsi="Times New Roman" w:cs="Times New Roman"/>
          <w:sz w:val="24"/>
        </w:rPr>
        <w:t xml:space="preserve"> (1), 33. https://doi.org/10.1186/s13321-017-0220-4.</w:t>
      </w:r>
    </w:p>
    <w:p w14:paraId="23C76EC5" w14:textId="58400D73" w:rsidR="00866518" w:rsidRPr="00205FAF" w:rsidRDefault="00866518" w:rsidP="00205FAF">
      <w:pPr>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866518" w:rsidRPr="00205FAF" w:rsidSect="00641DE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E42BE"/>
    <w:multiLevelType w:val="hybridMultilevel"/>
    <w:tmpl w:val="E6C22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B6B2E"/>
    <w:multiLevelType w:val="hybridMultilevel"/>
    <w:tmpl w:val="3A121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946DD6"/>
    <w:multiLevelType w:val="multilevel"/>
    <w:tmpl w:val="F2EA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C6E84"/>
    <w:multiLevelType w:val="hybridMultilevel"/>
    <w:tmpl w:val="04408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9E7EC1"/>
    <w:multiLevelType w:val="hybridMultilevel"/>
    <w:tmpl w:val="0AF23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AF"/>
    <w:rsid w:val="000671CA"/>
    <w:rsid w:val="000A1A25"/>
    <w:rsid w:val="001026EC"/>
    <w:rsid w:val="00146AC7"/>
    <w:rsid w:val="00205FAF"/>
    <w:rsid w:val="00260E7A"/>
    <w:rsid w:val="002809F0"/>
    <w:rsid w:val="00286010"/>
    <w:rsid w:val="002E7E91"/>
    <w:rsid w:val="002F5C88"/>
    <w:rsid w:val="00371BE3"/>
    <w:rsid w:val="003A0A4A"/>
    <w:rsid w:val="003A3B21"/>
    <w:rsid w:val="00436120"/>
    <w:rsid w:val="004417AD"/>
    <w:rsid w:val="0046691D"/>
    <w:rsid w:val="0046756B"/>
    <w:rsid w:val="00536582"/>
    <w:rsid w:val="00582CE3"/>
    <w:rsid w:val="005D19CF"/>
    <w:rsid w:val="00600768"/>
    <w:rsid w:val="00641DEF"/>
    <w:rsid w:val="006D0EE4"/>
    <w:rsid w:val="006F5D59"/>
    <w:rsid w:val="006F7A11"/>
    <w:rsid w:val="00743BCC"/>
    <w:rsid w:val="00781E26"/>
    <w:rsid w:val="00866518"/>
    <w:rsid w:val="00872133"/>
    <w:rsid w:val="008C4DE8"/>
    <w:rsid w:val="009A0112"/>
    <w:rsid w:val="009B027F"/>
    <w:rsid w:val="009C2562"/>
    <w:rsid w:val="009D15CD"/>
    <w:rsid w:val="009E7418"/>
    <w:rsid w:val="009F430E"/>
    <w:rsid w:val="00A9298F"/>
    <w:rsid w:val="00B01144"/>
    <w:rsid w:val="00B02EA8"/>
    <w:rsid w:val="00B079ED"/>
    <w:rsid w:val="00BF0A45"/>
    <w:rsid w:val="00C2504A"/>
    <w:rsid w:val="00C25A01"/>
    <w:rsid w:val="00C35B64"/>
    <w:rsid w:val="00CA61A1"/>
    <w:rsid w:val="00CB16FE"/>
    <w:rsid w:val="00CC56E2"/>
    <w:rsid w:val="00D14EAC"/>
    <w:rsid w:val="00D64C61"/>
    <w:rsid w:val="00D65324"/>
    <w:rsid w:val="00D76014"/>
    <w:rsid w:val="00DA4A10"/>
    <w:rsid w:val="00DA65BD"/>
    <w:rsid w:val="00DE4CC1"/>
    <w:rsid w:val="00E21FE0"/>
    <w:rsid w:val="00E513EC"/>
    <w:rsid w:val="00E556CC"/>
    <w:rsid w:val="00EC37F4"/>
    <w:rsid w:val="00F55CC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1212"/>
  <w15:chartTrackingRefBased/>
  <w15:docId w15:val="{02F2C997-B162-4E00-B83F-C4AD636A8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518"/>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AuthorAddress">
    <w:name w:val="BC_Author_Address"/>
    <w:basedOn w:val="Normal"/>
    <w:next w:val="Normal"/>
    <w:rsid w:val="00205FAF"/>
    <w:pPr>
      <w:widowControl/>
      <w:wordWrap/>
      <w:autoSpaceDE/>
      <w:autoSpaceDN/>
      <w:spacing w:after="240" w:line="480" w:lineRule="auto"/>
      <w:jc w:val="center"/>
    </w:pPr>
    <w:rPr>
      <w:rFonts w:ascii="Times" w:eastAsia="Times New Roman" w:hAnsi="Times" w:cs="Times New Roman"/>
      <w:kern w:val="0"/>
      <w:sz w:val="24"/>
      <w:szCs w:val="20"/>
      <w:lang w:eastAsia="en-US"/>
      <w14:ligatures w14:val="none"/>
    </w:rPr>
  </w:style>
  <w:style w:type="character" w:styleId="Hyperlink">
    <w:name w:val="Hyperlink"/>
    <w:rsid w:val="00205FAF"/>
    <w:rPr>
      <w:color w:val="0000FF"/>
      <w:u w:val="single"/>
    </w:rPr>
  </w:style>
  <w:style w:type="paragraph" w:styleId="NormalWeb">
    <w:name w:val="Normal (Web)"/>
    <w:basedOn w:val="Normal"/>
    <w:uiPriority w:val="99"/>
    <w:unhideWhenUsed/>
    <w:rsid w:val="00E21FE0"/>
    <w:pPr>
      <w:widowControl/>
      <w:wordWrap/>
      <w:autoSpaceDE/>
      <w:autoSpaceDN/>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21FE0"/>
    <w:rPr>
      <w:b/>
      <w:bCs/>
    </w:rPr>
  </w:style>
  <w:style w:type="paragraph" w:styleId="ListParagraph">
    <w:name w:val="List Paragraph"/>
    <w:basedOn w:val="Normal"/>
    <w:uiPriority w:val="34"/>
    <w:qFormat/>
    <w:rsid w:val="006F7A11"/>
    <w:pPr>
      <w:ind w:left="720"/>
      <w:contextualSpacing/>
    </w:pPr>
  </w:style>
  <w:style w:type="paragraph" w:styleId="Bibliography">
    <w:name w:val="Bibliography"/>
    <w:basedOn w:val="Normal"/>
    <w:next w:val="Normal"/>
    <w:uiPriority w:val="37"/>
    <w:unhideWhenUsed/>
    <w:rsid w:val="00866518"/>
    <w:pPr>
      <w:tabs>
        <w:tab w:val="left" w:pos="504"/>
      </w:tabs>
      <w:spacing w:after="0" w:line="240" w:lineRule="auto"/>
      <w:ind w:left="504" w:hanging="504"/>
    </w:pPr>
  </w:style>
  <w:style w:type="table" w:styleId="PlainTable2">
    <w:name w:val="Plain Table 2"/>
    <w:basedOn w:val="TableNormal"/>
    <w:uiPriority w:val="42"/>
    <w:rsid w:val="00CC56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822541">
      <w:bodyDiv w:val="1"/>
      <w:marLeft w:val="0"/>
      <w:marRight w:val="0"/>
      <w:marTop w:val="0"/>
      <w:marBottom w:val="0"/>
      <w:divBdr>
        <w:top w:val="none" w:sz="0" w:space="0" w:color="auto"/>
        <w:left w:val="none" w:sz="0" w:space="0" w:color="auto"/>
        <w:bottom w:val="none" w:sz="0" w:space="0" w:color="auto"/>
        <w:right w:val="none" w:sz="0" w:space="0" w:color="auto"/>
      </w:divBdr>
    </w:div>
    <w:div w:id="1045443242">
      <w:bodyDiv w:val="1"/>
      <w:marLeft w:val="0"/>
      <w:marRight w:val="0"/>
      <w:marTop w:val="0"/>
      <w:marBottom w:val="0"/>
      <w:divBdr>
        <w:top w:val="none" w:sz="0" w:space="0" w:color="auto"/>
        <w:left w:val="none" w:sz="0" w:space="0" w:color="auto"/>
        <w:bottom w:val="none" w:sz="0" w:space="0" w:color="auto"/>
        <w:right w:val="none" w:sz="0" w:space="0" w:color="auto"/>
      </w:divBdr>
    </w:div>
    <w:div w:id="1098983603">
      <w:bodyDiv w:val="1"/>
      <w:marLeft w:val="0"/>
      <w:marRight w:val="0"/>
      <w:marTop w:val="0"/>
      <w:marBottom w:val="0"/>
      <w:divBdr>
        <w:top w:val="none" w:sz="0" w:space="0" w:color="auto"/>
        <w:left w:val="none" w:sz="0" w:space="0" w:color="auto"/>
        <w:bottom w:val="none" w:sz="0" w:space="0" w:color="auto"/>
        <w:right w:val="none" w:sz="0" w:space="0" w:color="auto"/>
      </w:divBdr>
    </w:div>
    <w:div w:id="160268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mlim@kumoh.ac.kr"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7309</Words>
  <Characters>41666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 syarif nursyafi    2010347003</dc:creator>
  <cp:keywords/>
  <dc:description/>
  <cp:lastModifiedBy>fauzan syarif nursyafi    2010347003</cp:lastModifiedBy>
  <cp:revision>63</cp:revision>
  <dcterms:created xsi:type="dcterms:W3CDTF">2025-12-04T05:53:00Z</dcterms:created>
  <dcterms:modified xsi:type="dcterms:W3CDTF">2026-01-09T00:51:00Z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id="i2M6argA"/&gt;&lt;style id="http://www.zotero.org/styles/journal-of-chemical-information-and-modeling" hasBibliography="1" bibliographyStyleHasBeenSet="1"/&gt;&lt;prefs&gt;&lt;pref name="fieldType" value="Field"/&gt;</vt:lpwstr>
  </property>
  <property fmtid="{D5CDD505-2E9C-101B-9397-08002B2CF9AE}" pid="3" name="ZOTERO_PREF_2">
    <vt:lpwstr>&lt;/prefs&gt;&lt;/data&gt;</vt:lpwstr>
  </property>
</Properties>
</file>